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524DC203">
      <w:pPr>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济南车桥公司主减总成产能提升技改项目</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249" w:firstLineChars="700"/>
        <w:jc w:val="both"/>
        <w:rPr>
          <w:rFonts w:hint="eastAsia" w:ascii="宋体" w:hAnsi="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FSCZB2025120085</w:t>
      </w:r>
    </w:p>
    <w:p w14:paraId="10A10BC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12</w:t>
      </w:r>
      <w:r>
        <w:rPr>
          <w:rFonts w:hint="eastAsia" w:ascii="宋体" w:hAnsi="宋体"/>
          <w:sz w:val="28"/>
          <w:szCs w:val="28"/>
          <w:u w:val="single"/>
        </w:rPr>
        <w:t>月</w:t>
      </w:r>
    </w:p>
    <w:p w14:paraId="2A256B4F">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31D57579">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rPr>
          <w:highlight w:val="none"/>
        </w:rPr>
      </w:pPr>
      <w:r>
        <w:rPr>
          <w:rFonts w:hint="eastAsia"/>
          <w:highlight w:val="none"/>
        </w:rPr>
        <w:t>项目名称：</w:t>
      </w:r>
      <w:r>
        <w:rPr>
          <w:rFonts w:hint="eastAsia"/>
          <w:highlight w:val="none"/>
          <w:lang w:val="en-US" w:eastAsia="zh-CN"/>
        </w:rPr>
        <w:t>济南车桥公司主减总成产能提升技改项目</w:t>
      </w:r>
    </w:p>
    <w:p w14:paraId="15020D03">
      <w:pPr>
        <w:pStyle w:val="73"/>
        <w:rPr>
          <w:rFonts w:hint="eastAsia"/>
        </w:rPr>
      </w:pPr>
      <w:r>
        <w:rPr>
          <w:rFonts w:hint="eastAsia"/>
        </w:rPr>
        <w:t>项目编号：FSCZB2025120085</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highlight w:val="none"/>
          <w:lang w:val="en-US" w:eastAsia="zh-CN"/>
        </w:rPr>
        <w:t>项目概况</w:t>
      </w:r>
      <w:r>
        <w:rPr>
          <w:rFonts w:hint="eastAsia"/>
        </w:rPr>
        <w:t>：</w:t>
      </w:r>
    </w:p>
    <w:p w14:paraId="22A72F07">
      <w:pPr>
        <w:pStyle w:val="73"/>
        <w:numPr>
          <w:ilvl w:val="0"/>
          <w:numId w:val="0"/>
        </w:numPr>
        <w:ind w:left="710" w:leftChars="0"/>
        <w:rPr>
          <w:rFonts w:hint="eastAsia"/>
          <w:b w:val="0"/>
          <w:bCs/>
        </w:rPr>
      </w:pPr>
      <w:r>
        <w:rPr>
          <w:rFonts w:hint="eastAsia"/>
          <w:b w:val="0"/>
          <w:bCs/>
        </w:rPr>
        <w:t>新建一条主减总成装配生产线，提升主减产能，兼容MCY11/MCY12/MCY13/MCP16/MCX16/MCY12ZGQ等系列产品。</w:t>
      </w:r>
    </w:p>
    <w:p w14:paraId="4EC58B63">
      <w:pPr>
        <w:pStyle w:val="73"/>
        <w:numPr>
          <w:ilvl w:val="0"/>
          <w:numId w:val="0"/>
        </w:numPr>
        <w:ind w:left="710" w:leftChars="0"/>
        <w:rPr>
          <w:rFonts w:hint="default"/>
          <w:lang w:val="en-US"/>
        </w:rPr>
      </w:pPr>
      <w:r>
        <w:rPr>
          <w:rFonts w:hint="eastAsia"/>
        </w:rPr>
        <w:t>招标形式：</w:t>
      </w:r>
      <w:r>
        <w:rPr>
          <w:rFonts w:hint="eastAsia"/>
          <w:b w:val="0"/>
          <w:bCs/>
          <w:highlight w:val="none"/>
          <w:lang w:val="en-US" w:eastAsia="zh-CN"/>
        </w:rPr>
        <w:t>公开招标</w:t>
      </w:r>
    </w:p>
    <w:p w14:paraId="0B813421">
      <w:pPr>
        <w:pStyle w:val="72"/>
        <w:rPr>
          <w:highlight w:val="none"/>
        </w:rPr>
      </w:pPr>
      <w:bookmarkStart w:id="4" w:name="_Toc47976590"/>
      <w:r>
        <w:rPr>
          <w:rFonts w:hint="eastAsia"/>
          <w:highlight w:val="none"/>
        </w:rPr>
        <w:t>投标人资格要求</w:t>
      </w:r>
      <w:bookmarkEnd w:id="4"/>
    </w:p>
    <w:p w14:paraId="41703A27">
      <w:pPr>
        <w:pStyle w:val="73"/>
        <w:numPr>
          <w:ilvl w:val="0"/>
          <w:numId w:val="10"/>
        </w:numPr>
        <w:bidi w:val="0"/>
        <w:rPr>
          <w:rFonts w:hint="eastAsia"/>
          <w:highlight w:val="none"/>
          <w:lang w:val="en-US" w:eastAsia="zh-CN"/>
        </w:rPr>
      </w:pPr>
      <w:r>
        <w:rPr>
          <w:rFonts w:hint="eastAsia"/>
          <w:highlight w:val="none"/>
          <w:lang w:val="en-US" w:eastAsia="zh-CN"/>
        </w:rPr>
        <w:t>应标报名投标人条件</w:t>
      </w:r>
    </w:p>
    <w:p w14:paraId="0D94FF4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300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2D6DBC3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13A921C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D624678">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211A4731">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F1517A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4296F39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1C533757">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6299A32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28A9106F">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03006C63">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37884D5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463DEB1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color w:val="000000"/>
          <w:kern w:val="2"/>
          <w:sz w:val="24"/>
          <w:szCs w:val="24"/>
          <w:highlight w:val="none"/>
          <w:lang w:val="en-US" w:eastAsia="zh-CN" w:bidi="ar-SA"/>
        </w:rPr>
        <w:t>投标单位需为设备制造单位</w:t>
      </w:r>
      <w:r>
        <w:rPr>
          <w:rFonts w:hint="eastAsia" w:hAnsi="宋体" w:eastAsia="宋体" w:cs="宋体"/>
          <w:color w:val="000000"/>
          <w:sz w:val="24"/>
          <w:szCs w:val="24"/>
        </w:rPr>
        <w:t>；</w:t>
      </w:r>
    </w:p>
    <w:p w14:paraId="0B8BB9E5">
      <w:pPr>
        <w:pStyle w:val="14"/>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r>
        <w:rPr>
          <w:rFonts w:hint="eastAsia" w:hAnsi="宋体" w:cs="宋体"/>
          <w:color w:val="000000"/>
          <w:sz w:val="24"/>
          <w:szCs w:val="24"/>
          <w:lang w:val="en-US" w:eastAsia="zh-CN"/>
        </w:rPr>
        <w:t>且不允许代理商投标。</w:t>
      </w:r>
    </w:p>
    <w:p w14:paraId="27D6442B">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1724ABEB">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1AE2F7A8">
      <w:pPr>
        <w:pStyle w:val="73"/>
        <w:numPr>
          <w:ilvl w:val="0"/>
          <w:numId w:val="0"/>
        </w:numPr>
        <w:bidi w:val="0"/>
        <w:ind w:left="710" w:leftChars="0"/>
        <w:rPr>
          <w:rFonts w:hint="eastAsia"/>
          <w:b w:val="0"/>
          <w:bCs/>
          <w:sz w:val="20"/>
          <w:szCs w:val="18"/>
          <w:highlight w:val="none"/>
          <w:lang w:val="en-US" w:eastAsia="zh-CN"/>
        </w:rPr>
      </w:pPr>
    </w:p>
    <w:p w14:paraId="76B97D53">
      <w:pPr>
        <w:pStyle w:val="72"/>
        <w:rPr>
          <w:highlight w:val="none"/>
        </w:rPr>
      </w:pPr>
      <w:bookmarkStart w:id="5" w:name="_Toc47976591"/>
      <w:r>
        <w:rPr>
          <w:rFonts w:hint="eastAsia"/>
          <w:highlight w:val="none"/>
        </w:rPr>
        <w:t>报名及招标文件的获取</w:t>
      </w:r>
      <w:bookmarkEnd w:id="5"/>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cyan"/>
          <w:lang w:val="en-US" w:eastAsia="zh-CN"/>
        </w:rPr>
        <w:t>2025年  12 月  20日17点</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eastAsia="宋体"/>
          <w:lang w:val="en-US" w:eastAsia="zh-CN"/>
        </w:rPr>
      </w:pPr>
      <w:r>
        <w:rPr>
          <w:rFonts w:hint="eastAsia"/>
          <w:b/>
          <w:bCs/>
          <w:lang w:val="en-US" w:eastAsia="zh-CN"/>
        </w:rPr>
        <w:t>注：请务必在应标截止时间前完成注册、</w:t>
      </w:r>
      <w:r>
        <w:rPr>
          <w:rFonts w:hint="eastAsia"/>
          <w:b/>
          <w:bCs/>
          <w:highlight w:val="yellow"/>
        </w:rPr>
        <w:t>E采通系统近三年财务数据信息更新</w:t>
      </w:r>
      <w:r>
        <w:rPr>
          <w:rFonts w:hint="eastAsia"/>
          <w:b/>
          <w:bCs/>
          <w:lang w:val="en-US" w:eastAsia="zh-CN"/>
        </w:rPr>
        <w:t>及应标操作，注册审核需2-4日，应标截止时间精确到秒，逾期将无法应标。请自行掌握时间，避免无法应标。</w:t>
      </w:r>
      <w:r>
        <w:rPr>
          <w:rFonts w:hint="eastAsia"/>
          <w:b/>
          <w:bCs/>
          <w:highlight w:val="yellow"/>
        </w:rPr>
        <w:t>E采通系统近三年财务数据信息更新</w:t>
      </w:r>
      <w:r>
        <w:rPr>
          <w:rFonts w:hint="eastAsia"/>
          <w:b/>
          <w:bCs/>
          <w:highlight w:val="yellow"/>
          <w:lang w:val="en-US" w:eastAsia="zh-CN"/>
        </w:rPr>
        <w:t>步骤：重汽e采通-供应商中心-供应商财务数据变更管理-发起变更。</w:t>
      </w:r>
    </w:p>
    <w:p w14:paraId="4509C0DA">
      <w:pPr>
        <w:pStyle w:val="72"/>
        <w:rPr>
          <w:highlight w:val="none"/>
        </w:rPr>
      </w:pPr>
      <w:bookmarkStart w:id="6" w:name="_Toc47976592"/>
      <w:r>
        <w:rPr>
          <w:rFonts w:hint="eastAsia"/>
          <w:highlight w:val="none"/>
        </w:rPr>
        <w:t>投标文件的递交</w:t>
      </w:r>
      <w:bookmarkEnd w:id="6"/>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cyan"/>
          <w:lang w:val="en-US" w:eastAsia="zh-CN"/>
        </w:rPr>
        <w:t xml:space="preserve">2025年 12 月  26日 9点   </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val="0"/>
          <w:lang w:val="en-US" w:eastAsia="zh-CN"/>
        </w:rPr>
      </w:pPr>
      <w:r>
        <w:rPr>
          <w:rFonts w:hint="default"/>
          <w:b w:val="0"/>
          <w:bCs w:val="0"/>
          <w:lang w:val="en-US" w:eastAsia="zh-CN"/>
        </w:rPr>
        <w:t>注：请务必在投标文件递交截止时间前完成投标操作，截止时间精确到秒，逾期将无法投标。请自行掌握时间，避免无法投标。</w:t>
      </w:r>
    </w:p>
    <w:p w14:paraId="787E4E9B">
      <w:pPr>
        <w:pStyle w:val="73"/>
        <w:bidi w:val="0"/>
        <w:rPr>
          <w:rFonts w:hint="eastAsia"/>
          <w:b w:val="0"/>
          <w:bCs/>
          <w:lang w:val="en-US" w:eastAsia="zh-CN"/>
        </w:rPr>
      </w:pPr>
      <w:r>
        <w:rPr>
          <w:rFonts w:hint="eastAsia"/>
          <w:b w:val="0"/>
          <w:bCs w:val="0"/>
          <w:lang w:val="en-US" w:eastAsia="zh-CN"/>
        </w:rPr>
        <w:t>投标文件的组成：项目投标文件为电子版投标文件（电子版为纸质盖章版的扫</w:t>
      </w:r>
      <w:r>
        <w:rPr>
          <w:rFonts w:hint="eastAsia"/>
          <w:b w:val="0"/>
          <w:bCs/>
          <w:lang w:val="en-US" w:eastAsia="zh-CN"/>
        </w:rPr>
        <w:t>描件或加盖电子章，不盖章无效），由</w:t>
      </w:r>
      <w:r>
        <w:rPr>
          <w:rFonts w:hint="eastAsia"/>
          <w:b w:val="0"/>
          <w:bCs/>
          <w:highlight w:val="none"/>
          <w:lang w:val="en-US" w:eastAsia="zh-CN"/>
        </w:rPr>
        <w:t>《投标文件（资质标）》、《投标文件（商务标）》（开标一览表）文</w:t>
      </w:r>
      <w:r>
        <w:rPr>
          <w:rFonts w:hint="eastAsia"/>
          <w:b w:val="0"/>
          <w:bCs/>
          <w:lang w:val="en-US" w:eastAsia="zh-CN"/>
        </w:rPr>
        <w:t>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highlight w:val="none"/>
          <w:lang w:val="en-US" w:eastAsia="zh-CN"/>
        </w:rPr>
      </w:pPr>
      <w:r>
        <w:rPr>
          <w:rFonts w:hint="default"/>
          <w:b w:val="0"/>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lang w:val="en-US" w:eastAsia="zh-CN"/>
        </w:rPr>
      </w:pPr>
      <w:r>
        <w:rPr>
          <w:rFonts w:hint="default"/>
          <w:b w:val="0"/>
          <w:bCs/>
          <w:lang w:val="en-US" w:eastAsia="zh-CN"/>
        </w:rPr>
        <w:t>注意不按此要求提供投标文件的，投标文件做无效标处理。以中国重汽e采通系统提交的材料为准。</w:t>
      </w:r>
    </w:p>
    <w:p w14:paraId="4B64074D">
      <w:pPr>
        <w:pStyle w:val="73"/>
        <w:bidi w:val="0"/>
        <w:rPr>
          <w:rFonts w:hint="default"/>
          <w:b w:val="0"/>
          <w:bCs/>
          <w:lang w:val="en-US" w:eastAsia="zh-CN"/>
        </w:rPr>
      </w:pPr>
      <w:r>
        <w:rPr>
          <w:rFonts w:hint="eastAsia"/>
          <w:b w:val="0"/>
          <w:bCs/>
          <w:lang w:val="en-US" w:eastAsia="zh-CN"/>
        </w:rPr>
        <w:t>投标方式：在中国重汽e采通平台应标成功后，进入“供应商投标”环节，投递盖章扫描版电子</w:t>
      </w:r>
      <w:r>
        <w:rPr>
          <w:rFonts w:hint="eastAsia"/>
          <w:b w:val="0"/>
          <w:bCs/>
          <w:highlight w:val="none"/>
          <w:lang w:val="en-US" w:eastAsia="zh-CN"/>
        </w:rPr>
        <w:t>标书（包含资质标书、商务标书）</w:t>
      </w:r>
      <w:r>
        <w:rPr>
          <w:rFonts w:hint="eastAsia"/>
          <w:b w:val="0"/>
          <w:bCs/>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cyan"/>
          <w:lang w:val="en-US" w:eastAsia="zh-CN"/>
        </w:rPr>
      </w:pPr>
      <w:r>
        <w:rPr>
          <w:rFonts w:hint="eastAsia"/>
          <w:highlight w:val="cyan"/>
          <w:lang w:val="en-US" w:eastAsia="zh-CN"/>
        </w:rPr>
        <w:t xml:space="preserve">开标时间：2025年 12 月  26日  9点  </w:t>
      </w:r>
    </w:p>
    <w:p w14:paraId="1EEA171A">
      <w:pPr>
        <w:pStyle w:val="73"/>
        <w:bidi w:val="0"/>
        <w:rPr>
          <w:rFonts w:hint="default"/>
          <w:highlight w:val="none"/>
          <w:lang w:val="en-US" w:eastAsia="zh-CN"/>
        </w:rPr>
      </w:pPr>
      <w:r>
        <w:rPr>
          <w:rFonts w:hint="eastAsia"/>
          <w:highlight w:val="none"/>
          <w:lang w:val="en-US" w:eastAsia="zh-CN"/>
        </w:rPr>
        <w:t>开标地点：线上</w:t>
      </w:r>
    </w:p>
    <w:p w14:paraId="22385406">
      <w:pPr>
        <w:pStyle w:val="72"/>
      </w:pPr>
      <w:bookmarkStart w:id="7" w:name="_Toc47976593"/>
      <w:r>
        <w:rPr>
          <w:rFonts w:hint="eastAsia"/>
        </w:rPr>
        <w:t>招标公告发布媒介</w:t>
      </w:r>
      <w:bookmarkEnd w:id="7"/>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8" w:name="_Toc47976594"/>
      <w:r>
        <w:rPr>
          <w:rFonts w:hint="eastAsia"/>
          <w:highlight w:val="none"/>
        </w:rPr>
        <w:t>联系方式</w:t>
      </w:r>
      <w:bookmarkEnd w:id="8"/>
    </w:p>
    <w:p w14:paraId="6C22F13D">
      <w:pPr>
        <w:pStyle w:val="73"/>
        <w:numPr>
          <w:ilvl w:val="0"/>
          <w:numId w:val="14"/>
        </w:numPr>
        <w:rPr>
          <w:rFonts w:hint="default"/>
          <w:lang w:val="en-US" w:eastAsia="zh-CN"/>
        </w:rPr>
      </w:pPr>
      <w:r>
        <w:rPr>
          <w:rFonts w:hint="eastAsia"/>
          <w:lang w:val="en-US" w:eastAsia="zh-CN"/>
        </w:rPr>
        <w:t>技术联系人：</w:t>
      </w:r>
      <w:r>
        <w:rPr>
          <w:rFonts w:ascii="宋体" w:hAnsi="宋体" w:eastAsia="宋体" w:cs="宋体"/>
          <w:sz w:val="24"/>
          <w:szCs w:val="24"/>
        </w:rPr>
        <w:t>王宏宇 17853167811</w:t>
      </w:r>
      <w:r>
        <w:rPr>
          <w:rFonts w:hint="eastAsia" w:ascii="宋体" w:hAnsi="宋体" w:eastAsia="宋体" w:cs="宋体"/>
          <w:sz w:val="24"/>
          <w:szCs w:val="24"/>
          <w:lang w:eastAsia="zh-CN"/>
        </w:rPr>
        <w:t>，</w:t>
      </w:r>
      <w:r>
        <w:rPr>
          <w:rFonts w:ascii="Helvetica" w:hAnsi="Helvetica" w:eastAsia="Helvetica" w:cs="Helvetica"/>
          <w:i w:val="0"/>
          <w:iCs w:val="0"/>
          <w:caps w:val="0"/>
          <w:color w:val="111111"/>
          <w:spacing w:val="0"/>
          <w:sz w:val="20"/>
          <w:szCs w:val="20"/>
          <w:shd w:val="clear" w:fill="F6F7F8"/>
        </w:rPr>
        <w:t>李月兵</w:t>
      </w:r>
      <w:r>
        <w:rPr>
          <w:rFonts w:hint="eastAsia"/>
          <w:lang w:val="en-US" w:eastAsia="zh-CN"/>
        </w:rPr>
        <w:t>/</w:t>
      </w:r>
      <w:r>
        <w:rPr>
          <w:rFonts w:hint="eastAsia"/>
        </w:rPr>
        <w:t>17860602093</w:t>
      </w:r>
      <w:r>
        <w:rPr>
          <w:rFonts w:hint="eastAsia"/>
          <w:lang w:val="en-US" w:eastAsia="zh-CN"/>
        </w:rPr>
        <w:t xml:space="preserve">     </w:t>
      </w:r>
    </w:p>
    <w:p w14:paraId="3A8424F3">
      <w:pPr>
        <w:pStyle w:val="73"/>
        <w:numPr>
          <w:ilvl w:val="0"/>
          <w:numId w:val="14"/>
        </w:numPr>
        <w:rPr>
          <w:rFonts w:hint="default"/>
          <w:lang w:val="en-US" w:eastAsia="zh-CN"/>
        </w:rPr>
      </w:pPr>
      <w:r>
        <w:rPr>
          <w:rFonts w:hint="eastAsia"/>
          <w:lang w:val="en-US" w:eastAsia="zh-CN"/>
        </w:rPr>
        <w:t xml:space="preserve">商务联系人： 李帅威/17860605079 </w:t>
      </w:r>
    </w:p>
    <w:p w14:paraId="5F538BD8">
      <w:pPr>
        <w:pStyle w:val="76"/>
      </w:pPr>
    </w:p>
    <w:p w14:paraId="04C96706">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5"/>
        </w:numPr>
        <w:ind w:left="420"/>
        <w:jc w:val="left"/>
      </w:pPr>
      <w:bookmarkStart w:id="11" w:name="_Toc47976596"/>
      <w:r>
        <w:rPr>
          <w:rFonts w:hint="eastAsia"/>
        </w:rPr>
        <w:t>项目介绍</w:t>
      </w:r>
      <w:bookmarkEnd w:id="11"/>
    </w:p>
    <w:p w14:paraId="6360E7CD">
      <w:pPr>
        <w:pStyle w:val="76"/>
        <w:numPr>
          <w:ilvl w:val="0"/>
          <w:numId w:val="16"/>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济南车桥公司主减总成产能提升技改项目</w:t>
      </w:r>
    </w:p>
    <w:p w14:paraId="0BD015D9">
      <w:pPr>
        <w:pStyle w:val="76"/>
        <w:numPr>
          <w:ilvl w:val="0"/>
          <w:numId w:val="16"/>
        </w:numPr>
        <w:ind w:left="425" w:leftChars="0" w:hanging="425" w:firstLineChars="0"/>
        <w:rPr>
          <w:highlight w:val="none"/>
        </w:rPr>
      </w:pPr>
      <w:r>
        <w:rPr>
          <w:rFonts w:hint="eastAsia"/>
          <w:highlight w:val="none"/>
        </w:rPr>
        <w:t>项目编号：FSCZB2025120085</w:t>
      </w:r>
    </w:p>
    <w:p w14:paraId="68D05288">
      <w:pPr>
        <w:pStyle w:val="76"/>
        <w:numPr>
          <w:ilvl w:val="0"/>
          <w:numId w:val="0"/>
        </w:numPr>
        <w:ind w:leftChars="0"/>
        <w:rPr>
          <w:rFonts w:hint="eastAsia" w:cs="Times New Roman"/>
          <w:b w:val="0"/>
          <w:bCs w:val="0"/>
          <w:color w:val="auto"/>
          <w:highlight w:val="none"/>
          <w:u w:val="none"/>
          <w:lang w:val="en-US" w:eastAsia="zh-CN"/>
        </w:rPr>
      </w:pPr>
      <w:bookmarkStart w:id="12" w:name="_Toc47112482"/>
      <w:r>
        <w:rPr>
          <w:rFonts w:hint="eastAsia" w:cs="Times New Roman"/>
          <w:b w:val="0"/>
          <w:bCs w:val="0"/>
          <w:color w:val="auto"/>
          <w:highlight w:val="none"/>
          <w:u w:val="none"/>
          <w:lang w:val="en-US" w:eastAsia="zh-CN"/>
        </w:rPr>
        <w:t>（3</w:t>
      </w:r>
      <w:r>
        <w:rPr>
          <w:rFonts w:hint="eastAsia" w:cs="Times New Roman"/>
          <w:b w:val="0"/>
          <w:bCs w:val="0"/>
          <w:color w:val="auto"/>
          <w:highlight w:val="yellow"/>
          <w:u w:val="none"/>
          <w:lang w:val="en-US" w:eastAsia="zh-CN"/>
        </w:rPr>
        <w:t>）投标限价：人民币</w:t>
      </w:r>
      <w:r>
        <w:rPr>
          <w:rFonts w:hint="eastAsia"/>
          <w:b/>
          <w:bCs/>
          <w:highlight w:val="yellow"/>
          <w:u w:val="single"/>
          <w:lang w:val="en-US" w:eastAsia="zh-CN"/>
        </w:rPr>
        <w:t>270万</w:t>
      </w:r>
      <w:r>
        <w:rPr>
          <w:rFonts w:hint="eastAsia" w:cs="Times New Roman"/>
          <w:b w:val="0"/>
          <w:bCs w:val="0"/>
          <w:color w:val="auto"/>
          <w:highlight w:val="yellow"/>
          <w:u w:val="none"/>
          <w:lang w:val="en-US" w:eastAsia="zh-CN"/>
        </w:rPr>
        <w:t>（含税），税率;13%，超过投标限价无法投标。</w:t>
      </w:r>
    </w:p>
    <w:p w14:paraId="1CCE0EA0">
      <w:pPr>
        <w:pStyle w:val="76"/>
        <w:numPr>
          <w:ilvl w:val="0"/>
          <w:numId w:val="16"/>
        </w:numPr>
      </w:pPr>
      <w:r>
        <w:t>技术规范及服务</w:t>
      </w:r>
    </w:p>
    <w:p w14:paraId="2FE1EA7F">
      <w:pPr>
        <w:pStyle w:val="76"/>
      </w:pPr>
      <w:r>
        <w:rPr>
          <w:rFonts w:hint="eastAsia"/>
        </w:rPr>
        <w:t>（1）</w:t>
      </w:r>
      <w:r>
        <w:t>投标人应与招标人指派的答疑人员充分沟通，理解认可并接受相关技术规范及服务要求；</w:t>
      </w:r>
    </w:p>
    <w:p w14:paraId="4FC9E250">
      <w:pPr>
        <w:pStyle w:val="76"/>
        <w:rPr>
          <w:rFonts w:hint="default" w:cs="Times New Roman"/>
          <w:b w:val="0"/>
          <w:bCs w:val="0"/>
          <w:color w:val="auto"/>
          <w:highlight w:val="none"/>
          <w:u w:val="none"/>
          <w:lang w:val="en-US" w:eastAsia="zh-CN"/>
        </w:rPr>
      </w:pPr>
      <w:r>
        <w:rPr>
          <w:rFonts w:hint="eastAsia"/>
        </w:rPr>
        <w:t>（2）</w:t>
      </w:r>
      <w:r>
        <w:t>投标人可免费提供的、包含但不限于招标人所要求的其他相关服务内容，按本招标书“第二</w:t>
      </w:r>
      <w:r>
        <w:rPr>
          <w:rFonts w:hint="eastAsia"/>
        </w:rPr>
        <w:t>部分</w:t>
      </w:r>
      <w:r>
        <w:t xml:space="preserve"> 投标文件编制”要求，在其“开标一览表”中一并说明。</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u w:val="single"/>
          <w:lang w:val="en-US" w:eastAsia="zh-CN"/>
        </w:rPr>
        <w:t>20</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年</w:t>
      </w:r>
      <w:r>
        <w:rPr>
          <w:rFonts w:hint="eastAsia" w:cs="Times New Roman"/>
          <w:highlight w:val="cyan"/>
          <w:u w:val="single"/>
          <w:lang w:val="en-US" w:eastAsia="zh-CN"/>
        </w:rPr>
        <w:t xml:space="preserve">  12 </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 xml:space="preserve">  15</w:t>
      </w:r>
      <w:r>
        <w:rPr>
          <w:rFonts w:hint="eastAsia" w:ascii="宋体" w:hAnsi="Courier New" w:eastAsia="宋体" w:cs="Times New Roman"/>
          <w:highlight w:val="cyan"/>
          <w:u w:val="single"/>
          <w:lang w:val="en-US" w:eastAsia="zh-CN"/>
        </w:rPr>
        <w:t>日</w:t>
      </w:r>
    </w:p>
    <w:p w14:paraId="41FDA27A">
      <w:pPr>
        <w:pStyle w:val="76"/>
        <w:numPr>
          <w:ilvl w:val="0"/>
          <w:numId w:val="17"/>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CB87C4">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：电话答疑或将答疑问题以word文件格式发送至联系人邮件内，并电话联系工作人员查收，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AC1516">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7"/>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w:t>
      </w:r>
      <w:r>
        <w:rPr>
          <w:rFonts w:hint="eastAsia"/>
          <w:highlight w:val="none"/>
          <w:lang w:val="en-US" w:eastAsia="zh-CN"/>
        </w:rPr>
        <w:t>中“投标说明-投标文件的组成-资质文件”的要求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yellow"/>
          <w:lang w:val="en-US" w:eastAsia="zh-CN"/>
        </w:rPr>
        <w:t>投标文件</w:t>
      </w:r>
      <w:r>
        <w:rPr>
          <w:rFonts w:hint="eastAsia"/>
          <w:b w:val="0"/>
          <w:highlight w:val="none"/>
          <w:lang w:val="en-US" w:eastAsia="zh-CN"/>
        </w:rPr>
        <w:t>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3 </w:t>
      </w:r>
      <w:r>
        <w:rPr>
          <w:rFonts w:hint="eastAsia"/>
          <w:lang w:val="en-US" w:eastAsia="zh-CN"/>
        </w:rPr>
        <w:t>个文件。</w:t>
      </w:r>
    </w:p>
    <w:p w14:paraId="2DD7BA97">
      <w:pPr>
        <w:pStyle w:val="74"/>
        <w:numPr>
          <w:ilvl w:val="0"/>
          <w:numId w:val="19"/>
        </w:numPr>
        <w:ind w:left="425" w:leftChars="0" w:hanging="425" w:firstLineChars="0"/>
        <w:rPr>
          <w:b w:val="0"/>
          <w:bCs/>
          <w:highlight w:val="yellow"/>
        </w:rPr>
      </w:pPr>
      <w:r>
        <w:rPr>
          <w:rFonts w:hint="eastAsia"/>
          <w:b w:val="0"/>
          <w:bCs/>
          <w:highlight w:val="yellow"/>
        </w:rPr>
        <w:t>资质文件：</w:t>
      </w:r>
    </w:p>
    <w:p w14:paraId="7B46681B">
      <w:pPr>
        <w:numPr>
          <w:ilvl w:val="0"/>
          <w:numId w:val="20"/>
        </w:numPr>
        <w:spacing w:line="360" w:lineRule="auto"/>
      </w:pPr>
      <w:r>
        <w:rPr>
          <w:rFonts w:hint="eastAsia"/>
        </w:rPr>
        <w:t>法定代表人身份证明；</w:t>
      </w:r>
    </w:p>
    <w:p w14:paraId="4B1F0268">
      <w:pPr>
        <w:numPr>
          <w:ilvl w:val="0"/>
          <w:numId w:val="20"/>
        </w:numPr>
        <w:spacing w:line="360" w:lineRule="auto"/>
      </w:pPr>
      <w:r>
        <w:rPr>
          <w:rFonts w:hint="eastAsia"/>
        </w:rPr>
        <w:t>法人授权委托书及身份证复印件；</w:t>
      </w:r>
    </w:p>
    <w:p w14:paraId="3ABA0783">
      <w:pPr>
        <w:numPr>
          <w:ilvl w:val="0"/>
          <w:numId w:val="20"/>
        </w:numPr>
        <w:spacing w:line="360" w:lineRule="auto"/>
      </w:pPr>
      <w:r>
        <w:rPr>
          <w:rFonts w:hint="eastAsia"/>
        </w:rPr>
        <w:t>营业执照副本复印件；</w:t>
      </w:r>
    </w:p>
    <w:p w14:paraId="6CC7C6A2">
      <w:pPr>
        <w:numPr>
          <w:ilvl w:val="0"/>
          <w:numId w:val="20"/>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20"/>
        </w:numPr>
        <w:spacing w:line="360" w:lineRule="auto"/>
      </w:pPr>
      <w:r>
        <w:rPr>
          <w:rFonts w:hint="eastAsia"/>
        </w:rPr>
        <w:t>近三年类似项目业绩及合同复印件（加盖公章，须有客户联系方式及联系人以供招标人核实确认）；</w:t>
      </w:r>
    </w:p>
    <w:p w14:paraId="3D124A1C">
      <w:pPr>
        <w:numPr>
          <w:ilvl w:val="0"/>
          <w:numId w:val="20"/>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D569186">
      <w:pPr>
        <w:pStyle w:val="2"/>
        <w:rPr>
          <w:rFonts w:hint="default"/>
          <w:lang w:val="en-US"/>
        </w:rPr>
      </w:pPr>
      <w:r>
        <w:rPr>
          <w:rFonts w:hint="eastAsia" w:ascii="仿宋" w:hAnsi="仿宋" w:eastAsia="仿宋"/>
          <w:sz w:val="24"/>
          <w:szCs w:val="18"/>
          <w:lang w:val="en-US" w:eastAsia="zh-CN"/>
        </w:rPr>
        <w:t>（7）</w:t>
      </w:r>
      <w:r>
        <w:rPr>
          <w:rFonts w:hint="eastAsia" w:ascii="仿宋" w:hAnsi="仿宋" w:eastAsia="仿宋" w:cs="仿宋"/>
          <w:color w:val="000000"/>
          <w:sz w:val="24"/>
          <w:szCs w:val="24"/>
        </w:rPr>
        <w:t>在“国家企业信用信息公示系统”“中国执行信息公开网”“信用中国”“天眼查”“裁判文书网”等信息平台中，无行政处罚及失信记录等信息；</w:t>
      </w:r>
    </w:p>
    <w:p w14:paraId="7B8EDECC">
      <w:pPr>
        <w:numPr>
          <w:ilvl w:val="0"/>
          <w:numId w:val="20"/>
        </w:numPr>
        <w:spacing w:line="360" w:lineRule="auto"/>
        <w:rPr>
          <w:rFonts w:hint="eastAsia" w:ascii="仿宋" w:hAnsi="仿宋" w:eastAsia="仿宋" w:cs="仿宋"/>
          <w:b w:val="0"/>
          <w:bCs/>
          <w:sz w:val="24"/>
          <w:szCs w:val="24"/>
          <w:highlight w:val="none"/>
        </w:rPr>
      </w:pPr>
      <w:r>
        <w:rPr>
          <w:rFonts w:hint="eastAsia" w:ascii="仿宋" w:hAnsi="仿宋" w:eastAsia="仿宋" w:cs="仿宋"/>
          <w:sz w:val="24"/>
          <w:szCs w:val="24"/>
          <w:highlight w:val="none"/>
        </w:rPr>
        <w:t>投标保证金缴纳凭证</w:t>
      </w:r>
    </w:p>
    <w:p w14:paraId="0FCAA68A">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9"/>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22"/>
        </w:numPr>
        <w:spacing w:line="360" w:lineRule="auto"/>
        <w:ind w:left="0" w:firstLine="0"/>
      </w:pPr>
      <w:r>
        <w:rPr>
          <w:rFonts w:hint="eastAsia"/>
        </w:rPr>
        <w:t>投标函；</w:t>
      </w:r>
    </w:p>
    <w:p w14:paraId="39330535">
      <w:pPr>
        <w:numPr>
          <w:ilvl w:val="0"/>
          <w:numId w:val="22"/>
        </w:numPr>
        <w:spacing w:line="360" w:lineRule="auto"/>
        <w:ind w:left="0" w:firstLine="0"/>
      </w:pPr>
      <w:r>
        <w:rPr>
          <w:rFonts w:hint="eastAsia"/>
        </w:rPr>
        <w:t>开标一览表、分项报价表；</w:t>
      </w:r>
    </w:p>
    <w:p w14:paraId="66C37FD7">
      <w:pPr>
        <w:pStyle w:val="75"/>
        <w:numPr>
          <w:ilvl w:val="0"/>
          <w:numId w:val="22"/>
        </w:numPr>
        <w:rPr>
          <w:rFonts w:hint="eastAsia" w:cs="Times New Roman"/>
          <w:b w:val="0"/>
          <w:bCs/>
          <w:highlight w:val="none"/>
        </w:rPr>
      </w:pPr>
      <w:r>
        <w:rPr>
          <w:rFonts w:hint="eastAsia"/>
        </w:rPr>
        <w:t>商务条款偏离表；</w:t>
      </w:r>
    </w:p>
    <w:p w14:paraId="4D7E1699">
      <w:pPr>
        <w:pStyle w:val="75"/>
        <w:numPr>
          <w:ilvl w:val="0"/>
          <w:numId w:val="19"/>
        </w:numPr>
        <w:ind w:left="425" w:leftChars="0" w:hanging="425" w:firstLineChars="0"/>
        <w:rPr>
          <w:rFonts w:hint="eastAsia"/>
          <w:lang w:val="en-US" w:eastAsia="zh-CN"/>
        </w:rPr>
      </w:pPr>
      <w:r>
        <w:rPr>
          <w:rFonts w:hint="eastAsia"/>
          <w:lang w:val="en-US" w:eastAsia="zh-CN"/>
        </w:rPr>
        <w:t>技术标</w:t>
      </w:r>
    </w:p>
    <w:p w14:paraId="110B5E15">
      <w:pPr>
        <w:pStyle w:val="75"/>
        <w:numPr>
          <w:ilvl w:val="0"/>
          <w:numId w:val="0"/>
        </w:numPr>
        <w:rPr>
          <w:rFonts w:hint="eastAsia"/>
          <w:lang w:val="en-US" w:eastAsia="zh-CN"/>
        </w:rPr>
      </w:pPr>
      <w:r>
        <w:rPr>
          <w:rFonts w:hint="eastAsia"/>
          <w:lang w:val="en-US" w:eastAsia="zh-CN"/>
        </w:rPr>
        <w:t>（1）技术偏离表</w:t>
      </w:r>
    </w:p>
    <w:p w14:paraId="66534FD8">
      <w:pPr>
        <w:pStyle w:val="75"/>
        <w:numPr>
          <w:ilvl w:val="0"/>
          <w:numId w:val="0"/>
        </w:numPr>
        <w:rPr>
          <w:rFonts w:hint="default"/>
          <w:lang w:val="en-US" w:eastAsia="zh-CN"/>
        </w:rPr>
      </w:pPr>
      <w:r>
        <w:rPr>
          <w:rFonts w:hint="eastAsia"/>
          <w:lang w:val="en-US" w:eastAsia="zh-CN"/>
        </w:rPr>
        <w:t>（2）技术方案</w:t>
      </w:r>
    </w:p>
    <w:p w14:paraId="70E2A45F">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w:t>
      </w:r>
      <w:r>
        <w:rPr>
          <w:rFonts w:hint="eastAsia"/>
          <w:highlight w:val="none"/>
          <w:u w:val="single"/>
        </w:rPr>
        <w:t>币</w:t>
      </w:r>
      <w:r>
        <w:rPr>
          <w:rFonts w:hint="eastAsia"/>
          <w:highlight w:val="none"/>
          <w:u w:val="single"/>
          <w:lang w:val="en-US" w:eastAsia="zh-CN"/>
        </w:rPr>
        <w:t>20000</w:t>
      </w:r>
      <w:r>
        <w:rPr>
          <w:rFonts w:hint="eastAsia"/>
          <w:highlight w:val="none"/>
          <w:u w:val="single"/>
        </w:rPr>
        <w:t>元</w:t>
      </w:r>
    </w:p>
    <w:p w14:paraId="2703A442">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招标人：重汽（济南）车桥有限公司</w:t>
      </w:r>
      <w:r>
        <w:rPr>
          <w:rFonts w:ascii="宋体" w:hAnsi="宋体" w:eastAsia="宋体" w:cs="宋体"/>
          <w:sz w:val="24"/>
          <w:szCs w:val="24"/>
        </w:rPr>
        <w:br w:type="textWrapping"/>
      </w:r>
      <w:r>
        <w:rPr>
          <w:rFonts w:ascii="宋体" w:hAnsi="宋体" w:eastAsia="宋体" w:cs="宋体"/>
          <w:sz w:val="24"/>
          <w:szCs w:val="24"/>
        </w:rPr>
        <w:t>招标人地址：济南市高新区世纪大道757号车桥公司</w:t>
      </w:r>
      <w:r>
        <w:rPr>
          <w:rFonts w:ascii="宋体" w:hAnsi="宋体" w:eastAsia="宋体" w:cs="宋体"/>
          <w:sz w:val="24"/>
          <w:szCs w:val="24"/>
        </w:rPr>
        <w:br w:type="textWrapping"/>
      </w: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06DE77">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rPr>
        <w:t>30个工作日内</w:t>
      </w:r>
      <w:r>
        <w:rPr>
          <w:rFonts w:hint="eastAsia" w:ascii="宋体" w:hAnsi="宋体" w:eastAsia="宋体" w:cs="宋体"/>
        </w:rPr>
        <w:t>予以原路返还（无息）；对于中标方，投标保证金将在签订合同后</w:t>
      </w:r>
      <w:r>
        <w:rPr>
          <w:rFonts w:hint="eastAsia" w:ascii="宋体" w:hAnsi="宋体" w:cs="宋体"/>
        </w:rPr>
        <w:t>30个工作日内</w:t>
      </w:r>
      <w:r>
        <w:rPr>
          <w:rFonts w:hint="eastAsia" w:ascii="宋体" w:hAnsi="宋体" w:eastAsia="宋体" w:cs="宋体"/>
        </w:rPr>
        <w:t>原路返还（无息）。</w:t>
      </w:r>
    </w:p>
    <w:p w14:paraId="271EC8CF">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3"/>
    <w:p w14:paraId="368B6990">
      <w:pPr>
        <w:pStyle w:val="72"/>
      </w:pPr>
      <w:r>
        <w:rPr>
          <w:rFonts w:hint="eastAsia"/>
          <w:lang w:val="en-US" w:eastAsia="zh-CN"/>
        </w:rPr>
        <w:t>开评标</w:t>
      </w:r>
    </w:p>
    <w:p w14:paraId="00CC8C95">
      <w:pPr>
        <w:pStyle w:val="14"/>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评标方法（综合评标）</w:t>
      </w:r>
    </w:p>
    <w:p w14:paraId="67F90367">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sz w:val="21"/>
          <w:szCs w:val="21"/>
          <w:lang w:val="en-US" w:eastAsia="zh-CN"/>
        </w:rPr>
        <w:t>综合评标</w:t>
      </w:r>
      <w:r>
        <w:rPr>
          <w:rFonts w:hint="eastAsia" w:ascii="宋体" w:hAnsi="宋体" w:eastAsia="宋体" w:cs="宋体"/>
          <w:b w:val="0"/>
          <w:bCs w:val="0"/>
          <w:sz w:val="21"/>
          <w:szCs w:val="21"/>
        </w:rPr>
        <w:t>的原则选择中标厂家，对未中标单位不做任何解释。</w:t>
      </w:r>
    </w:p>
    <w:p w14:paraId="5C98B6A7">
      <w:pPr>
        <w:pStyle w:val="72"/>
        <w:numPr>
          <w:ilvl w:val="0"/>
          <w:numId w:val="0"/>
        </w:numP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评分标准:</w:t>
      </w:r>
    </w:p>
    <w:tbl>
      <w:tblPr>
        <w:tblStyle w:val="30"/>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1859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14:paraId="6C5D50F7">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2A1F5464">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14:paraId="59D1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4B47D83C">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44B3FEBF">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200C67B3">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57618EBE">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2911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0C1CC10C">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45D1213B">
            <w:pPr>
              <w:spacing w:line="420" w:lineRule="exact"/>
              <w:rPr>
                <w:rFonts w:hint="eastAsia" w:ascii="宋体" w:hAnsi="Times New Roman" w:eastAsiaTheme="minorEastAsia"/>
                <w:szCs w:val="21"/>
                <w:lang w:eastAsia="zh-CN"/>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p>
        </w:tc>
        <w:tc>
          <w:tcPr>
            <w:tcW w:w="775" w:type="dxa"/>
            <w:tcBorders>
              <w:top w:val="single" w:color="auto" w:sz="4" w:space="0"/>
              <w:left w:val="single" w:color="auto" w:sz="4" w:space="0"/>
              <w:bottom w:val="single" w:color="auto" w:sz="4" w:space="0"/>
              <w:right w:val="single" w:color="auto" w:sz="4" w:space="0"/>
            </w:tcBorders>
            <w:vAlign w:val="center"/>
          </w:tcPr>
          <w:p w14:paraId="72C59CD2">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1F0D35BB">
            <w:pPr>
              <w:spacing w:line="420" w:lineRule="exact"/>
              <w:rPr>
                <w:rFonts w:hint="default" w:ascii="宋体" w:hAnsi="宋体" w:eastAsiaTheme="minorEastAsia"/>
                <w:bCs/>
                <w:szCs w:val="21"/>
                <w:lang w:val="en-US" w:eastAsia="zh-CN"/>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r>
              <w:rPr>
                <w:rFonts w:hint="eastAsia" w:ascii="宋体" w:hAnsi="宋体"/>
                <w:bCs/>
              </w:rPr>
              <w:t>视情况得0-</w:t>
            </w:r>
            <w:r>
              <w:rPr>
                <w:rFonts w:hint="eastAsia" w:ascii="宋体" w:hAnsi="宋体"/>
                <w:bCs/>
                <w:lang w:val="en-US" w:eastAsia="zh-CN"/>
              </w:rPr>
              <w:t>10分。</w:t>
            </w:r>
          </w:p>
        </w:tc>
      </w:tr>
      <w:tr w14:paraId="3824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3BF5ED51">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2303F4F4">
            <w:pPr>
              <w:spacing w:line="420" w:lineRule="exact"/>
              <w:rPr>
                <w:rFonts w:hint="default" w:ascii="宋体" w:hAnsi="Times New Roman" w:eastAsiaTheme="minorEastAsia"/>
                <w:bCs/>
                <w:szCs w:val="21"/>
                <w:lang w:val="en-US" w:eastAsia="zh-CN"/>
              </w:rPr>
            </w:pPr>
            <w:r>
              <w:rPr>
                <w:rFonts w:hint="eastAsia" w:ascii="宋体" w:hAnsi="宋体"/>
                <w:bCs/>
                <w:lang w:val="en-US" w:eastAsia="zh-CN"/>
              </w:rPr>
              <w:t>总成装配线</w:t>
            </w:r>
            <w:r>
              <w:rPr>
                <w:rFonts w:hint="eastAsia" w:ascii="宋体" w:hAnsi="宋体"/>
                <w:bCs/>
              </w:rPr>
              <w:t>方案</w:t>
            </w:r>
            <w:r>
              <w:rPr>
                <w:rFonts w:hint="eastAsia" w:ascii="宋体" w:hAnsi="宋体"/>
                <w:bCs/>
                <w:lang w:val="en-US" w:eastAsia="zh-CN"/>
              </w:rPr>
              <w:t>布局合理</w:t>
            </w:r>
            <w:r>
              <w:rPr>
                <w:rFonts w:hint="eastAsia" w:ascii="宋体" w:hAnsi="宋体"/>
                <w:bCs/>
              </w:rPr>
              <w:t>、各系统完善、性能可靠，具备自身技术优势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5F5F477A">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40</w:t>
            </w:r>
          </w:p>
        </w:tc>
        <w:tc>
          <w:tcPr>
            <w:tcW w:w="5000" w:type="dxa"/>
            <w:tcBorders>
              <w:top w:val="single" w:color="auto" w:sz="4" w:space="0"/>
              <w:left w:val="single" w:color="auto" w:sz="4" w:space="0"/>
              <w:bottom w:val="single" w:color="auto" w:sz="4" w:space="0"/>
              <w:right w:val="single" w:color="auto" w:sz="4" w:space="0"/>
            </w:tcBorders>
            <w:vAlign w:val="center"/>
          </w:tcPr>
          <w:p w14:paraId="415118FE">
            <w:pPr>
              <w:spacing w:line="420" w:lineRule="exact"/>
              <w:rPr>
                <w:rFonts w:hint="default" w:ascii="宋体" w:hAnsi="宋体" w:eastAsiaTheme="minorEastAsia"/>
                <w:bCs/>
                <w:szCs w:val="21"/>
                <w:lang w:val="en-US" w:eastAsia="zh-CN"/>
              </w:rPr>
            </w:pPr>
            <w:r>
              <w:rPr>
                <w:rFonts w:hint="eastAsia" w:ascii="宋体" w:hAnsi="宋体"/>
                <w:bCs/>
                <w:lang w:val="en-US" w:eastAsia="zh-CN"/>
              </w:rPr>
              <w:t>产线</w:t>
            </w:r>
            <w:r>
              <w:rPr>
                <w:rFonts w:hint="eastAsia" w:ascii="宋体" w:hAnsi="宋体"/>
                <w:bCs/>
              </w:rPr>
              <w:t>方案</w:t>
            </w:r>
            <w:r>
              <w:rPr>
                <w:rFonts w:hint="eastAsia" w:ascii="宋体" w:hAnsi="宋体"/>
                <w:bCs/>
                <w:lang w:val="en-US" w:eastAsia="zh-CN"/>
              </w:rPr>
              <w:t>布局</w:t>
            </w:r>
            <w:r>
              <w:rPr>
                <w:rFonts w:hint="eastAsia" w:ascii="宋体" w:hAnsi="宋体"/>
                <w:bCs/>
              </w:rPr>
              <w:t>先进、各系统完善、性能可靠，设备主要核心部件，具备自身技术优势，节能环保</w:t>
            </w:r>
            <w:r>
              <w:rPr>
                <w:rFonts w:hint="eastAsia" w:ascii="宋体" w:hAnsi="宋体"/>
                <w:bCs/>
                <w:lang w:eastAsia="zh-CN"/>
              </w:rPr>
              <w:t>；</w:t>
            </w:r>
            <w:r>
              <w:rPr>
                <w:rFonts w:hint="eastAsia" w:ascii="宋体" w:hAnsi="宋体"/>
                <w:bCs/>
                <w:lang w:val="en-US" w:eastAsia="zh-CN"/>
              </w:rPr>
              <w:t>MCY11/MCY12/MCY13/MCY12ZGQ六个系列中后主减总成产品混线生产，装配线结构合理、节拍符合要求，随行工装及线体涉及到的其它工装全部配备，方案合理，</w:t>
            </w:r>
            <w:r>
              <w:rPr>
                <w:rFonts w:hint="eastAsia" w:ascii="宋体" w:hAnsi="宋体"/>
                <w:bCs/>
              </w:rPr>
              <w:t>视情况得0-</w:t>
            </w:r>
            <w:r>
              <w:rPr>
                <w:rFonts w:hint="eastAsia" w:ascii="宋体" w:hAnsi="宋体"/>
                <w:bCs/>
                <w:lang w:val="en-US" w:eastAsia="zh-CN"/>
              </w:rPr>
              <w:t>50分。</w:t>
            </w:r>
          </w:p>
        </w:tc>
      </w:tr>
      <w:tr w14:paraId="6DB1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1E7C97C4">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388B9A3B">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7C98BC7E">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0DA7DF03">
            <w:pPr>
              <w:spacing w:line="420" w:lineRule="exact"/>
              <w:rPr>
                <w:rFonts w:ascii="宋体" w:hAnsi="宋体" w:eastAsia="宋体"/>
                <w:bCs/>
                <w:szCs w:val="21"/>
              </w:rPr>
            </w:pPr>
            <w:r>
              <w:rPr>
                <w:rFonts w:hint="eastAsia" w:ascii="宋体" w:hAnsi="宋体"/>
                <w:bCs/>
              </w:rPr>
              <w:t>易于维修、操作方便，产品附件配置齐全，质量可靠，</w:t>
            </w:r>
            <w:r>
              <w:rPr>
                <w:rFonts w:hint="eastAsia" w:ascii="宋体" w:hAnsi="宋体"/>
                <w:bCs/>
                <w:lang w:val="en-US" w:eastAsia="zh-CN"/>
              </w:rPr>
              <w:t>设备参数调试方便快捷</w:t>
            </w:r>
            <w:r>
              <w:rPr>
                <w:rFonts w:hint="eastAsia" w:ascii="宋体" w:hAnsi="宋体"/>
                <w:bCs/>
              </w:rPr>
              <w:t>，视情况得0-5</w:t>
            </w:r>
            <w:r>
              <w:rPr>
                <w:rFonts w:hint="eastAsia" w:ascii="宋体" w:hAnsi="宋体"/>
                <w:bCs/>
                <w:lang w:val="en-US" w:eastAsia="zh-CN"/>
              </w:rPr>
              <w:t>分。</w:t>
            </w:r>
          </w:p>
        </w:tc>
      </w:tr>
      <w:tr w14:paraId="4968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9CF088C">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14:paraId="638AE003">
            <w:pPr>
              <w:spacing w:line="420" w:lineRule="exact"/>
              <w:rPr>
                <w:rFonts w:hint="eastAsia" w:ascii="宋体" w:hAnsi="Times New Roman" w:eastAsia="宋体"/>
                <w:szCs w:val="21"/>
                <w:lang w:eastAsia="zh-CN"/>
              </w:rPr>
            </w:pPr>
            <w:r>
              <w:rPr>
                <w:rFonts w:hint="eastAsia" w:ascii="宋体" w:hAnsi="宋体" w:eastAsia="宋体"/>
                <w:lang w:val="en-US" w:eastAsia="zh-CN"/>
              </w:rPr>
              <w:t>安全要求</w:t>
            </w:r>
          </w:p>
        </w:tc>
        <w:tc>
          <w:tcPr>
            <w:tcW w:w="775" w:type="dxa"/>
            <w:tcBorders>
              <w:top w:val="single" w:color="auto" w:sz="4" w:space="0"/>
              <w:left w:val="single" w:color="auto" w:sz="4" w:space="0"/>
              <w:bottom w:val="single" w:color="auto" w:sz="4" w:space="0"/>
              <w:right w:val="single" w:color="auto" w:sz="4" w:space="0"/>
            </w:tcBorders>
            <w:vAlign w:val="center"/>
          </w:tcPr>
          <w:p w14:paraId="46EE501B">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6E73F6E3">
            <w:pPr>
              <w:spacing w:line="420" w:lineRule="exact"/>
              <w:rPr>
                <w:rFonts w:ascii="宋体" w:hAnsi="Times New Roman" w:eastAsia="宋体"/>
                <w:bCs/>
                <w:szCs w:val="21"/>
              </w:rPr>
            </w:pPr>
            <w:r>
              <w:rPr>
                <w:rFonts w:hint="eastAsia" w:ascii="宋体" w:hAnsi="宋体"/>
                <w:bCs/>
                <w:lang w:val="en-US" w:eastAsia="zh-CN"/>
              </w:rPr>
              <w:t>产线涉及到的压力机等设备必须配备安全光栅及双手下压，压头等工装固定可靠，急停等所有标识均为中文标识</w:t>
            </w:r>
            <w:r>
              <w:rPr>
                <w:rFonts w:hint="eastAsia" w:ascii="宋体" w:hAnsi="宋体"/>
                <w:bCs/>
              </w:rPr>
              <w:t>。</w:t>
            </w:r>
          </w:p>
        </w:tc>
      </w:tr>
      <w:tr w14:paraId="2701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0840E0F5">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14:paraId="592B4461">
            <w:pPr>
              <w:spacing w:line="420" w:lineRule="exact"/>
              <w:rPr>
                <w:rFonts w:hint="default" w:ascii="宋体" w:hAnsi="Times New Roman" w:eastAsia="宋体"/>
                <w:szCs w:val="21"/>
                <w:lang w:val="en-US" w:eastAsia="zh-CN"/>
              </w:rPr>
            </w:pPr>
            <w:r>
              <w:rPr>
                <w:rFonts w:hint="eastAsia" w:ascii="宋体" w:hAnsi="宋体" w:eastAsia="宋体"/>
                <w:lang w:val="en-US" w:eastAsia="zh-CN"/>
              </w:rPr>
              <w:t>设计经验</w:t>
            </w:r>
          </w:p>
        </w:tc>
        <w:tc>
          <w:tcPr>
            <w:tcW w:w="775" w:type="dxa"/>
            <w:tcBorders>
              <w:top w:val="single" w:color="auto" w:sz="4" w:space="0"/>
              <w:left w:val="single" w:color="auto" w:sz="4" w:space="0"/>
              <w:bottom w:val="single" w:color="auto" w:sz="4" w:space="0"/>
              <w:right w:val="single" w:color="auto" w:sz="4" w:space="0"/>
            </w:tcBorders>
            <w:vAlign w:val="center"/>
          </w:tcPr>
          <w:p w14:paraId="5ECA0EA3">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5E7F66E5">
            <w:pPr>
              <w:spacing w:line="420" w:lineRule="exact"/>
              <w:rPr>
                <w:rFonts w:ascii="宋体" w:hAnsi="Times New Roman" w:eastAsia="宋体"/>
                <w:bCs/>
                <w:szCs w:val="21"/>
              </w:rPr>
            </w:pPr>
            <w:r>
              <w:rPr>
                <w:rFonts w:hint="eastAsia" w:ascii="宋体" w:hAnsi="宋体"/>
                <w:bCs/>
              </w:rPr>
              <w:t>最近连续三年有国内外知名</w:t>
            </w:r>
            <w:r>
              <w:rPr>
                <w:rFonts w:hint="eastAsia" w:ascii="宋体" w:hAnsi="宋体"/>
                <w:bCs/>
                <w:lang w:val="en-US" w:eastAsia="zh-CN"/>
              </w:rPr>
              <w:t>厂家同类生产线设计</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14:paraId="36ED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0B6378E">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14:paraId="562C6D50">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7CF5394B">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2D158700">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600A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B6604F0">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14:paraId="4C6E19AC">
            <w:pPr>
              <w:spacing w:line="420" w:lineRule="exact"/>
              <w:rPr>
                <w:rFonts w:hint="eastAsia" w:ascii="宋体" w:hAnsi="宋体" w:eastAsiaTheme="minorEastAsia"/>
                <w:lang w:val="en-US" w:eastAsia="zh-CN"/>
              </w:rPr>
            </w:pPr>
            <w:r>
              <w:rPr>
                <w:rFonts w:hint="eastAsia"/>
                <w:szCs w:val="21"/>
                <w:highlight w:val="none"/>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0F367836">
            <w:pPr>
              <w:spacing w:line="420" w:lineRule="exact"/>
              <w:jc w:val="center"/>
              <w:rPr>
                <w:rFonts w:hint="eastAsia" w:ascii="宋体" w:hAnsi="宋体" w:eastAsiaTheme="minorEastAsia"/>
                <w:lang w:val="en-US" w:eastAsia="zh-CN"/>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14:paraId="0EEFE318">
            <w:pPr>
              <w:spacing w:line="420" w:lineRule="exact"/>
              <w:rPr>
                <w:rFonts w:hint="eastAsia"/>
                <w:szCs w:val="21"/>
                <w:lang w:val="en-US" w:eastAsia="zh-CN"/>
              </w:rPr>
            </w:pPr>
            <w:r>
              <w:rPr>
                <w:rFonts w:hint="eastAsia"/>
                <w:szCs w:val="21"/>
                <w:lang w:val="en-US" w:eastAsia="zh-CN"/>
              </w:rPr>
              <w:t>技术方案优于招标要求的视情况加1-5分；</w:t>
            </w:r>
          </w:p>
          <w:p w14:paraId="4B36BD54">
            <w:pPr>
              <w:spacing w:line="420" w:lineRule="exact"/>
              <w:rPr>
                <w:rFonts w:hint="eastAsia" w:ascii="宋体" w:hAnsi="宋体"/>
                <w:bCs/>
              </w:rPr>
            </w:pPr>
            <w:r>
              <w:rPr>
                <w:rFonts w:hint="eastAsia"/>
                <w:szCs w:val="21"/>
                <w:lang w:val="en-US" w:eastAsia="zh-CN"/>
              </w:rPr>
              <w:t>不满足招标要求的视情况减1-5分。</w:t>
            </w:r>
          </w:p>
        </w:tc>
      </w:tr>
      <w:tr w14:paraId="1182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2A1C1F09">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14:paraId="359F46FB">
            <w:pPr>
              <w:spacing w:line="420" w:lineRule="exact"/>
              <w:rPr>
                <w:rFonts w:hint="default" w:ascii="宋体" w:hAnsi="宋体" w:eastAsia="宋体"/>
                <w:szCs w:val="21"/>
                <w:lang w:val="en-US" w:eastAsia="zh-CN"/>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60818590">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38EA0A20">
            <w:pPr>
              <w:tabs>
                <w:tab w:val="left" w:pos="7854"/>
              </w:tabs>
              <w:rPr>
                <w:rFonts w:hint="default" w:ascii="宋体" w:hAnsi="Times New Roman" w:eastAsiaTheme="minorEastAsia"/>
                <w:bCs/>
                <w:szCs w:val="21"/>
                <w:lang w:val="en-US" w:eastAsia="zh-CN"/>
              </w:rPr>
            </w:pPr>
            <w:r>
              <w:rPr>
                <w:rFonts w:hint="eastAsia"/>
                <w:szCs w:val="21"/>
              </w:rPr>
              <w:t>可以提前完成项目交货，视情况得</w:t>
            </w:r>
            <w:r>
              <w:rPr>
                <w:szCs w:val="21"/>
              </w:rPr>
              <w:t>0-</w:t>
            </w:r>
            <w:r>
              <w:rPr>
                <w:rFonts w:hint="eastAsia"/>
                <w:szCs w:val="21"/>
                <w:lang w:val="en-US" w:eastAsia="zh-CN"/>
              </w:rPr>
              <w:t>10分。</w:t>
            </w:r>
          </w:p>
        </w:tc>
      </w:tr>
      <w:tr w14:paraId="51A9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6C4F7E6E">
            <w:pPr>
              <w:spacing w:line="420" w:lineRule="exact"/>
              <w:jc w:val="center"/>
              <w:rPr>
                <w:rFonts w:hint="default" w:ascii="宋体" w:hAnsi="宋体" w:eastAsia="宋体"/>
                <w:lang w:val="en-US" w:eastAsia="zh-CN"/>
              </w:rPr>
            </w:pPr>
            <w:r>
              <w:rPr>
                <w:rFonts w:hint="eastAsia" w:ascii="宋体" w:hAnsi="宋体" w:eastAsia="宋体"/>
                <w:lang w:val="en-US" w:eastAsia="zh-CN"/>
              </w:rPr>
              <w:t>9</w:t>
            </w:r>
          </w:p>
        </w:tc>
        <w:tc>
          <w:tcPr>
            <w:tcW w:w="3225" w:type="dxa"/>
            <w:tcBorders>
              <w:top w:val="single" w:color="auto" w:sz="4" w:space="0"/>
              <w:left w:val="single" w:color="auto" w:sz="4" w:space="0"/>
              <w:bottom w:val="single" w:color="auto" w:sz="4" w:space="0"/>
              <w:right w:val="single" w:color="auto" w:sz="4" w:space="0"/>
            </w:tcBorders>
            <w:vAlign w:val="center"/>
          </w:tcPr>
          <w:p w14:paraId="5A75D283">
            <w:pPr>
              <w:spacing w:line="420" w:lineRule="exact"/>
              <w:rPr>
                <w:rFonts w:hint="default" w:ascii="宋体" w:hAnsi="宋体" w:eastAsia="宋体"/>
                <w:lang w:val="en-US" w:eastAsia="zh-CN"/>
              </w:rPr>
            </w:pPr>
            <w:r>
              <w:rPr>
                <w:rFonts w:hint="eastAsia" w:ascii="宋体" w:hAnsi="宋体" w:eastAsia="宋体"/>
                <w:lang w:val="en-US" w:eastAsia="zh-CN"/>
              </w:rPr>
              <w:t>电气作业资质</w:t>
            </w:r>
          </w:p>
        </w:tc>
        <w:tc>
          <w:tcPr>
            <w:tcW w:w="775" w:type="dxa"/>
            <w:tcBorders>
              <w:top w:val="single" w:color="auto" w:sz="4" w:space="0"/>
              <w:left w:val="single" w:color="auto" w:sz="4" w:space="0"/>
              <w:bottom w:val="single" w:color="auto" w:sz="4" w:space="0"/>
              <w:right w:val="single" w:color="auto" w:sz="4" w:space="0"/>
            </w:tcBorders>
            <w:vAlign w:val="center"/>
          </w:tcPr>
          <w:p w14:paraId="7A2DC390">
            <w:pPr>
              <w:spacing w:line="420" w:lineRule="exact"/>
              <w:jc w:val="center"/>
              <w:rPr>
                <w:rFonts w:hint="default" w:ascii="宋体" w:hAnsi="宋体" w:eastAsia="宋体"/>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29187FF8">
            <w:pPr>
              <w:tabs>
                <w:tab w:val="left" w:pos="7854"/>
              </w:tabs>
              <w:rPr>
                <w:rFonts w:hint="default" w:eastAsiaTheme="minorEastAsia"/>
                <w:szCs w:val="21"/>
                <w:lang w:val="en-US" w:eastAsia="zh-CN"/>
              </w:rPr>
            </w:pPr>
            <w:r>
              <w:rPr>
                <w:rFonts w:hint="eastAsia"/>
                <w:szCs w:val="21"/>
                <w:lang w:val="en-US" w:eastAsia="zh-CN"/>
              </w:rPr>
              <w:t>项目建设所有接电接气工作及电缆、气管均符合要求，具备电气作业资质，视情况的0-10分</w:t>
            </w:r>
          </w:p>
        </w:tc>
      </w:tr>
      <w:tr w14:paraId="62B8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66F0E3F">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13A6C77C">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14:paraId="543E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4"/>
            <w:tcBorders>
              <w:top w:val="single" w:color="auto" w:sz="4" w:space="0"/>
              <w:left w:val="single" w:color="auto" w:sz="4" w:space="0"/>
              <w:bottom w:val="single" w:color="auto" w:sz="4" w:space="0"/>
              <w:right w:val="single" w:color="auto" w:sz="4" w:space="0"/>
            </w:tcBorders>
            <w:vAlign w:val="center"/>
          </w:tcPr>
          <w:p w14:paraId="3B1E4B31">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1E889481">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3B72650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561E2976">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B09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14:paraId="75C6217E">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081CE65A">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14:paraId="0856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4"/>
            <w:tcBorders>
              <w:top w:val="single" w:color="auto" w:sz="4" w:space="0"/>
              <w:left w:val="single" w:color="auto" w:sz="4" w:space="0"/>
              <w:bottom w:val="single" w:color="auto" w:sz="4" w:space="0"/>
              <w:right w:val="single" w:color="auto" w:sz="4" w:space="0"/>
            </w:tcBorders>
            <w:vAlign w:val="center"/>
          </w:tcPr>
          <w:p w14:paraId="6FC99907">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14:paraId="78C4BE39">
      <w:pPr>
        <w:pStyle w:val="72"/>
        <w:numPr>
          <w:ilvl w:val="0"/>
          <w:numId w:val="0"/>
        </w:numPr>
        <w:rPr>
          <w:rFonts w:hint="eastAsia" w:ascii="宋体" w:hAnsi="宋体" w:eastAsia="宋体" w:cs="宋体"/>
          <w:b w:val="0"/>
          <w:bCs w:val="0"/>
          <w:sz w:val="21"/>
          <w:szCs w:val="21"/>
        </w:rPr>
      </w:pP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7"/>
      <w:bookmarkStart w:id="15" w:name="OLE_LINK28"/>
      <w:bookmarkStart w:id="16" w:name="OLE_LINK26"/>
      <w:bookmarkStart w:id="17" w:name="OLE_LINK25"/>
      <w:bookmarkStart w:id="18" w:name="OLE_LINK29"/>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付款</w:t>
      </w:r>
    </w:p>
    <w:p w14:paraId="7337126B">
      <w:pPr>
        <w:pStyle w:val="29"/>
        <w:spacing w:after="0" w:line="240" w:lineRule="auto"/>
        <w:ind w:left="0" w:leftChars="0" w:firstLine="0" w:firstLineChars="0"/>
        <w:rPr>
          <w:rFonts w:ascii="宋体" w:hAnsi="宋体" w:cs="宋体"/>
          <w:b/>
          <w:bCs/>
          <w:sz w:val="24"/>
          <w:szCs w:val="24"/>
        </w:rPr>
      </w:pPr>
      <w:r>
        <w:rPr>
          <w:rFonts w:hint="eastAsia" w:ascii="宋体" w:hAnsi="宋体" w:cs="宋体"/>
          <w:b/>
          <w:bCs/>
          <w:sz w:val="24"/>
          <w:szCs w:val="24"/>
          <w:u w:val="single"/>
          <w:lang w:val="en-US" w:eastAsia="zh-CN"/>
        </w:rPr>
        <w:t>一、</w:t>
      </w:r>
      <w:r>
        <w:rPr>
          <w:rFonts w:hint="eastAsia" w:ascii="宋体" w:hAnsi="宋体" w:cs="宋体"/>
          <w:b/>
          <w:bCs/>
          <w:sz w:val="24"/>
          <w:szCs w:val="24"/>
          <w:u w:val="single"/>
        </w:rPr>
        <w:t>付款方式：半年期商业汇票（包括银行承兑汇票和商业承兑汇票）</w:t>
      </w:r>
    </w:p>
    <w:p w14:paraId="6913F59F">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13D6120C">
      <w:pPr>
        <w:pStyle w:val="29"/>
        <w:spacing w:after="0" w:line="240" w:lineRule="auto"/>
        <w:ind w:left="0" w:leftChars="0" w:firstLine="0" w:firstLineChars="0"/>
        <w:rPr>
          <w:rFonts w:hint="eastAsia" w:ascii="宋体" w:hAnsi="宋体" w:cs="宋体"/>
          <w:b/>
          <w:bCs/>
          <w:sz w:val="24"/>
          <w:szCs w:val="24"/>
          <w:u w:val="single"/>
          <w:lang w:val="en-US" w:eastAsia="zh-CN"/>
        </w:rPr>
      </w:pPr>
      <w:r>
        <w:rPr>
          <w:rFonts w:hint="eastAsia" w:ascii="宋体" w:hAnsi="宋体" w:cs="宋体"/>
          <w:b/>
          <w:bCs/>
          <w:sz w:val="24"/>
          <w:szCs w:val="24"/>
          <w:u w:val="single"/>
          <w:lang w:val="en-US" w:eastAsia="zh-CN"/>
        </w:rPr>
        <w:t>二、交货时间：</w:t>
      </w:r>
    </w:p>
    <w:p w14:paraId="4E0BFD42">
      <w:pPr>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 投标方应自</w:t>
      </w:r>
      <w:r>
        <w:rPr>
          <w:rFonts w:hint="eastAsia" w:ascii="宋体" w:hAnsi="宋体" w:eastAsia="宋体" w:cs="宋体"/>
          <w:sz w:val="24"/>
          <w:szCs w:val="24"/>
          <w:lang w:val="en-US" w:eastAsia="zh-CN"/>
        </w:rPr>
        <w:t>合同签定</w:t>
      </w:r>
      <w:r>
        <w:rPr>
          <w:rFonts w:hint="eastAsia" w:ascii="宋体" w:hAnsi="宋体" w:eastAsia="宋体" w:cs="宋体"/>
          <w:sz w:val="24"/>
          <w:szCs w:val="24"/>
        </w:rPr>
        <w:t>之日起，</w:t>
      </w:r>
      <w:r>
        <w:rPr>
          <w:rFonts w:hint="eastAsia" w:ascii="宋体" w:hAnsi="宋体" w:eastAsia="宋体" w:cs="宋体"/>
          <w:sz w:val="24"/>
          <w:szCs w:val="24"/>
          <w:lang w:val="en-US" w:eastAsia="zh-CN"/>
        </w:rPr>
        <w:t>25</w:t>
      </w:r>
      <w:r>
        <w:rPr>
          <w:rFonts w:hint="eastAsia" w:ascii="宋体" w:hAnsi="宋体" w:eastAsia="宋体" w:cs="宋体"/>
          <w:sz w:val="24"/>
          <w:szCs w:val="24"/>
        </w:rPr>
        <w:t>个日历日之内交货至供货地点</w:t>
      </w:r>
    </w:p>
    <w:p w14:paraId="26441D44">
      <w:pPr>
        <w:rPr>
          <w:rFonts w:hint="eastAsia" w:ascii="宋体" w:hAnsi="宋体" w:eastAsia="宋体" w:cs="宋体"/>
          <w:sz w:val="24"/>
          <w:szCs w:val="24"/>
        </w:rPr>
      </w:pPr>
      <w:r>
        <w:rPr>
          <w:rFonts w:hint="eastAsia" w:ascii="宋体" w:hAnsi="宋体" w:eastAsia="宋体" w:cs="宋体"/>
          <w:sz w:val="24"/>
          <w:szCs w:val="24"/>
        </w:rPr>
        <w:t xml:space="preserve">2.  接续 </w:t>
      </w:r>
      <w:r>
        <w:rPr>
          <w:rFonts w:hint="eastAsia" w:ascii="宋体" w:hAnsi="宋体" w:eastAsia="宋体" w:cs="宋体"/>
          <w:sz w:val="24"/>
          <w:szCs w:val="24"/>
          <w:lang w:val="en-US" w:eastAsia="zh-CN"/>
        </w:rPr>
        <w:t>10</w:t>
      </w:r>
      <w:r>
        <w:rPr>
          <w:rFonts w:hint="eastAsia" w:ascii="宋体" w:hAnsi="宋体" w:eastAsia="宋体" w:cs="宋体"/>
          <w:sz w:val="24"/>
          <w:szCs w:val="24"/>
        </w:rPr>
        <w:t xml:space="preserve">  个日历日之内安装调试完毕；</w:t>
      </w:r>
    </w:p>
    <w:p w14:paraId="0D5CDC2C">
      <w:pPr>
        <w:pStyle w:val="29"/>
        <w:spacing w:after="0" w:line="240" w:lineRule="auto"/>
        <w:ind w:left="0" w:leftChars="0" w:firstLine="0" w:firstLineChars="0"/>
        <w:rPr>
          <w:rFonts w:hint="eastAsia" w:ascii="宋体" w:hAnsi="宋体" w:cs="宋体"/>
          <w:b/>
          <w:bCs/>
          <w:sz w:val="24"/>
          <w:szCs w:val="24"/>
          <w:u w:val="single"/>
          <w:lang w:val="en-US" w:eastAsia="zh-CN"/>
        </w:rPr>
      </w:pPr>
      <w:r>
        <w:rPr>
          <w:rFonts w:hint="eastAsia" w:ascii="宋体" w:hAnsi="宋体" w:cs="宋体"/>
          <w:b/>
          <w:bCs/>
          <w:sz w:val="24"/>
          <w:szCs w:val="24"/>
          <w:u w:val="single"/>
          <w:lang w:val="en-US" w:eastAsia="zh-CN"/>
        </w:rPr>
        <w:t>三、质保期：</w:t>
      </w:r>
    </w:p>
    <w:p w14:paraId="6E01231E">
      <w:pPr>
        <w:rPr>
          <w:rFonts w:hint="default" w:ascii="宋体" w:hAnsi="宋体" w:eastAsia="宋体" w:cs="宋体"/>
          <w:sz w:val="24"/>
          <w:szCs w:val="24"/>
          <w:lang w:val="en-US" w:eastAsia="zh-CN"/>
        </w:rPr>
      </w:pPr>
      <w:r>
        <w:rPr>
          <w:rFonts w:hint="eastAsia" w:ascii="宋体" w:hAnsi="宋体" w:eastAsia="宋体" w:cs="宋体"/>
          <w:sz w:val="24"/>
          <w:szCs w:val="24"/>
        </w:rPr>
        <w:t>自终验收签字生效之日起  12 个月。</w:t>
      </w:r>
    </w:p>
    <w:p w14:paraId="7A550442">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*注：付款方式及付款比例不允许偏离。</w:t>
      </w:r>
    </w:p>
    <w:p w14:paraId="08EEE773">
      <w:pPr>
        <w:pStyle w:val="72"/>
        <w:rPr>
          <w:rFonts w:ascii="仿宋" w:hAnsi="仿宋" w:eastAsia="仿宋" w:cs="仿宋"/>
          <w:sz w:val="32"/>
          <w:szCs w:val="32"/>
        </w:rPr>
      </w:pPr>
      <w:r>
        <w:rPr>
          <w:rFonts w:hint="eastAsia"/>
          <w:lang w:val="en-US" w:eastAsia="zh-CN"/>
        </w:rPr>
        <w:t>技术要求</w:t>
      </w:r>
    </w:p>
    <w:p w14:paraId="57921828">
      <w:pPr>
        <w:spacing w:line="480" w:lineRule="exact"/>
        <w:jc w:val="center"/>
        <w:rPr>
          <w:rFonts w:hint="eastAsia" w:ascii="仿宋" w:hAnsi="仿宋" w:eastAsia="仿宋" w:cs="仿宋"/>
          <w:sz w:val="32"/>
          <w:szCs w:val="32"/>
        </w:rPr>
      </w:pPr>
    </w:p>
    <w:p w14:paraId="25FE8493">
      <w:pPr>
        <w:spacing w:line="480" w:lineRule="exact"/>
        <w:jc w:val="center"/>
        <w:rPr>
          <w:rFonts w:hint="eastAsia" w:ascii="仿宋" w:hAnsi="仿宋" w:eastAsia="仿宋" w:cs="仿宋"/>
          <w:sz w:val="32"/>
          <w:szCs w:val="32"/>
        </w:rPr>
      </w:pPr>
    </w:p>
    <w:p w14:paraId="3F7984AB">
      <w:pPr>
        <w:spacing w:line="480" w:lineRule="exact"/>
        <w:jc w:val="center"/>
        <w:rPr>
          <w:rFonts w:hint="eastAsia" w:ascii="仿宋" w:hAnsi="仿宋" w:eastAsia="仿宋" w:cs="仿宋"/>
          <w:sz w:val="32"/>
          <w:szCs w:val="32"/>
        </w:rPr>
      </w:pP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rPr>
        <w:t>招标文件技术要求</w:t>
      </w:r>
    </w:p>
    <w:p w14:paraId="204B2979"/>
    <w:p w14:paraId="31C15EA6">
      <w:pPr>
        <w:spacing w:line="480" w:lineRule="exact"/>
        <w:ind w:firstLine="377" w:firstLineChars="118"/>
        <w:rPr>
          <w:rFonts w:ascii="仿宋" w:hAnsi="仿宋" w:eastAsia="仿宋" w:cs="仿宋"/>
          <w:sz w:val="32"/>
          <w:szCs w:val="32"/>
        </w:rPr>
      </w:pPr>
    </w:p>
    <w:p w14:paraId="7DE07914">
      <w:pPr>
        <w:spacing w:line="480" w:lineRule="exact"/>
        <w:ind w:firstLine="377" w:firstLineChars="118"/>
        <w:rPr>
          <w:rFonts w:ascii="仿宋" w:hAnsi="仿宋" w:eastAsia="仿宋" w:cs="仿宋"/>
          <w:sz w:val="32"/>
          <w:szCs w:val="32"/>
        </w:rPr>
      </w:pPr>
      <w:r>
        <w:rPr>
          <w:rFonts w:hint="eastAsia" w:ascii="仿宋" w:hAnsi="仿宋" w:eastAsia="仿宋" w:cs="仿宋"/>
          <w:sz w:val="32"/>
          <w:szCs w:val="32"/>
        </w:rPr>
        <w:t>项目名称：</w:t>
      </w:r>
      <w:r>
        <w:rPr>
          <w:rFonts w:hint="eastAsia" w:ascii="仿宋" w:hAnsi="仿宋" w:eastAsia="仿宋" w:cs="仿宋"/>
          <w:bCs/>
          <w:sz w:val="32"/>
          <w:szCs w:val="32"/>
          <w:u w:val="single"/>
        </w:rPr>
        <w:t xml:space="preserve"> 主减总成产能提升</w:t>
      </w:r>
      <w:r>
        <w:rPr>
          <w:rFonts w:hint="eastAsia" w:ascii="仿宋" w:hAnsi="仿宋" w:eastAsia="仿宋" w:cs="仿宋"/>
          <w:bCs/>
          <w:sz w:val="32"/>
          <w:szCs w:val="32"/>
          <w:u w:val="single"/>
          <w:lang w:val="en-US" w:eastAsia="zh-CN"/>
        </w:rPr>
        <w:t>技改</w:t>
      </w:r>
      <w:r>
        <w:rPr>
          <w:rFonts w:hint="eastAsia" w:ascii="仿宋" w:hAnsi="仿宋" w:eastAsia="仿宋" w:cs="仿宋"/>
          <w:bCs/>
          <w:sz w:val="32"/>
          <w:szCs w:val="32"/>
          <w:u w:val="single"/>
        </w:rPr>
        <w:t>项目</w:t>
      </w:r>
      <w:r>
        <w:rPr>
          <w:rFonts w:hint="eastAsia" w:ascii="仿宋" w:hAnsi="仿宋" w:eastAsia="仿宋" w:cs="仿宋"/>
          <w:sz w:val="32"/>
          <w:szCs w:val="32"/>
          <w:u w:val="single"/>
        </w:rPr>
        <w:t xml:space="preserve"> </w:t>
      </w:r>
    </w:p>
    <w:p w14:paraId="18F9A72E">
      <w:pPr>
        <w:spacing w:line="480" w:lineRule="exact"/>
        <w:ind w:firstLine="377" w:firstLineChars="118"/>
        <w:rPr>
          <w:rFonts w:ascii="仿宋" w:hAnsi="仿宋" w:eastAsia="仿宋" w:cs="仿宋"/>
          <w:sz w:val="32"/>
          <w:szCs w:val="32"/>
          <w:u w:val="single"/>
        </w:rPr>
      </w:pPr>
    </w:p>
    <w:p w14:paraId="1F67BF3A">
      <w:pPr>
        <w:spacing w:line="480" w:lineRule="exact"/>
        <w:ind w:firstLine="377" w:firstLineChars="118"/>
        <w:rPr>
          <w:rFonts w:ascii="仿宋" w:hAnsi="仿宋" w:eastAsia="仿宋" w:cs="仿宋"/>
          <w:sz w:val="32"/>
          <w:szCs w:val="32"/>
        </w:rPr>
      </w:pPr>
    </w:p>
    <w:p w14:paraId="5D33540D">
      <w:pPr>
        <w:spacing w:line="480" w:lineRule="exact"/>
        <w:ind w:firstLine="377" w:firstLineChars="118"/>
        <w:rPr>
          <w:rFonts w:ascii="仿宋" w:hAnsi="仿宋" w:eastAsia="仿宋" w:cs="仿宋"/>
          <w:sz w:val="32"/>
          <w:szCs w:val="32"/>
        </w:rPr>
      </w:pPr>
    </w:p>
    <w:p w14:paraId="72717FC7">
      <w:pPr>
        <w:spacing w:line="480" w:lineRule="exact"/>
        <w:ind w:firstLine="377" w:firstLineChars="118"/>
        <w:rPr>
          <w:rFonts w:ascii="仿宋" w:hAnsi="仿宋" w:eastAsia="仿宋" w:cs="仿宋"/>
          <w:sz w:val="32"/>
          <w:szCs w:val="32"/>
        </w:rPr>
      </w:pPr>
      <w:r>
        <w:rPr>
          <w:rFonts w:hint="eastAsia" w:ascii="仿宋" w:hAnsi="仿宋" w:eastAsia="仿宋" w:cs="仿宋"/>
          <w:sz w:val="32"/>
          <w:szCs w:val="32"/>
        </w:rPr>
        <w:t>货物名称：</w:t>
      </w:r>
      <w:r>
        <w:rPr>
          <w:rFonts w:hint="eastAsia" w:ascii="仿宋" w:hAnsi="仿宋" w:eastAsia="仿宋" w:cs="仿宋"/>
          <w:sz w:val="32"/>
          <w:szCs w:val="32"/>
          <w:u w:val="single"/>
          <w:lang w:val="en-US" w:eastAsia="zh-CN"/>
        </w:rPr>
        <w:t xml:space="preserve">  主减总成产能提升装配线 </w:t>
      </w:r>
      <w:r>
        <w:rPr>
          <w:rFonts w:hint="eastAsia" w:ascii="仿宋" w:hAnsi="仿宋" w:eastAsia="仿宋" w:cs="仿宋"/>
          <w:sz w:val="32"/>
          <w:szCs w:val="32"/>
          <w:u w:val="single"/>
        </w:rPr>
        <w:t xml:space="preserve"> </w:t>
      </w:r>
    </w:p>
    <w:p w14:paraId="4B78C44A">
      <w:pPr>
        <w:spacing w:line="480" w:lineRule="exact"/>
        <w:ind w:firstLine="377" w:firstLineChars="118"/>
        <w:rPr>
          <w:rFonts w:ascii="仿宋" w:hAnsi="仿宋" w:eastAsia="仿宋" w:cs="仿宋"/>
          <w:sz w:val="32"/>
          <w:szCs w:val="32"/>
          <w:u w:val="single"/>
        </w:rPr>
      </w:pPr>
    </w:p>
    <w:p w14:paraId="5B603C92">
      <w:pPr>
        <w:spacing w:line="480" w:lineRule="exact"/>
        <w:ind w:firstLine="377" w:firstLineChars="118"/>
        <w:rPr>
          <w:rFonts w:ascii="仿宋" w:hAnsi="仿宋" w:eastAsia="仿宋" w:cs="仿宋"/>
          <w:sz w:val="32"/>
          <w:szCs w:val="32"/>
          <w:u w:val="single"/>
        </w:rPr>
      </w:pPr>
    </w:p>
    <w:p w14:paraId="3539FCDF">
      <w:pPr>
        <w:spacing w:line="480" w:lineRule="exact"/>
        <w:ind w:firstLine="377" w:firstLineChars="118"/>
        <w:rPr>
          <w:rFonts w:ascii="仿宋" w:hAnsi="仿宋" w:eastAsia="仿宋" w:cs="仿宋"/>
          <w:sz w:val="32"/>
          <w:szCs w:val="32"/>
          <w:u w:val="single"/>
        </w:rPr>
      </w:pPr>
    </w:p>
    <w:p w14:paraId="3C47284A">
      <w:pPr>
        <w:spacing w:line="480" w:lineRule="exact"/>
        <w:ind w:firstLine="377" w:firstLineChars="118"/>
        <w:rPr>
          <w:rFonts w:ascii="仿宋" w:hAnsi="仿宋" w:eastAsia="仿宋" w:cs="仿宋"/>
          <w:sz w:val="32"/>
          <w:szCs w:val="32"/>
          <w:u w:val="single"/>
        </w:rPr>
      </w:pPr>
    </w:p>
    <w:p w14:paraId="282261BC">
      <w:pPr>
        <w:spacing w:line="480" w:lineRule="exact"/>
        <w:ind w:firstLine="377" w:firstLineChars="118"/>
        <w:rPr>
          <w:rFonts w:ascii="仿宋" w:hAnsi="仿宋" w:eastAsia="仿宋" w:cs="仿宋"/>
          <w:sz w:val="32"/>
          <w:szCs w:val="32"/>
          <w:u w:val="single"/>
        </w:rPr>
      </w:pPr>
    </w:p>
    <w:p w14:paraId="2B230AA8">
      <w:pPr>
        <w:spacing w:line="480" w:lineRule="exact"/>
        <w:ind w:firstLine="377" w:firstLineChars="118"/>
        <w:rPr>
          <w:rFonts w:ascii="仿宋" w:hAnsi="仿宋" w:eastAsia="仿宋" w:cs="仿宋"/>
          <w:sz w:val="32"/>
          <w:szCs w:val="32"/>
          <w:u w:val="single"/>
        </w:rPr>
      </w:pPr>
    </w:p>
    <w:p w14:paraId="6B167CEA">
      <w:pPr>
        <w:spacing w:line="480" w:lineRule="exact"/>
        <w:ind w:firstLine="377" w:firstLineChars="118"/>
        <w:rPr>
          <w:rFonts w:ascii="仿宋" w:hAnsi="仿宋" w:eastAsia="仿宋" w:cs="仿宋"/>
          <w:sz w:val="32"/>
          <w:szCs w:val="32"/>
          <w:u w:val="single"/>
        </w:rPr>
      </w:pPr>
    </w:p>
    <w:p w14:paraId="1F2BF090">
      <w:pPr>
        <w:spacing w:line="480" w:lineRule="exact"/>
        <w:ind w:firstLine="377" w:firstLineChars="118"/>
        <w:rPr>
          <w:rFonts w:ascii="仿宋" w:hAnsi="仿宋" w:eastAsia="仿宋" w:cs="仿宋"/>
          <w:sz w:val="32"/>
          <w:szCs w:val="32"/>
          <w:u w:val="single"/>
        </w:rPr>
      </w:pPr>
    </w:p>
    <w:p w14:paraId="2BC5B74C">
      <w:pPr>
        <w:spacing w:line="480" w:lineRule="exact"/>
        <w:ind w:firstLine="377" w:firstLineChars="118"/>
        <w:rPr>
          <w:rFonts w:ascii="仿宋" w:hAnsi="仿宋" w:eastAsia="仿宋" w:cs="仿宋"/>
          <w:sz w:val="32"/>
          <w:szCs w:val="32"/>
          <w:u w:val="single"/>
        </w:rPr>
      </w:pPr>
    </w:p>
    <w:p w14:paraId="2CD428FA">
      <w:pPr>
        <w:tabs>
          <w:tab w:val="left" w:pos="3675"/>
        </w:tabs>
        <w:spacing w:line="480" w:lineRule="exact"/>
        <w:ind w:firstLine="377" w:firstLineChars="118"/>
        <w:rPr>
          <w:rFonts w:ascii="仿宋" w:hAnsi="仿宋" w:eastAsia="仿宋" w:cs="仿宋"/>
          <w:sz w:val="32"/>
          <w:szCs w:val="32"/>
          <w:u w:val="single"/>
        </w:rPr>
      </w:pPr>
    </w:p>
    <w:p w14:paraId="1895D2B3">
      <w:pPr>
        <w:tabs>
          <w:tab w:val="left" w:pos="3675"/>
        </w:tabs>
        <w:spacing w:line="480" w:lineRule="exact"/>
        <w:ind w:firstLine="377" w:firstLineChars="118"/>
        <w:rPr>
          <w:rFonts w:ascii="仿宋" w:hAnsi="仿宋" w:eastAsia="仿宋" w:cs="仿宋"/>
          <w:sz w:val="32"/>
          <w:szCs w:val="32"/>
        </w:rPr>
      </w:pPr>
    </w:p>
    <w:p w14:paraId="4CA3A12E">
      <w:pPr>
        <w:spacing w:line="480" w:lineRule="exact"/>
        <w:ind w:firstLine="377" w:firstLineChars="118"/>
        <w:rPr>
          <w:rFonts w:ascii="仿宋" w:hAnsi="仿宋" w:eastAsia="仿宋" w:cs="仿宋"/>
          <w:sz w:val="32"/>
          <w:szCs w:val="32"/>
        </w:rPr>
      </w:pPr>
    </w:p>
    <w:p w14:paraId="3E913E84">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项目单位技术负责人签名：</w:t>
      </w:r>
    </w:p>
    <w:p w14:paraId="782F9D9A">
      <w:pPr>
        <w:spacing w:line="480" w:lineRule="exact"/>
        <w:ind w:firstLine="377" w:firstLineChars="118"/>
        <w:jc w:val="center"/>
        <w:rPr>
          <w:rFonts w:ascii="仿宋" w:hAnsi="仿宋" w:eastAsia="仿宋" w:cs="仿宋"/>
          <w:sz w:val="32"/>
          <w:szCs w:val="32"/>
        </w:rPr>
      </w:pPr>
    </w:p>
    <w:p w14:paraId="0DBA26DC">
      <w:pPr>
        <w:spacing w:line="480" w:lineRule="exact"/>
        <w:ind w:firstLine="377" w:firstLineChars="118"/>
        <w:jc w:val="center"/>
        <w:rPr>
          <w:rFonts w:ascii="仿宋" w:hAnsi="仿宋" w:eastAsia="仿宋" w:cs="仿宋"/>
          <w:sz w:val="32"/>
          <w:szCs w:val="32"/>
        </w:rPr>
      </w:pPr>
    </w:p>
    <w:p w14:paraId="18992FF0">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时间： 20</w:t>
      </w:r>
      <w:r>
        <w:rPr>
          <w:rFonts w:hint="eastAsia" w:ascii="仿宋" w:hAnsi="仿宋" w:eastAsia="仿宋" w:cs="仿宋"/>
          <w:sz w:val="32"/>
          <w:szCs w:val="32"/>
          <w:lang w:val="en-US" w:eastAsia="zh-CN"/>
        </w:rPr>
        <w:t>25</w:t>
      </w:r>
      <w:r>
        <w:rPr>
          <w:rFonts w:hint="eastAsia" w:ascii="仿宋" w:hAnsi="仿宋" w:eastAsia="仿宋" w:cs="仿宋"/>
          <w:sz w:val="32"/>
          <w:szCs w:val="32"/>
        </w:rPr>
        <w:t>年</w:t>
      </w:r>
      <w:r>
        <w:rPr>
          <w:rFonts w:hint="eastAsia" w:ascii="仿宋" w:hAnsi="仿宋" w:eastAsia="仿宋" w:cs="仿宋"/>
          <w:sz w:val="32"/>
          <w:szCs w:val="32"/>
          <w:lang w:val="en-US" w:eastAsia="zh-CN"/>
        </w:rPr>
        <w:t>11</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w:t>
      </w:r>
    </w:p>
    <w:p w14:paraId="34ECFFC7">
      <w:pPr>
        <w:spacing w:line="480" w:lineRule="exact"/>
        <w:ind w:firstLine="377" w:firstLineChars="118"/>
        <w:jc w:val="center"/>
        <w:rPr>
          <w:rFonts w:ascii="仿宋" w:hAnsi="仿宋" w:eastAsia="仿宋" w:cs="仿宋"/>
          <w:sz w:val="32"/>
          <w:szCs w:val="32"/>
        </w:rPr>
      </w:pPr>
    </w:p>
    <w:p w14:paraId="1D1031D7">
      <w:pPr>
        <w:spacing w:line="480" w:lineRule="exact"/>
        <w:ind w:firstLine="377" w:firstLineChars="118"/>
        <w:jc w:val="center"/>
        <w:rPr>
          <w:rFonts w:ascii="仿宋" w:hAnsi="仿宋" w:eastAsia="仿宋" w:cs="仿宋"/>
          <w:sz w:val="32"/>
          <w:szCs w:val="32"/>
        </w:rPr>
      </w:pPr>
    </w:p>
    <w:p w14:paraId="16A67A70">
      <w:pPr>
        <w:spacing w:line="480" w:lineRule="exact"/>
        <w:ind w:firstLine="377" w:firstLineChars="118"/>
        <w:jc w:val="center"/>
        <w:rPr>
          <w:rFonts w:ascii="仿宋" w:hAnsi="仿宋" w:eastAsia="仿宋" w:cs="仿宋"/>
          <w:sz w:val="32"/>
          <w:szCs w:val="32"/>
        </w:rPr>
      </w:pPr>
    </w:p>
    <w:p w14:paraId="546D16CB">
      <w:pPr>
        <w:spacing w:line="480" w:lineRule="exact"/>
        <w:ind w:firstLine="377" w:firstLineChars="118"/>
        <w:jc w:val="center"/>
        <w:rPr>
          <w:rFonts w:ascii="仿宋" w:hAnsi="仿宋" w:eastAsia="仿宋" w:cs="仿宋"/>
          <w:sz w:val="32"/>
          <w:szCs w:val="32"/>
        </w:rPr>
      </w:pPr>
    </w:p>
    <w:p w14:paraId="4DE3C0D8">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（项目单位公章）</w:t>
      </w:r>
    </w:p>
    <w:p w14:paraId="487C714D">
      <w:pPr>
        <w:spacing w:line="480" w:lineRule="exact"/>
        <w:ind w:firstLine="247" w:firstLineChars="118"/>
        <w:rPr>
          <w:rFonts w:ascii="仿宋" w:hAnsi="仿宋" w:eastAsia="仿宋" w:cs="仿宋"/>
          <w:i/>
          <w:iCs/>
        </w:rPr>
      </w:pPr>
      <w:r>
        <w:rPr>
          <w:rFonts w:hint="eastAsia" w:ascii="仿宋" w:hAnsi="仿宋" w:eastAsia="仿宋" w:cs="仿宋"/>
          <w:i/>
          <w:iCs/>
        </w:rPr>
        <w:t xml:space="preserve"> </w:t>
      </w:r>
    </w:p>
    <w:p w14:paraId="6FFC8C6F">
      <w:pPr>
        <w:jc w:val="center"/>
        <w:rPr>
          <w:rFonts w:ascii="仿宋" w:hAnsi="仿宋" w:eastAsia="仿宋" w:cs="仿宋"/>
        </w:rPr>
        <w:sectPr>
          <w:headerReference r:id="rId6" w:type="default"/>
          <w:footerReference r:id="rId7" w:type="default"/>
          <w:pgSz w:w="11906" w:h="16838"/>
          <w:pgMar w:top="1383" w:right="1797" w:bottom="1440" w:left="1797" w:header="1021" w:footer="680" w:gutter="0"/>
          <w:pgNumType w:start="1" w:chapStyle="1"/>
          <w:cols w:space="720" w:num="1"/>
          <w:docGrid w:type="lines" w:linePitch="326" w:charSpace="0"/>
        </w:sectPr>
      </w:pPr>
    </w:p>
    <w:sdt>
      <w:sdtPr>
        <w:rPr>
          <w:rFonts w:ascii="宋体" w:hAnsi="宋体" w:eastAsia="宋体" w:cs="Times New Roman"/>
          <w:kern w:val="2"/>
          <w:sz w:val="21"/>
          <w:szCs w:val="24"/>
          <w:lang w:val="en-US" w:eastAsia="zh-CN" w:bidi="ar-SA"/>
        </w:rPr>
        <w:id w:val="147455532"/>
        <w15:color w:val="DBDBDB"/>
        <w:docPartObj>
          <w:docPartGallery w:val="Table of Contents"/>
          <w:docPartUnique/>
        </w:docPartObj>
      </w:sdtPr>
      <w:sdtEndPr>
        <w:rPr>
          <w:rFonts w:ascii="仿宋" w:hAnsi="仿宋" w:eastAsia="仿宋" w:cs="Times New Roman"/>
          <w:b w:val="0"/>
          <w:bCs/>
          <w:color w:val="auto"/>
          <w:kern w:val="0"/>
          <w:sz w:val="32"/>
          <w:szCs w:val="24"/>
          <w:lang w:val="zh-CN" w:eastAsia="zh-CN" w:bidi="ar-SA"/>
        </w:rPr>
      </w:sdtEndPr>
      <w:sdtContent>
        <w:p w14:paraId="20326106">
          <w:pPr>
            <w:spacing w:before="0" w:beforeLines="0" w:after="0" w:afterLines="0" w:line="240" w:lineRule="auto"/>
            <w:ind w:left="0" w:leftChars="0" w:right="0" w:rightChars="0" w:firstLine="0" w:firstLineChars="0"/>
            <w:jc w:val="center"/>
            <w:rPr>
              <w:sz w:val="40"/>
              <w:szCs w:val="40"/>
            </w:rPr>
          </w:pPr>
          <w:bookmarkStart w:id="19" w:name="_Toc6346"/>
          <w:bookmarkStart w:id="20" w:name="_Toc12714"/>
          <w:bookmarkStart w:id="21" w:name="_Toc16358"/>
          <w:bookmarkStart w:id="22" w:name="_Toc18182"/>
          <w:bookmarkStart w:id="23" w:name="_Toc13555"/>
          <w:bookmarkStart w:id="24" w:name="_Toc4532"/>
          <w:bookmarkStart w:id="25" w:name="_Toc133783966"/>
          <w:bookmarkStart w:id="26" w:name="_Toc7511"/>
          <w:bookmarkStart w:id="27" w:name="_Toc3565"/>
          <w:bookmarkStart w:id="28" w:name="_Toc18606"/>
          <w:bookmarkStart w:id="29" w:name="_Toc28236"/>
          <w:bookmarkStart w:id="30" w:name="_Toc24913"/>
          <w:bookmarkStart w:id="31" w:name="_Toc13605"/>
          <w:bookmarkStart w:id="32" w:name="_Toc21497"/>
          <w:bookmarkStart w:id="33" w:name="_Toc18805"/>
          <w:bookmarkStart w:id="34" w:name="_Toc13988"/>
          <w:bookmarkStart w:id="35" w:name="_Toc24964"/>
          <w:bookmarkStart w:id="36" w:name="_Toc4483"/>
          <w:bookmarkStart w:id="37" w:name="_Toc23870"/>
          <w:bookmarkStart w:id="38" w:name="_Toc12552"/>
          <w:bookmarkStart w:id="39" w:name="_Toc13562"/>
          <w:bookmarkStart w:id="40" w:name="_Toc22649"/>
          <w:bookmarkStart w:id="41" w:name="_Toc32378"/>
          <w:bookmarkStart w:id="42" w:name="_Toc8202"/>
          <w:bookmarkStart w:id="43" w:name="_Toc8032"/>
          <w:bookmarkStart w:id="44" w:name="_Toc14517"/>
          <w:bookmarkStart w:id="45" w:name="_Toc4194"/>
          <w:bookmarkStart w:id="46" w:name="_Toc12563"/>
          <w:bookmarkStart w:id="47" w:name="_Toc11355"/>
          <w:bookmarkStart w:id="48" w:name="_Toc20467"/>
          <w:bookmarkStart w:id="49" w:name="_Toc1884"/>
          <w:bookmarkStart w:id="50" w:name="_Toc19672"/>
          <w:bookmarkStart w:id="51" w:name="_Toc7110"/>
          <w:bookmarkStart w:id="52" w:name="_Toc30738"/>
          <w:bookmarkStart w:id="53" w:name="_Toc3372"/>
          <w:r>
            <w:rPr>
              <w:rFonts w:ascii="宋体" w:hAnsi="宋体" w:eastAsia="宋体"/>
              <w:sz w:val="32"/>
              <w:szCs w:val="40"/>
            </w:rPr>
            <w:t>目录</w:t>
          </w:r>
        </w:p>
        <w:p w14:paraId="4BB82801">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exact"/>
            <w:textAlignment w:val="auto"/>
          </w:pPr>
          <w:r>
            <w:rPr>
              <w:rFonts w:ascii="仿宋" w:hAnsi="仿宋" w:eastAsia="仿宋"/>
              <w:b/>
              <w:bCs/>
              <w:color w:val="auto"/>
              <w:sz w:val="24"/>
              <w:szCs w:val="24"/>
              <w:lang w:val="zh-CN"/>
            </w:rPr>
            <w:fldChar w:fldCharType="begin"/>
          </w:r>
          <w:r>
            <w:rPr>
              <w:rFonts w:ascii="仿宋" w:hAnsi="仿宋" w:eastAsia="仿宋"/>
              <w:b/>
              <w:bCs/>
              <w:color w:val="auto"/>
              <w:sz w:val="24"/>
              <w:szCs w:val="24"/>
              <w:lang w:val="zh-CN"/>
            </w:rPr>
            <w:instrText xml:space="preserve">TOC \o "1-2" \h \u </w:instrText>
          </w:r>
          <w:r>
            <w:rPr>
              <w:rFonts w:ascii="仿宋" w:hAnsi="仿宋" w:eastAsia="仿宋"/>
              <w:b/>
              <w:bCs/>
              <w:color w:val="auto"/>
              <w:sz w:val="24"/>
              <w:szCs w:val="24"/>
              <w:lang w:val="zh-CN"/>
            </w:rPr>
            <w:fldChar w:fldCharType="separate"/>
          </w: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_Toc16942 </w:instrText>
          </w:r>
          <w:r>
            <w:rPr>
              <w:rFonts w:ascii="仿宋" w:hAnsi="仿宋" w:eastAsia="仿宋"/>
              <w:bCs/>
              <w:szCs w:val="24"/>
              <w:lang w:val="zh-CN"/>
            </w:rPr>
            <w:fldChar w:fldCharType="separate"/>
          </w:r>
          <w:r>
            <w:rPr>
              <w:rFonts w:hint="eastAsia" w:ascii="仿宋" w:hAnsi="仿宋" w:eastAsia="仿宋" w:cs="仿宋"/>
              <w:bCs/>
            </w:rPr>
            <w:t>第一章采购货物概况</w:t>
          </w:r>
          <w:r>
            <w:tab/>
          </w:r>
          <w:r>
            <w:fldChar w:fldCharType="begin"/>
          </w:r>
          <w:r>
            <w:instrText xml:space="preserve"> PAGEREF _Toc16942 \h </w:instrText>
          </w:r>
          <w:r>
            <w:fldChar w:fldCharType="separate"/>
          </w:r>
          <w:r>
            <w:t>1</w:t>
          </w:r>
          <w:r>
            <w:fldChar w:fldCharType="end"/>
          </w:r>
          <w:r>
            <w:rPr>
              <w:rFonts w:ascii="仿宋" w:hAnsi="仿宋" w:eastAsia="仿宋"/>
              <w:bCs/>
              <w:color w:val="auto"/>
              <w:szCs w:val="24"/>
              <w:lang w:val="zh-CN"/>
            </w:rPr>
            <w:fldChar w:fldCharType="end"/>
          </w:r>
        </w:p>
        <w:p w14:paraId="5821EEB7">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_Toc14402 </w:instrText>
          </w:r>
          <w:r>
            <w:rPr>
              <w:rFonts w:ascii="仿宋" w:hAnsi="仿宋" w:eastAsia="仿宋"/>
              <w:bCs/>
              <w:szCs w:val="24"/>
              <w:lang w:val="zh-CN"/>
            </w:rPr>
            <w:fldChar w:fldCharType="separate"/>
          </w:r>
          <w:r>
            <w:rPr>
              <w:rFonts w:hint="eastAsia" w:ascii="仿宋" w:hAnsi="仿宋" w:eastAsia="仿宋" w:cs="仿宋"/>
              <w:bCs/>
            </w:rPr>
            <w:t>第一节使用环境</w:t>
          </w:r>
          <w:r>
            <w:tab/>
          </w:r>
          <w:r>
            <w:fldChar w:fldCharType="begin"/>
          </w:r>
          <w:r>
            <w:instrText xml:space="preserve"> PAGEREF _Toc14402 \h </w:instrText>
          </w:r>
          <w:r>
            <w:fldChar w:fldCharType="separate"/>
          </w:r>
          <w:r>
            <w:t>1</w:t>
          </w:r>
          <w:r>
            <w:fldChar w:fldCharType="end"/>
          </w:r>
          <w:r>
            <w:rPr>
              <w:rFonts w:ascii="仿宋" w:hAnsi="仿宋" w:eastAsia="仿宋"/>
              <w:bCs/>
              <w:color w:val="auto"/>
              <w:szCs w:val="24"/>
              <w:lang w:val="zh-CN"/>
            </w:rPr>
            <w:fldChar w:fldCharType="end"/>
          </w:r>
        </w:p>
        <w:p w14:paraId="7EF63FF8">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_Toc32701 </w:instrText>
          </w:r>
          <w:r>
            <w:rPr>
              <w:rFonts w:ascii="仿宋" w:hAnsi="仿宋" w:eastAsia="仿宋"/>
              <w:bCs/>
              <w:szCs w:val="24"/>
              <w:lang w:val="zh-CN"/>
            </w:rPr>
            <w:fldChar w:fldCharType="separate"/>
          </w:r>
          <w:r>
            <w:rPr>
              <w:rFonts w:hint="eastAsia" w:ascii="仿宋" w:hAnsi="仿宋" w:eastAsia="仿宋" w:cs="仿宋"/>
              <w:bCs/>
            </w:rPr>
            <w:t>第二节采购货物概况</w:t>
          </w:r>
          <w:r>
            <w:tab/>
          </w:r>
          <w:r>
            <w:fldChar w:fldCharType="begin"/>
          </w:r>
          <w:r>
            <w:instrText xml:space="preserve"> PAGEREF _Toc32701 \h </w:instrText>
          </w:r>
          <w:r>
            <w:fldChar w:fldCharType="separate"/>
          </w:r>
          <w:r>
            <w:t>1</w:t>
          </w:r>
          <w:r>
            <w:fldChar w:fldCharType="end"/>
          </w:r>
          <w:r>
            <w:rPr>
              <w:rFonts w:ascii="仿宋" w:hAnsi="仿宋" w:eastAsia="仿宋"/>
              <w:bCs/>
              <w:color w:val="auto"/>
              <w:szCs w:val="24"/>
              <w:lang w:val="zh-CN"/>
            </w:rPr>
            <w:fldChar w:fldCharType="end"/>
          </w:r>
        </w:p>
        <w:p w14:paraId="25963576">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_Toc32476 </w:instrText>
          </w:r>
          <w:r>
            <w:rPr>
              <w:rFonts w:ascii="仿宋" w:hAnsi="仿宋" w:eastAsia="仿宋"/>
              <w:bCs/>
              <w:szCs w:val="24"/>
              <w:lang w:val="zh-CN"/>
            </w:rPr>
            <w:fldChar w:fldCharType="separate"/>
          </w:r>
          <w:r>
            <w:rPr>
              <w:rFonts w:hint="eastAsia" w:ascii="仿宋" w:hAnsi="仿宋" w:eastAsia="仿宋" w:cs="仿宋"/>
              <w:bCs/>
            </w:rPr>
            <w:t>第二章技术要求</w:t>
          </w:r>
          <w:r>
            <w:tab/>
          </w:r>
          <w:r>
            <w:fldChar w:fldCharType="begin"/>
          </w:r>
          <w:r>
            <w:instrText xml:space="preserve"> PAGEREF _Toc32476 \h </w:instrText>
          </w:r>
          <w:r>
            <w:fldChar w:fldCharType="separate"/>
          </w:r>
          <w:r>
            <w:t>2</w:t>
          </w:r>
          <w:r>
            <w:fldChar w:fldCharType="end"/>
          </w:r>
          <w:r>
            <w:rPr>
              <w:rFonts w:ascii="仿宋" w:hAnsi="仿宋" w:eastAsia="仿宋"/>
              <w:bCs/>
              <w:color w:val="auto"/>
              <w:szCs w:val="24"/>
              <w:lang w:val="zh-CN"/>
            </w:rPr>
            <w:fldChar w:fldCharType="end"/>
          </w:r>
        </w:p>
        <w:p w14:paraId="2CAB207A">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_Toc18619 </w:instrText>
          </w:r>
          <w:r>
            <w:rPr>
              <w:rFonts w:ascii="仿宋" w:hAnsi="仿宋" w:eastAsia="仿宋"/>
              <w:bCs/>
              <w:szCs w:val="24"/>
              <w:lang w:val="zh-CN"/>
            </w:rPr>
            <w:fldChar w:fldCharType="separate"/>
          </w:r>
          <w:r>
            <w:rPr>
              <w:rFonts w:hint="eastAsia" w:ascii="仿宋" w:hAnsi="仿宋" w:eastAsia="仿宋" w:cs="仿宋"/>
              <w:bCs/>
            </w:rPr>
            <w:t>1</w:t>
          </w:r>
          <w:r>
            <w:rPr>
              <w:rFonts w:hint="eastAsia" w:ascii="仿宋" w:hAnsi="仿宋" w:eastAsia="仿宋" w:cs="仿宋"/>
              <w:bCs/>
              <w:lang w:val="en-US" w:eastAsia="zh-CN"/>
            </w:rPr>
            <w:t xml:space="preserve"> </w:t>
          </w:r>
          <w:r>
            <w:rPr>
              <w:rFonts w:hint="eastAsia" w:ascii="仿宋" w:hAnsi="仿宋" w:eastAsia="仿宋" w:cs="仿宋"/>
              <w:bCs/>
            </w:rPr>
            <w:t>基本要求</w:t>
          </w:r>
          <w:r>
            <w:tab/>
          </w:r>
          <w:r>
            <w:fldChar w:fldCharType="begin"/>
          </w:r>
          <w:r>
            <w:instrText xml:space="preserve"> PAGEREF _Toc18619 \h </w:instrText>
          </w:r>
          <w:r>
            <w:fldChar w:fldCharType="separate"/>
          </w:r>
          <w:r>
            <w:t>2</w:t>
          </w:r>
          <w:r>
            <w:fldChar w:fldCharType="end"/>
          </w:r>
          <w:r>
            <w:rPr>
              <w:rFonts w:ascii="仿宋" w:hAnsi="仿宋" w:eastAsia="仿宋"/>
              <w:bCs/>
              <w:color w:val="auto"/>
              <w:szCs w:val="24"/>
              <w:lang w:val="zh-CN"/>
            </w:rPr>
            <w:fldChar w:fldCharType="end"/>
          </w:r>
        </w:p>
        <w:p w14:paraId="19308B18">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_Toc32154 </w:instrText>
          </w:r>
          <w:r>
            <w:rPr>
              <w:rFonts w:ascii="仿宋" w:hAnsi="仿宋" w:eastAsia="仿宋"/>
              <w:bCs/>
              <w:szCs w:val="24"/>
              <w:lang w:val="zh-CN"/>
            </w:rPr>
            <w:fldChar w:fldCharType="separate"/>
          </w:r>
          <w:r>
            <w:rPr>
              <w:rFonts w:hint="eastAsia" w:ascii="仿宋" w:hAnsi="仿宋" w:eastAsia="仿宋" w:cs="仿宋"/>
              <w:bCs/>
            </w:rPr>
            <w:t xml:space="preserve">2 </w:t>
          </w:r>
          <w:r>
            <w:rPr>
              <w:rFonts w:hint="eastAsia" w:ascii="仿宋" w:hAnsi="仿宋" w:eastAsia="仿宋" w:cs="仿宋"/>
              <w:lang w:bidi="ar"/>
            </w:rPr>
            <w:t>执行标准</w:t>
          </w:r>
          <w:r>
            <w:tab/>
          </w:r>
          <w:r>
            <w:fldChar w:fldCharType="begin"/>
          </w:r>
          <w:r>
            <w:instrText xml:space="preserve"> PAGEREF _Toc32154 \h </w:instrText>
          </w:r>
          <w:r>
            <w:fldChar w:fldCharType="separate"/>
          </w:r>
          <w:r>
            <w:t>4</w:t>
          </w:r>
          <w:r>
            <w:fldChar w:fldCharType="end"/>
          </w:r>
          <w:r>
            <w:rPr>
              <w:rFonts w:ascii="仿宋" w:hAnsi="仿宋" w:eastAsia="仿宋"/>
              <w:bCs/>
              <w:color w:val="auto"/>
              <w:szCs w:val="24"/>
              <w:lang w:val="zh-CN"/>
            </w:rPr>
            <w:fldChar w:fldCharType="end"/>
          </w:r>
        </w:p>
        <w:p w14:paraId="67546308">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_Toc12028 </w:instrText>
          </w:r>
          <w:r>
            <w:rPr>
              <w:rFonts w:ascii="仿宋" w:hAnsi="仿宋" w:eastAsia="仿宋"/>
              <w:bCs/>
              <w:szCs w:val="24"/>
              <w:lang w:val="zh-CN"/>
            </w:rPr>
            <w:fldChar w:fldCharType="separate"/>
          </w:r>
          <w:r>
            <w:rPr>
              <w:rFonts w:hint="eastAsia" w:ascii="仿宋" w:hAnsi="仿宋" w:eastAsia="仿宋" w:cs="仿宋"/>
              <w:bCs/>
            </w:rPr>
            <w:t>3</w:t>
          </w:r>
          <w:r>
            <w:rPr>
              <w:rFonts w:hint="eastAsia" w:ascii="仿宋" w:hAnsi="仿宋" w:eastAsia="仿宋" w:cs="仿宋"/>
              <w:bCs/>
              <w:lang w:val="en-US" w:eastAsia="zh-CN"/>
            </w:rPr>
            <w:t xml:space="preserve"> </w:t>
          </w:r>
          <w:r>
            <w:rPr>
              <w:rFonts w:hint="eastAsia" w:ascii="仿宋" w:hAnsi="仿宋" w:eastAsia="仿宋" w:cs="仿宋"/>
              <w:bCs/>
            </w:rPr>
            <w:t>技术规范</w:t>
          </w:r>
          <w:r>
            <w:tab/>
          </w:r>
          <w:r>
            <w:fldChar w:fldCharType="begin"/>
          </w:r>
          <w:r>
            <w:instrText xml:space="preserve"> PAGEREF _Toc12028 \h </w:instrText>
          </w:r>
          <w:r>
            <w:fldChar w:fldCharType="separate"/>
          </w:r>
          <w:r>
            <w:t>5</w:t>
          </w:r>
          <w:r>
            <w:fldChar w:fldCharType="end"/>
          </w:r>
          <w:r>
            <w:rPr>
              <w:rFonts w:ascii="仿宋" w:hAnsi="仿宋" w:eastAsia="仿宋"/>
              <w:bCs/>
              <w:color w:val="auto"/>
              <w:szCs w:val="24"/>
              <w:lang w:val="zh-CN"/>
            </w:rPr>
            <w:fldChar w:fldCharType="end"/>
          </w:r>
        </w:p>
        <w:p w14:paraId="214D6505">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_Toc21641 </w:instrText>
          </w:r>
          <w:r>
            <w:rPr>
              <w:rFonts w:ascii="仿宋" w:hAnsi="仿宋" w:eastAsia="仿宋"/>
              <w:bCs/>
              <w:szCs w:val="24"/>
              <w:lang w:val="zh-CN"/>
            </w:rPr>
            <w:fldChar w:fldCharType="separate"/>
          </w:r>
          <w:r>
            <w:rPr>
              <w:rFonts w:hint="eastAsia" w:ascii="仿宋" w:hAnsi="仿宋" w:eastAsia="仿宋" w:cs="仿宋"/>
              <w:bCs/>
            </w:rPr>
            <w:t>4</w:t>
          </w:r>
          <w:r>
            <w:rPr>
              <w:rFonts w:hint="eastAsia" w:ascii="仿宋" w:hAnsi="仿宋" w:eastAsia="仿宋" w:cs="仿宋"/>
              <w:bCs/>
              <w:lang w:val="en-US" w:eastAsia="zh-CN"/>
            </w:rPr>
            <w:t xml:space="preserve"> </w:t>
          </w:r>
          <w:r>
            <w:rPr>
              <w:rFonts w:hint="eastAsia" w:ascii="仿宋" w:hAnsi="仿宋" w:eastAsia="仿宋" w:cs="仿宋"/>
              <w:bCs/>
            </w:rPr>
            <w:t>特别提示</w:t>
          </w:r>
          <w:r>
            <w:tab/>
          </w:r>
          <w:r>
            <w:fldChar w:fldCharType="begin"/>
          </w:r>
          <w:r>
            <w:instrText xml:space="preserve"> PAGEREF _Toc21641 \h </w:instrText>
          </w:r>
          <w:r>
            <w:fldChar w:fldCharType="separate"/>
          </w:r>
          <w:r>
            <w:t>14</w:t>
          </w:r>
          <w:r>
            <w:fldChar w:fldCharType="end"/>
          </w:r>
          <w:r>
            <w:rPr>
              <w:rFonts w:ascii="仿宋" w:hAnsi="仿宋" w:eastAsia="仿宋"/>
              <w:bCs/>
              <w:color w:val="auto"/>
              <w:szCs w:val="24"/>
              <w:lang w:val="zh-CN"/>
            </w:rPr>
            <w:fldChar w:fldCharType="end"/>
          </w:r>
        </w:p>
        <w:p w14:paraId="307FDBC9">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_Toc31159 </w:instrText>
          </w:r>
          <w:r>
            <w:rPr>
              <w:rFonts w:ascii="仿宋" w:hAnsi="仿宋" w:eastAsia="仿宋"/>
              <w:bCs/>
              <w:szCs w:val="24"/>
              <w:lang w:val="zh-CN"/>
            </w:rPr>
            <w:fldChar w:fldCharType="separate"/>
          </w:r>
          <w:r>
            <w:rPr>
              <w:rFonts w:hint="eastAsia" w:ascii="仿宋" w:hAnsi="仿宋" w:eastAsia="仿宋" w:cs="仿宋"/>
              <w:bCs/>
            </w:rPr>
            <w:t>第三章</w:t>
          </w:r>
          <w:r>
            <w:rPr>
              <w:rFonts w:hint="eastAsia" w:ascii="仿宋" w:hAnsi="仿宋" w:eastAsia="仿宋" w:cs="仿宋"/>
              <w:bCs/>
              <w:lang w:val="en-US" w:eastAsia="zh-CN"/>
            </w:rPr>
            <w:t xml:space="preserve"> </w:t>
          </w:r>
          <w:r>
            <w:rPr>
              <w:rFonts w:hint="eastAsia" w:ascii="仿宋" w:hAnsi="仿宋" w:eastAsia="仿宋" w:cs="仿宋"/>
              <w:bCs/>
            </w:rPr>
            <w:t>供货范围及供货方式</w:t>
          </w:r>
          <w:r>
            <w:tab/>
          </w:r>
          <w:r>
            <w:fldChar w:fldCharType="begin"/>
          </w:r>
          <w:r>
            <w:instrText xml:space="preserve"> PAGEREF _Toc31159 \h </w:instrText>
          </w:r>
          <w:r>
            <w:fldChar w:fldCharType="separate"/>
          </w:r>
          <w:r>
            <w:t>15</w:t>
          </w:r>
          <w:r>
            <w:fldChar w:fldCharType="end"/>
          </w:r>
          <w:r>
            <w:rPr>
              <w:rFonts w:ascii="仿宋" w:hAnsi="仿宋" w:eastAsia="仿宋"/>
              <w:bCs/>
              <w:color w:val="auto"/>
              <w:szCs w:val="24"/>
              <w:lang w:val="zh-CN"/>
            </w:rPr>
            <w:fldChar w:fldCharType="end"/>
          </w:r>
        </w:p>
        <w:p w14:paraId="6901DE04">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_Toc16351 </w:instrText>
          </w:r>
          <w:r>
            <w:rPr>
              <w:rFonts w:ascii="仿宋" w:hAnsi="仿宋" w:eastAsia="仿宋"/>
              <w:bCs/>
              <w:szCs w:val="24"/>
              <w:lang w:val="zh-CN"/>
            </w:rPr>
            <w:fldChar w:fldCharType="separate"/>
          </w:r>
          <w:r>
            <w:rPr>
              <w:rFonts w:hint="eastAsia" w:ascii="仿宋" w:hAnsi="仿宋" w:eastAsia="仿宋" w:cs="仿宋"/>
              <w:bCs w:val="0"/>
              <w:szCs w:val="24"/>
            </w:rPr>
            <w:t>第一节</w:t>
          </w:r>
          <w:r>
            <w:rPr>
              <w:rFonts w:hint="eastAsia" w:ascii="仿宋" w:hAnsi="仿宋" w:eastAsia="仿宋" w:cs="仿宋"/>
              <w:bCs w:val="0"/>
              <w:szCs w:val="24"/>
              <w:lang w:val="en-US" w:eastAsia="zh-CN"/>
            </w:rPr>
            <w:t xml:space="preserve"> </w:t>
          </w:r>
          <w:r>
            <w:rPr>
              <w:rFonts w:hint="eastAsia" w:ascii="仿宋" w:hAnsi="仿宋" w:eastAsia="仿宋" w:cs="仿宋"/>
              <w:bCs w:val="0"/>
              <w:szCs w:val="24"/>
            </w:rPr>
            <w:t>供货范围</w:t>
          </w:r>
          <w:r>
            <w:tab/>
          </w:r>
          <w:r>
            <w:fldChar w:fldCharType="begin"/>
          </w:r>
          <w:r>
            <w:instrText xml:space="preserve"> PAGEREF _Toc16351 \h </w:instrText>
          </w:r>
          <w:r>
            <w:fldChar w:fldCharType="separate"/>
          </w:r>
          <w:r>
            <w:t>15</w:t>
          </w:r>
          <w:r>
            <w:fldChar w:fldCharType="end"/>
          </w:r>
          <w:r>
            <w:rPr>
              <w:rFonts w:ascii="仿宋" w:hAnsi="仿宋" w:eastAsia="仿宋"/>
              <w:bCs/>
              <w:color w:val="auto"/>
              <w:szCs w:val="24"/>
              <w:lang w:val="zh-CN"/>
            </w:rPr>
            <w:fldChar w:fldCharType="end"/>
          </w:r>
        </w:p>
        <w:p w14:paraId="43041783">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_Toc9917 </w:instrText>
          </w:r>
          <w:r>
            <w:rPr>
              <w:rFonts w:ascii="仿宋" w:hAnsi="仿宋" w:eastAsia="仿宋"/>
              <w:bCs/>
              <w:szCs w:val="24"/>
              <w:lang w:val="zh-CN"/>
            </w:rPr>
            <w:fldChar w:fldCharType="separate"/>
          </w:r>
          <w:r>
            <w:rPr>
              <w:rFonts w:hint="eastAsia" w:ascii="仿宋" w:hAnsi="仿宋" w:eastAsia="仿宋" w:cs="仿宋"/>
              <w:bCs w:val="0"/>
              <w:highlight w:val="none"/>
            </w:rPr>
            <w:t>第二节</w:t>
          </w:r>
          <w:r>
            <w:rPr>
              <w:rFonts w:hint="eastAsia" w:ascii="仿宋" w:hAnsi="仿宋" w:eastAsia="仿宋" w:cs="仿宋"/>
              <w:bCs w:val="0"/>
              <w:highlight w:val="none"/>
              <w:lang w:val="en-US" w:eastAsia="zh-CN"/>
            </w:rPr>
            <w:t xml:space="preserve"> </w:t>
          </w:r>
          <w:r>
            <w:rPr>
              <w:rFonts w:hint="eastAsia" w:ascii="仿宋" w:hAnsi="仿宋" w:eastAsia="仿宋" w:cs="仿宋"/>
              <w:bCs w:val="0"/>
              <w:highlight w:val="none"/>
            </w:rPr>
            <w:t>供货方式</w:t>
          </w:r>
          <w:r>
            <w:tab/>
          </w:r>
          <w:r>
            <w:fldChar w:fldCharType="begin"/>
          </w:r>
          <w:r>
            <w:instrText xml:space="preserve"> PAGEREF _Toc9917 \h </w:instrText>
          </w:r>
          <w:r>
            <w:fldChar w:fldCharType="separate"/>
          </w:r>
          <w:r>
            <w:t>18</w:t>
          </w:r>
          <w:r>
            <w:fldChar w:fldCharType="end"/>
          </w:r>
          <w:r>
            <w:rPr>
              <w:rFonts w:ascii="仿宋" w:hAnsi="仿宋" w:eastAsia="仿宋"/>
              <w:bCs/>
              <w:color w:val="auto"/>
              <w:szCs w:val="24"/>
              <w:lang w:val="zh-CN"/>
            </w:rPr>
            <w:fldChar w:fldCharType="end"/>
          </w:r>
        </w:p>
        <w:p w14:paraId="4282B4E1">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_Toc30422 </w:instrText>
          </w:r>
          <w:r>
            <w:rPr>
              <w:rFonts w:ascii="仿宋" w:hAnsi="仿宋" w:eastAsia="仿宋"/>
              <w:bCs/>
              <w:szCs w:val="24"/>
              <w:lang w:val="zh-CN"/>
            </w:rPr>
            <w:fldChar w:fldCharType="separate"/>
          </w:r>
          <w:r>
            <w:rPr>
              <w:rFonts w:hint="eastAsia" w:ascii="仿宋" w:hAnsi="仿宋" w:eastAsia="仿宋" w:cs="仿宋"/>
              <w:bCs/>
            </w:rPr>
            <w:t>第四章售中售后服务</w:t>
          </w:r>
          <w:r>
            <w:tab/>
          </w:r>
          <w:r>
            <w:fldChar w:fldCharType="begin"/>
          </w:r>
          <w:r>
            <w:instrText xml:space="preserve"> PAGEREF _Toc30422 \h </w:instrText>
          </w:r>
          <w:r>
            <w:fldChar w:fldCharType="separate"/>
          </w:r>
          <w:r>
            <w:t>20</w:t>
          </w:r>
          <w:r>
            <w:fldChar w:fldCharType="end"/>
          </w:r>
          <w:r>
            <w:rPr>
              <w:rFonts w:ascii="仿宋" w:hAnsi="仿宋" w:eastAsia="仿宋"/>
              <w:bCs/>
              <w:color w:val="auto"/>
              <w:szCs w:val="24"/>
              <w:lang w:val="zh-CN"/>
            </w:rPr>
            <w:fldChar w:fldCharType="end"/>
          </w:r>
        </w:p>
        <w:p w14:paraId="27BFA82D">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_Toc9825 </w:instrText>
          </w:r>
          <w:r>
            <w:rPr>
              <w:rFonts w:ascii="仿宋" w:hAnsi="仿宋" w:eastAsia="仿宋"/>
              <w:bCs/>
              <w:szCs w:val="24"/>
              <w:lang w:val="zh-CN"/>
            </w:rPr>
            <w:fldChar w:fldCharType="separate"/>
          </w:r>
          <w:r>
            <w:rPr>
              <w:rFonts w:hint="eastAsia" w:ascii="仿宋" w:hAnsi="仿宋" w:eastAsia="仿宋" w:cs="仿宋"/>
              <w:bCs/>
            </w:rPr>
            <w:t>1技术及培训服务</w:t>
          </w:r>
          <w:r>
            <w:tab/>
          </w:r>
          <w:r>
            <w:fldChar w:fldCharType="begin"/>
          </w:r>
          <w:r>
            <w:instrText xml:space="preserve"> PAGEREF _Toc9825 \h </w:instrText>
          </w:r>
          <w:r>
            <w:fldChar w:fldCharType="separate"/>
          </w:r>
          <w:r>
            <w:t>20</w:t>
          </w:r>
          <w:r>
            <w:fldChar w:fldCharType="end"/>
          </w:r>
          <w:r>
            <w:rPr>
              <w:rFonts w:ascii="仿宋" w:hAnsi="仿宋" w:eastAsia="仿宋"/>
              <w:bCs/>
              <w:color w:val="auto"/>
              <w:szCs w:val="24"/>
              <w:lang w:val="zh-CN"/>
            </w:rPr>
            <w:fldChar w:fldCharType="end"/>
          </w:r>
        </w:p>
        <w:p w14:paraId="2B7AA6D5">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_Toc28265 </w:instrText>
          </w:r>
          <w:r>
            <w:rPr>
              <w:rFonts w:ascii="仿宋" w:hAnsi="仿宋" w:eastAsia="仿宋"/>
              <w:bCs/>
              <w:szCs w:val="24"/>
              <w:lang w:val="zh-CN"/>
            </w:rPr>
            <w:fldChar w:fldCharType="separate"/>
          </w:r>
          <w:r>
            <w:rPr>
              <w:rFonts w:hint="eastAsia" w:ascii="仿宋" w:hAnsi="仿宋" w:eastAsia="仿宋" w:cs="仿宋"/>
              <w:bCs/>
            </w:rPr>
            <w:t>2安装调试服务</w:t>
          </w:r>
          <w:r>
            <w:tab/>
          </w:r>
          <w:r>
            <w:fldChar w:fldCharType="begin"/>
          </w:r>
          <w:r>
            <w:instrText xml:space="preserve"> PAGEREF _Toc28265 \h </w:instrText>
          </w:r>
          <w:r>
            <w:fldChar w:fldCharType="separate"/>
          </w:r>
          <w:r>
            <w:t>21</w:t>
          </w:r>
          <w:r>
            <w:fldChar w:fldCharType="end"/>
          </w:r>
          <w:r>
            <w:rPr>
              <w:rFonts w:ascii="仿宋" w:hAnsi="仿宋" w:eastAsia="仿宋"/>
              <w:bCs/>
              <w:color w:val="auto"/>
              <w:szCs w:val="24"/>
              <w:lang w:val="zh-CN"/>
            </w:rPr>
            <w:fldChar w:fldCharType="end"/>
          </w:r>
        </w:p>
        <w:p w14:paraId="569601E7">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_Toc12232 </w:instrText>
          </w:r>
          <w:r>
            <w:rPr>
              <w:rFonts w:ascii="仿宋" w:hAnsi="仿宋" w:eastAsia="仿宋"/>
              <w:bCs/>
              <w:szCs w:val="24"/>
              <w:lang w:val="zh-CN"/>
            </w:rPr>
            <w:fldChar w:fldCharType="separate"/>
          </w:r>
          <w:r>
            <w:rPr>
              <w:rFonts w:hint="eastAsia" w:ascii="仿宋" w:hAnsi="仿宋" w:eastAsia="仿宋" w:cs="仿宋"/>
              <w:bCs/>
            </w:rPr>
            <w:t>3验收服务</w:t>
          </w:r>
          <w:r>
            <w:tab/>
          </w:r>
          <w:r>
            <w:fldChar w:fldCharType="begin"/>
          </w:r>
          <w:r>
            <w:instrText xml:space="preserve"> PAGEREF _Toc12232 \h </w:instrText>
          </w:r>
          <w:r>
            <w:fldChar w:fldCharType="separate"/>
          </w:r>
          <w:r>
            <w:t>21</w:t>
          </w:r>
          <w:r>
            <w:fldChar w:fldCharType="end"/>
          </w:r>
          <w:r>
            <w:rPr>
              <w:rFonts w:ascii="仿宋" w:hAnsi="仿宋" w:eastAsia="仿宋"/>
              <w:bCs/>
              <w:color w:val="auto"/>
              <w:szCs w:val="24"/>
              <w:lang w:val="zh-CN"/>
            </w:rPr>
            <w:fldChar w:fldCharType="end"/>
          </w:r>
        </w:p>
        <w:p w14:paraId="6EB6EB0F">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_Toc1784 </w:instrText>
          </w:r>
          <w:r>
            <w:rPr>
              <w:rFonts w:ascii="仿宋" w:hAnsi="仿宋" w:eastAsia="仿宋"/>
              <w:bCs/>
              <w:szCs w:val="24"/>
              <w:lang w:val="zh-CN"/>
            </w:rPr>
            <w:fldChar w:fldCharType="separate"/>
          </w:r>
          <w:r>
            <w:rPr>
              <w:rFonts w:hint="eastAsia" w:ascii="仿宋" w:hAnsi="仿宋" w:eastAsia="仿宋" w:cs="仿宋"/>
              <w:bCs/>
            </w:rPr>
            <w:t>4售后服务</w:t>
          </w:r>
          <w:r>
            <w:tab/>
          </w:r>
          <w:r>
            <w:fldChar w:fldCharType="begin"/>
          </w:r>
          <w:r>
            <w:instrText xml:space="preserve"> PAGEREF _Toc1784 \h </w:instrText>
          </w:r>
          <w:r>
            <w:fldChar w:fldCharType="separate"/>
          </w:r>
          <w:r>
            <w:t>21</w:t>
          </w:r>
          <w:r>
            <w:fldChar w:fldCharType="end"/>
          </w:r>
          <w:r>
            <w:rPr>
              <w:rFonts w:ascii="仿宋" w:hAnsi="仿宋" w:eastAsia="仿宋"/>
              <w:bCs/>
              <w:color w:val="auto"/>
              <w:szCs w:val="24"/>
              <w:lang w:val="zh-CN"/>
            </w:rPr>
            <w:fldChar w:fldCharType="end"/>
          </w:r>
        </w:p>
        <w:p w14:paraId="19536D38">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_Toc14447 </w:instrText>
          </w:r>
          <w:r>
            <w:rPr>
              <w:rFonts w:ascii="仿宋" w:hAnsi="仿宋" w:eastAsia="仿宋"/>
              <w:bCs/>
              <w:szCs w:val="24"/>
              <w:lang w:val="zh-CN"/>
            </w:rPr>
            <w:fldChar w:fldCharType="separate"/>
          </w:r>
          <w:r>
            <w:rPr>
              <w:rFonts w:hint="eastAsia" w:ascii="仿宋" w:hAnsi="仿宋" w:eastAsia="仿宋" w:cs="仿宋"/>
              <w:bCs/>
              <w:highlight w:val="none"/>
            </w:rPr>
            <w:t>5其它服务</w:t>
          </w:r>
          <w:r>
            <w:tab/>
          </w:r>
          <w:r>
            <w:fldChar w:fldCharType="begin"/>
          </w:r>
          <w:r>
            <w:instrText xml:space="preserve"> PAGEREF _Toc14447 \h </w:instrText>
          </w:r>
          <w:r>
            <w:fldChar w:fldCharType="separate"/>
          </w:r>
          <w:r>
            <w:t>22</w:t>
          </w:r>
          <w:r>
            <w:fldChar w:fldCharType="end"/>
          </w:r>
          <w:r>
            <w:rPr>
              <w:rFonts w:ascii="仿宋" w:hAnsi="仿宋" w:eastAsia="仿宋"/>
              <w:bCs/>
              <w:color w:val="auto"/>
              <w:szCs w:val="24"/>
              <w:lang w:val="zh-CN"/>
            </w:rPr>
            <w:fldChar w:fldCharType="end"/>
          </w:r>
        </w:p>
        <w:p w14:paraId="1E730FE4">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_Toc9251 </w:instrText>
          </w:r>
          <w:r>
            <w:rPr>
              <w:rFonts w:ascii="仿宋" w:hAnsi="仿宋" w:eastAsia="仿宋"/>
              <w:bCs/>
              <w:szCs w:val="24"/>
              <w:lang w:val="zh-CN"/>
            </w:rPr>
            <w:fldChar w:fldCharType="separate"/>
          </w:r>
          <w:r>
            <w:rPr>
              <w:rFonts w:hint="eastAsia" w:ascii="仿宋" w:hAnsi="仿宋" w:eastAsia="仿宋" w:cs="仿宋"/>
              <w:bCs/>
            </w:rPr>
            <w:t>第五章</w:t>
          </w:r>
          <w:r>
            <w:rPr>
              <w:rFonts w:hint="eastAsia" w:ascii="仿宋" w:hAnsi="仿宋" w:eastAsia="仿宋" w:cs="仿宋"/>
              <w:bCs/>
              <w:lang w:val="en-US" w:eastAsia="zh-CN"/>
            </w:rPr>
            <w:t xml:space="preserve"> </w:t>
          </w:r>
          <w:r>
            <w:rPr>
              <w:rFonts w:hint="eastAsia" w:ascii="仿宋" w:hAnsi="仿宋" w:eastAsia="仿宋" w:cs="仿宋"/>
              <w:bCs/>
            </w:rPr>
            <w:t>预验收和终验收</w:t>
          </w:r>
          <w:r>
            <w:tab/>
          </w:r>
          <w:r>
            <w:fldChar w:fldCharType="begin"/>
          </w:r>
          <w:r>
            <w:instrText xml:space="preserve"> PAGEREF _Toc9251 \h </w:instrText>
          </w:r>
          <w:r>
            <w:fldChar w:fldCharType="separate"/>
          </w:r>
          <w:r>
            <w:t>22</w:t>
          </w:r>
          <w:r>
            <w:fldChar w:fldCharType="end"/>
          </w:r>
          <w:r>
            <w:rPr>
              <w:rFonts w:ascii="仿宋" w:hAnsi="仿宋" w:eastAsia="仿宋"/>
              <w:bCs/>
              <w:color w:val="auto"/>
              <w:szCs w:val="24"/>
              <w:lang w:val="zh-CN"/>
            </w:rPr>
            <w:fldChar w:fldCharType="end"/>
          </w:r>
        </w:p>
        <w:p w14:paraId="5E70F3C8">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_Toc12587 </w:instrText>
          </w:r>
          <w:r>
            <w:rPr>
              <w:rFonts w:ascii="仿宋" w:hAnsi="仿宋" w:eastAsia="仿宋"/>
              <w:bCs/>
              <w:szCs w:val="24"/>
              <w:lang w:val="zh-CN"/>
            </w:rPr>
            <w:fldChar w:fldCharType="separate"/>
          </w:r>
          <w:r>
            <w:rPr>
              <w:rFonts w:hint="eastAsia" w:ascii="仿宋" w:hAnsi="仿宋" w:eastAsia="仿宋" w:cs="仿宋"/>
              <w:bCs/>
            </w:rPr>
            <w:t>1验收的一般约定</w:t>
          </w:r>
          <w:r>
            <w:tab/>
          </w:r>
          <w:r>
            <w:fldChar w:fldCharType="begin"/>
          </w:r>
          <w:r>
            <w:instrText xml:space="preserve"> PAGEREF _Toc12587 \h </w:instrText>
          </w:r>
          <w:r>
            <w:fldChar w:fldCharType="separate"/>
          </w:r>
          <w:r>
            <w:t>22</w:t>
          </w:r>
          <w:r>
            <w:fldChar w:fldCharType="end"/>
          </w:r>
          <w:r>
            <w:rPr>
              <w:rFonts w:ascii="仿宋" w:hAnsi="仿宋" w:eastAsia="仿宋"/>
              <w:bCs/>
              <w:color w:val="auto"/>
              <w:szCs w:val="24"/>
              <w:lang w:val="zh-CN"/>
            </w:rPr>
            <w:fldChar w:fldCharType="end"/>
          </w:r>
        </w:p>
        <w:p w14:paraId="1535E997">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_Toc26712 </w:instrText>
          </w:r>
          <w:r>
            <w:rPr>
              <w:rFonts w:ascii="仿宋" w:hAnsi="仿宋" w:eastAsia="仿宋"/>
              <w:bCs/>
              <w:szCs w:val="24"/>
              <w:lang w:val="zh-CN"/>
            </w:rPr>
            <w:fldChar w:fldCharType="separate"/>
          </w:r>
          <w:r>
            <w:rPr>
              <w:rFonts w:hint="eastAsia" w:ascii="仿宋" w:hAnsi="仿宋" w:eastAsia="仿宋" w:cs="仿宋"/>
              <w:bCs/>
              <w:highlight w:val="none"/>
            </w:rPr>
            <w:t>2检验</w:t>
          </w:r>
          <w:r>
            <w:tab/>
          </w:r>
          <w:r>
            <w:fldChar w:fldCharType="begin"/>
          </w:r>
          <w:r>
            <w:instrText xml:space="preserve"> PAGEREF _Toc26712 \h </w:instrText>
          </w:r>
          <w:r>
            <w:fldChar w:fldCharType="separate"/>
          </w:r>
          <w:r>
            <w:t>22</w:t>
          </w:r>
          <w:r>
            <w:fldChar w:fldCharType="end"/>
          </w:r>
          <w:r>
            <w:rPr>
              <w:rFonts w:ascii="仿宋" w:hAnsi="仿宋" w:eastAsia="仿宋"/>
              <w:bCs/>
              <w:color w:val="auto"/>
              <w:szCs w:val="24"/>
              <w:lang w:val="zh-CN"/>
            </w:rPr>
            <w:fldChar w:fldCharType="end"/>
          </w:r>
        </w:p>
        <w:p w14:paraId="2561FBBB">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_Toc31733 </w:instrText>
          </w:r>
          <w:r>
            <w:rPr>
              <w:rFonts w:ascii="仿宋" w:hAnsi="仿宋" w:eastAsia="仿宋"/>
              <w:bCs/>
              <w:szCs w:val="24"/>
              <w:lang w:val="zh-CN"/>
            </w:rPr>
            <w:fldChar w:fldCharType="separate"/>
          </w:r>
          <w:r>
            <w:rPr>
              <w:rFonts w:hint="eastAsia" w:ascii="仿宋" w:hAnsi="仿宋" w:eastAsia="仿宋" w:cs="仿宋"/>
              <w:bCs/>
            </w:rPr>
            <w:t>3验收条件</w:t>
          </w:r>
          <w:r>
            <w:tab/>
          </w:r>
          <w:r>
            <w:fldChar w:fldCharType="begin"/>
          </w:r>
          <w:r>
            <w:instrText xml:space="preserve"> PAGEREF _Toc31733 \h </w:instrText>
          </w:r>
          <w:r>
            <w:fldChar w:fldCharType="separate"/>
          </w:r>
          <w:r>
            <w:t>23</w:t>
          </w:r>
          <w:r>
            <w:fldChar w:fldCharType="end"/>
          </w:r>
          <w:r>
            <w:rPr>
              <w:rFonts w:ascii="仿宋" w:hAnsi="仿宋" w:eastAsia="仿宋"/>
              <w:bCs/>
              <w:color w:val="auto"/>
              <w:szCs w:val="24"/>
              <w:lang w:val="zh-CN"/>
            </w:rPr>
            <w:fldChar w:fldCharType="end"/>
          </w:r>
        </w:p>
        <w:p w14:paraId="443350A2">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_Toc23010 </w:instrText>
          </w:r>
          <w:r>
            <w:rPr>
              <w:rFonts w:ascii="仿宋" w:hAnsi="仿宋" w:eastAsia="仿宋"/>
              <w:bCs/>
              <w:szCs w:val="24"/>
              <w:lang w:val="zh-CN"/>
            </w:rPr>
            <w:fldChar w:fldCharType="separate"/>
          </w:r>
          <w:r>
            <w:rPr>
              <w:rFonts w:hint="eastAsia" w:ascii="仿宋" w:hAnsi="仿宋" w:eastAsia="仿宋" w:cs="仿宋"/>
              <w:bCs/>
              <w:highlight w:val="none"/>
            </w:rPr>
            <w:t>4终验收基本要求</w:t>
          </w:r>
          <w:r>
            <w:tab/>
          </w:r>
          <w:r>
            <w:fldChar w:fldCharType="begin"/>
          </w:r>
          <w:r>
            <w:instrText xml:space="preserve"> PAGEREF _Toc23010 \h </w:instrText>
          </w:r>
          <w:r>
            <w:fldChar w:fldCharType="separate"/>
          </w:r>
          <w:r>
            <w:t>24</w:t>
          </w:r>
          <w:r>
            <w:fldChar w:fldCharType="end"/>
          </w:r>
          <w:r>
            <w:rPr>
              <w:rFonts w:ascii="仿宋" w:hAnsi="仿宋" w:eastAsia="仿宋"/>
              <w:bCs/>
              <w:color w:val="auto"/>
              <w:szCs w:val="24"/>
              <w:lang w:val="zh-CN"/>
            </w:rPr>
            <w:fldChar w:fldCharType="end"/>
          </w:r>
        </w:p>
        <w:p w14:paraId="137012EE">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_Toc26938 </w:instrText>
          </w:r>
          <w:r>
            <w:rPr>
              <w:rFonts w:ascii="仿宋" w:hAnsi="仿宋" w:eastAsia="仿宋"/>
              <w:bCs/>
              <w:szCs w:val="24"/>
              <w:lang w:val="zh-CN"/>
            </w:rPr>
            <w:fldChar w:fldCharType="separate"/>
          </w:r>
          <w:r>
            <w:rPr>
              <w:rFonts w:hint="eastAsia" w:ascii="仿宋" w:hAnsi="仿宋" w:eastAsia="仿宋" w:cs="仿宋"/>
              <w:bCs/>
            </w:rPr>
            <w:t>第六章投标技术文件一般要求</w:t>
          </w:r>
          <w:r>
            <w:tab/>
          </w:r>
          <w:r>
            <w:fldChar w:fldCharType="begin"/>
          </w:r>
          <w:r>
            <w:instrText xml:space="preserve"> PAGEREF _Toc26938 \h </w:instrText>
          </w:r>
          <w:r>
            <w:fldChar w:fldCharType="separate"/>
          </w:r>
          <w:r>
            <w:t>25</w:t>
          </w:r>
          <w:r>
            <w:fldChar w:fldCharType="end"/>
          </w:r>
          <w:r>
            <w:rPr>
              <w:rFonts w:ascii="仿宋" w:hAnsi="仿宋" w:eastAsia="仿宋"/>
              <w:bCs/>
              <w:color w:val="auto"/>
              <w:szCs w:val="24"/>
              <w:lang w:val="zh-CN"/>
            </w:rPr>
            <w:fldChar w:fldCharType="end"/>
          </w:r>
        </w:p>
        <w:p w14:paraId="3EA9079D">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_Toc9608 </w:instrText>
          </w:r>
          <w:r>
            <w:rPr>
              <w:rFonts w:ascii="仿宋" w:hAnsi="仿宋" w:eastAsia="仿宋"/>
              <w:bCs/>
              <w:szCs w:val="24"/>
              <w:lang w:val="zh-CN"/>
            </w:rPr>
            <w:fldChar w:fldCharType="separate"/>
          </w:r>
          <w:r>
            <w:rPr>
              <w:rFonts w:hint="eastAsia" w:ascii="仿宋" w:hAnsi="仿宋" w:eastAsia="仿宋" w:cs="仿宋"/>
              <w:bCs/>
            </w:rPr>
            <w:t>第七章其它要求</w:t>
          </w:r>
          <w:r>
            <w:tab/>
          </w:r>
          <w:r>
            <w:fldChar w:fldCharType="begin"/>
          </w:r>
          <w:r>
            <w:instrText xml:space="preserve"> PAGEREF _Toc9608 \h </w:instrText>
          </w:r>
          <w:r>
            <w:fldChar w:fldCharType="separate"/>
          </w:r>
          <w:r>
            <w:t>26</w:t>
          </w:r>
          <w:r>
            <w:fldChar w:fldCharType="end"/>
          </w:r>
          <w:r>
            <w:rPr>
              <w:rFonts w:ascii="仿宋" w:hAnsi="仿宋" w:eastAsia="仿宋"/>
              <w:bCs/>
              <w:color w:val="auto"/>
              <w:szCs w:val="24"/>
              <w:lang w:val="zh-CN"/>
            </w:rPr>
            <w:fldChar w:fldCharType="end"/>
          </w:r>
        </w:p>
        <w:p w14:paraId="3BB24B71">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_Toc16521 </w:instrText>
          </w:r>
          <w:r>
            <w:rPr>
              <w:rFonts w:ascii="仿宋" w:hAnsi="仿宋" w:eastAsia="仿宋"/>
              <w:bCs/>
              <w:szCs w:val="24"/>
              <w:lang w:val="zh-CN"/>
            </w:rPr>
            <w:fldChar w:fldCharType="separate"/>
          </w:r>
          <w:r>
            <w:rPr>
              <w:rFonts w:hint="eastAsia" w:ascii="仿宋" w:hAnsi="仿宋" w:eastAsia="仿宋" w:cs="仿宋"/>
              <w:bCs/>
            </w:rPr>
            <w:t>1特殊要求</w:t>
          </w:r>
          <w:r>
            <w:tab/>
          </w:r>
          <w:r>
            <w:fldChar w:fldCharType="begin"/>
          </w:r>
          <w:r>
            <w:instrText xml:space="preserve"> PAGEREF _Toc16521 \h </w:instrText>
          </w:r>
          <w:r>
            <w:fldChar w:fldCharType="separate"/>
          </w:r>
          <w:r>
            <w:t>26</w:t>
          </w:r>
          <w:r>
            <w:fldChar w:fldCharType="end"/>
          </w:r>
          <w:r>
            <w:rPr>
              <w:rFonts w:ascii="仿宋" w:hAnsi="仿宋" w:eastAsia="仿宋"/>
              <w:bCs/>
              <w:color w:val="auto"/>
              <w:szCs w:val="24"/>
              <w:lang w:val="zh-CN"/>
            </w:rPr>
            <w:fldChar w:fldCharType="end"/>
          </w:r>
        </w:p>
        <w:p w14:paraId="16D9A58C">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exact"/>
            <w:textAlignment w:val="auto"/>
          </w:pPr>
          <w:r>
            <w:rPr>
              <w:rFonts w:ascii="仿宋" w:hAnsi="仿宋" w:eastAsia="仿宋"/>
              <w:bCs/>
              <w:color w:val="auto"/>
              <w:szCs w:val="24"/>
              <w:lang w:val="zh-CN"/>
            </w:rPr>
            <w:fldChar w:fldCharType="begin"/>
          </w:r>
          <w:r>
            <w:rPr>
              <w:rFonts w:ascii="仿宋" w:hAnsi="仿宋" w:eastAsia="仿宋"/>
              <w:bCs/>
              <w:szCs w:val="24"/>
              <w:lang w:val="zh-CN"/>
            </w:rPr>
            <w:instrText xml:space="preserve"> HYPERLINK \l _Toc4853 </w:instrText>
          </w:r>
          <w:r>
            <w:rPr>
              <w:rFonts w:ascii="仿宋" w:hAnsi="仿宋" w:eastAsia="仿宋"/>
              <w:bCs/>
              <w:szCs w:val="24"/>
              <w:lang w:val="zh-CN"/>
            </w:rPr>
            <w:fldChar w:fldCharType="separate"/>
          </w:r>
          <w:r>
            <w:rPr>
              <w:rFonts w:hint="eastAsia" w:ascii="仿宋" w:hAnsi="仿宋" w:eastAsia="仿宋" w:cs="仿宋"/>
              <w:bCs/>
            </w:rPr>
            <w:t>2说明</w:t>
          </w:r>
          <w:r>
            <w:tab/>
          </w:r>
          <w:r>
            <w:fldChar w:fldCharType="begin"/>
          </w:r>
          <w:r>
            <w:instrText xml:space="preserve"> PAGEREF _Toc4853 \h </w:instrText>
          </w:r>
          <w:r>
            <w:fldChar w:fldCharType="separate"/>
          </w:r>
          <w:r>
            <w:t>27</w:t>
          </w:r>
          <w:r>
            <w:fldChar w:fldCharType="end"/>
          </w:r>
          <w:r>
            <w:rPr>
              <w:rFonts w:ascii="仿宋" w:hAnsi="仿宋" w:eastAsia="仿宋"/>
              <w:bCs/>
              <w:color w:val="auto"/>
              <w:szCs w:val="24"/>
              <w:lang w:val="zh-CN"/>
            </w:rPr>
            <w:fldChar w:fldCharType="end"/>
          </w:r>
        </w:p>
        <w:p w14:paraId="6B720B40">
          <w:pPr>
            <w:spacing w:line="360" w:lineRule="auto"/>
            <w:rPr>
              <w:b/>
              <w:bCs/>
            </w:rPr>
          </w:pPr>
          <w:r>
            <w:rPr>
              <w:rFonts w:ascii="仿宋" w:hAnsi="仿宋" w:eastAsia="仿宋"/>
              <w:bCs/>
              <w:color w:val="auto"/>
              <w:szCs w:val="24"/>
              <w:lang w:val="zh-CN"/>
            </w:rPr>
            <w:fldChar w:fldCharType="end"/>
          </w:r>
        </w:p>
      </w:sdtContent>
    </w:sdt>
    <w:p w14:paraId="25E770E6">
      <w:pPr>
        <w:pStyle w:val="117"/>
        <w:tabs>
          <w:tab w:val="right" w:leader="dot" w:pos="8312"/>
        </w:tabs>
      </w:pPr>
    </w:p>
    <w:p w14:paraId="10182410">
      <w:pPr>
        <w:adjustRightInd w:val="0"/>
        <w:snapToGrid w:val="0"/>
        <w:spacing w:before="163" w:beforeLines="50" w:after="163" w:afterLines="50" w:line="360" w:lineRule="auto"/>
        <w:jc w:val="center"/>
        <w:outlineLvl w:val="0"/>
        <w:rPr>
          <w:rFonts w:ascii="仿宋" w:hAnsi="仿宋" w:eastAsia="仿宋" w:cs="仿宋"/>
          <w:b/>
          <w:bCs/>
        </w:rPr>
      </w:pPr>
    </w:p>
    <w:p w14:paraId="5CBA417D">
      <w:pPr>
        <w:adjustRightInd w:val="0"/>
        <w:snapToGrid w:val="0"/>
        <w:spacing w:before="163" w:beforeLines="50" w:after="163" w:afterLines="50" w:line="360" w:lineRule="auto"/>
        <w:jc w:val="center"/>
        <w:outlineLvl w:val="0"/>
        <w:rPr>
          <w:rFonts w:ascii="仿宋" w:hAnsi="仿宋" w:eastAsia="仿宋" w:cs="仿宋"/>
        </w:rPr>
        <w:sectPr>
          <w:footerReference r:id="rId8" w:type="default"/>
          <w:pgSz w:w="11906" w:h="16838"/>
          <w:pgMar w:top="1383" w:right="1797" w:bottom="1440" w:left="1797" w:header="1021" w:footer="680" w:gutter="0"/>
          <w:pgNumType w:start="1" w:chapStyle="1"/>
          <w:cols w:space="720" w:num="1"/>
          <w:docGrid w:type="lines" w:linePitch="326" w:charSpace="0"/>
        </w:sectPr>
      </w:pPr>
      <w:bookmarkStart w:id="54" w:name="_Toc6957"/>
      <w:bookmarkStart w:id="55" w:name="_Toc4029"/>
      <w:bookmarkStart w:id="56" w:name="_Toc20272"/>
    </w:p>
    <w:p w14:paraId="272DBC20">
      <w:pPr>
        <w:adjustRightInd w:val="0"/>
        <w:snapToGrid w:val="0"/>
        <w:spacing w:before="163" w:beforeLines="50" w:after="163" w:afterLines="50" w:line="360" w:lineRule="auto"/>
        <w:jc w:val="center"/>
        <w:outlineLvl w:val="0"/>
        <w:rPr>
          <w:rFonts w:ascii="仿宋" w:hAnsi="仿宋" w:eastAsia="仿宋" w:cs="仿宋"/>
          <w:b/>
          <w:bCs/>
        </w:rPr>
      </w:pPr>
      <w:bookmarkStart w:id="57" w:name="_Toc19716"/>
      <w:bookmarkStart w:id="58" w:name="_Toc2042"/>
      <w:bookmarkStart w:id="59" w:name="_Toc19570"/>
      <w:bookmarkStart w:id="60" w:name="_Toc73112396"/>
      <w:bookmarkStart w:id="61" w:name="_Toc2174"/>
      <w:bookmarkStart w:id="62" w:name="_Toc7975"/>
      <w:bookmarkStart w:id="63" w:name="_Toc16942"/>
      <w:r>
        <w:rPr>
          <w:rFonts w:hint="eastAsia" w:ascii="仿宋" w:hAnsi="仿宋" w:eastAsia="仿宋" w:cs="仿宋"/>
          <w:b/>
          <w:bCs/>
        </w:rPr>
        <w:t>第一章采购货物概况</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Start w:id="64" w:name="_Toc133783967"/>
    </w:p>
    <w:p w14:paraId="4169BAFB">
      <w:pPr>
        <w:adjustRightInd w:val="0"/>
        <w:snapToGrid w:val="0"/>
        <w:spacing w:line="360" w:lineRule="auto"/>
        <w:jc w:val="center"/>
        <w:outlineLvl w:val="1"/>
        <w:rPr>
          <w:rFonts w:ascii="仿宋" w:hAnsi="仿宋" w:eastAsia="仿宋" w:cs="仿宋"/>
          <w:b/>
          <w:bCs/>
        </w:rPr>
      </w:pPr>
      <w:bookmarkStart w:id="65" w:name="_Toc5983"/>
      <w:bookmarkStart w:id="66" w:name="_Toc892"/>
      <w:bookmarkStart w:id="67" w:name="_Toc864"/>
      <w:bookmarkStart w:id="68" w:name="_Toc5826"/>
      <w:bookmarkStart w:id="69" w:name="_Toc11763"/>
      <w:bookmarkStart w:id="70" w:name="_Toc16714"/>
      <w:bookmarkStart w:id="71" w:name="_Toc28361"/>
      <w:bookmarkStart w:id="72" w:name="_Toc5420"/>
      <w:bookmarkStart w:id="73" w:name="_Toc29157"/>
      <w:bookmarkStart w:id="74" w:name="_Toc9983"/>
      <w:bookmarkStart w:id="75" w:name="_Toc4004"/>
      <w:bookmarkStart w:id="76" w:name="_Toc2996"/>
      <w:bookmarkStart w:id="77" w:name="_Toc22424"/>
      <w:bookmarkStart w:id="78" w:name="_Toc19070"/>
      <w:bookmarkStart w:id="79" w:name="_Toc17474"/>
      <w:bookmarkStart w:id="80" w:name="_Toc21756"/>
      <w:bookmarkStart w:id="81" w:name="_Toc5172"/>
      <w:bookmarkStart w:id="82" w:name="_Toc7333"/>
      <w:bookmarkStart w:id="83" w:name="_Toc29927"/>
      <w:bookmarkStart w:id="84" w:name="_Toc6606"/>
      <w:bookmarkStart w:id="85" w:name="_Toc21892"/>
      <w:bookmarkStart w:id="86" w:name="_Toc11411"/>
      <w:bookmarkStart w:id="87" w:name="_Toc29605"/>
      <w:bookmarkStart w:id="88" w:name="_Toc30808"/>
      <w:bookmarkStart w:id="89" w:name="_Toc22942"/>
      <w:bookmarkStart w:id="90" w:name="_Toc31000"/>
      <w:bookmarkStart w:id="91" w:name="_Toc30245"/>
      <w:bookmarkStart w:id="92" w:name="_Toc5400"/>
      <w:bookmarkStart w:id="93" w:name="_Toc24689"/>
      <w:bookmarkStart w:id="94" w:name="_Toc7159"/>
      <w:bookmarkStart w:id="95" w:name="_Toc6498"/>
      <w:bookmarkStart w:id="96" w:name="_Toc7515"/>
      <w:bookmarkStart w:id="97" w:name="_Toc30246"/>
      <w:bookmarkStart w:id="98" w:name="_Toc5609"/>
      <w:bookmarkStart w:id="99" w:name="_Toc6436"/>
      <w:bookmarkStart w:id="100" w:name="_Toc2940"/>
      <w:bookmarkStart w:id="101" w:name="_Toc25011"/>
      <w:bookmarkStart w:id="102" w:name="_Toc73112397"/>
      <w:bookmarkStart w:id="103" w:name="_Toc10612"/>
      <w:bookmarkStart w:id="104" w:name="_Toc2152"/>
      <w:bookmarkStart w:id="105" w:name="_Toc14402"/>
      <w:bookmarkStart w:id="106" w:name="_Toc8362"/>
      <w:bookmarkStart w:id="107" w:name="_Toc27214"/>
      <w:r>
        <w:rPr>
          <w:rFonts w:hint="eastAsia" w:ascii="仿宋" w:hAnsi="仿宋" w:eastAsia="仿宋" w:cs="仿宋"/>
          <w:b/>
          <w:bCs/>
        </w:rPr>
        <w:t>第一节使用环境</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8C1566">
      <w:pPr>
        <w:pStyle w:val="16"/>
        <w:tabs>
          <w:tab w:val="left" w:pos="0"/>
        </w:tabs>
        <w:snapToGrid w:val="0"/>
        <w:spacing w:line="360" w:lineRule="auto"/>
        <w:ind w:firstLine="480" w:firstLineChars="200"/>
        <w:rPr>
          <w:rFonts w:ascii="仿宋" w:hAnsi="仿宋" w:eastAsia="仿宋" w:cs="仿宋"/>
        </w:rPr>
      </w:pPr>
      <w:r>
        <w:rPr>
          <w:rFonts w:hint="eastAsia" w:ascii="仿宋" w:hAnsi="仿宋" w:eastAsia="仿宋" w:cs="仿宋"/>
        </w:rPr>
        <w:t>1项目名称：</w:t>
      </w:r>
      <w:r>
        <w:rPr>
          <w:rFonts w:hint="eastAsia" w:ascii="仿宋" w:hAnsi="仿宋" w:eastAsia="仿宋" w:cs="仿宋"/>
          <w:shd w:val="pct10" w:color="auto" w:fill="FFFFFF"/>
        </w:rPr>
        <w:t>主减总成产能提升</w:t>
      </w:r>
      <w:r>
        <w:rPr>
          <w:rFonts w:hint="eastAsia" w:ascii="仿宋" w:hAnsi="仿宋" w:eastAsia="仿宋" w:cs="仿宋"/>
          <w:shd w:val="pct10" w:color="auto" w:fill="FFFFFF"/>
          <w:lang w:val="en-US" w:eastAsia="zh-CN"/>
        </w:rPr>
        <w:t>技改</w:t>
      </w:r>
      <w:r>
        <w:rPr>
          <w:rFonts w:hint="eastAsia" w:ascii="仿宋" w:hAnsi="仿宋" w:eastAsia="仿宋" w:cs="仿宋"/>
          <w:shd w:val="pct10" w:color="auto" w:fill="FFFFFF"/>
        </w:rPr>
        <w:t>项目</w:t>
      </w:r>
    </w:p>
    <w:p w14:paraId="01FB830A">
      <w:pPr>
        <w:pStyle w:val="16"/>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2建设地点：</w:t>
      </w:r>
      <w:r>
        <w:rPr>
          <w:rFonts w:hint="eastAsia" w:ascii="仿宋" w:hAnsi="仿宋" w:eastAsia="仿宋" w:cs="仿宋"/>
          <w:shd w:val="pct10" w:color="auto" w:fill="FFFFFF"/>
        </w:rPr>
        <w:t>重汽(济南)车桥有限公司</w:t>
      </w:r>
      <w:r>
        <w:rPr>
          <w:rFonts w:hint="eastAsia" w:ascii="仿宋" w:hAnsi="仿宋" w:eastAsia="仿宋" w:cs="仿宋"/>
        </w:rPr>
        <w:t>（工地）</w:t>
      </w:r>
    </w:p>
    <w:p w14:paraId="198BFC96">
      <w:pPr>
        <w:pStyle w:val="16"/>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3使用地点：</w:t>
      </w:r>
      <w:r>
        <w:rPr>
          <w:rFonts w:hint="eastAsia" w:ascii="仿宋" w:hAnsi="仿宋" w:eastAsia="仿宋" w:cs="仿宋"/>
          <w:shd w:val="pct10" w:color="auto" w:fill="FFFFFF"/>
        </w:rPr>
        <w:t>车桥公司</w:t>
      </w:r>
      <w:r>
        <w:rPr>
          <w:rFonts w:hint="eastAsia" w:ascii="仿宋" w:hAnsi="仿宋" w:eastAsia="仿宋" w:cs="仿宋"/>
          <w:shd w:val="pct10" w:color="auto" w:fill="FFFFFF"/>
          <w:lang w:val="en-US" w:eastAsia="zh-CN"/>
        </w:rPr>
        <w:t>主减速器部主减装配车间</w:t>
      </w:r>
      <w:r>
        <w:rPr>
          <w:rFonts w:hint="eastAsia" w:ascii="仿宋" w:hAnsi="仿宋" w:eastAsia="仿宋" w:cs="仿宋"/>
        </w:rPr>
        <w:t>（室内）</w:t>
      </w:r>
    </w:p>
    <w:p w14:paraId="6A033010">
      <w:pPr>
        <w:pStyle w:val="16"/>
        <w:snapToGrid w:val="0"/>
        <w:spacing w:line="360" w:lineRule="auto"/>
        <w:ind w:firstLine="480" w:firstLineChars="200"/>
        <w:rPr>
          <w:rFonts w:ascii="仿宋" w:hAnsi="仿宋" w:eastAsia="仿宋" w:cs="仿宋"/>
        </w:rPr>
      </w:pPr>
      <w:r>
        <w:rPr>
          <w:rFonts w:hint="eastAsia" w:ascii="仿宋" w:hAnsi="仿宋" w:eastAsia="仿宋" w:cs="仿宋"/>
        </w:rPr>
        <w:t>4工作制度：全年工作</w:t>
      </w:r>
      <w:r>
        <w:rPr>
          <w:rFonts w:hint="eastAsia" w:ascii="仿宋" w:hAnsi="仿宋" w:eastAsia="仿宋" w:cs="仿宋"/>
          <w:shd w:val="pct10" w:color="auto" w:fill="FFFFFF"/>
        </w:rPr>
        <w:t>300</w:t>
      </w:r>
      <w:r>
        <w:rPr>
          <w:rFonts w:hint="eastAsia" w:ascii="仿宋" w:hAnsi="仿宋" w:eastAsia="仿宋" w:cs="仿宋"/>
        </w:rPr>
        <w:t>天、</w:t>
      </w:r>
      <w:r>
        <w:rPr>
          <w:rFonts w:hint="eastAsia" w:ascii="仿宋" w:hAnsi="仿宋" w:eastAsia="仿宋" w:cs="仿宋"/>
          <w:lang w:val="en-US" w:eastAsia="zh-CN"/>
        </w:rPr>
        <w:t>2</w:t>
      </w:r>
      <w:r>
        <w:rPr>
          <w:rFonts w:hint="eastAsia" w:ascii="仿宋" w:hAnsi="仿宋" w:eastAsia="仿宋" w:cs="仿宋"/>
        </w:rPr>
        <w:t xml:space="preserve">班制、设备年时基数 </w:t>
      </w:r>
      <w:r>
        <w:rPr>
          <w:rFonts w:hint="eastAsia" w:ascii="仿宋" w:hAnsi="仿宋" w:eastAsia="仿宋" w:cs="仿宋"/>
          <w:shd w:val="pct10" w:color="auto" w:fill="FFFFFF"/>
        </w:rPr>
        <w:t>7200</w:t>
      </w:r>
      <w:r>
        <w:rPr>
          <w:rFonts w:hint="eastAsia" w:ascii="仿宋" w:hAnsi="仿宋" w:eastAsia="仿宋" w:cs="仿宋"/>
        </w:rPr>
        <w:t xml:space="preserve"> 小时</w:t>
      </w:r>
    </w:p>
    <w:p w14:paraId="07F35D3B">
      <w:pPr>
        <w:pStyle w:val="16"/>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14:paraId="05C5E0B9">
      <w:pPr>
        <w:pStyle w:val="16"/>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14:paraId="3C0ADC7C">
      <w:pPr>
        <w:pStyle w:val="16"/>
        <w:snapToGrid w:val="0"/>
        <w:spacing w:line="360" w:lineRule="auto"/>
        <w:ind w:firstLine="48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14:paraId="5F3591C7">
      <w:pPr>
        <w:pStyle w:val="16"/>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14:paraId="790D2897">
      <w:pPr>
        <w:pStyle w:val="16"/>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14:paraId="0902B87E">
      <w:pPr>
        <w:pStyle w:val="16"/>
        <w:snapToGrid w:val="0"/>
        <w:spacing w:line="360" w:lineRule="auto"/>
        <w:ind w:firstLine="480" w:firstLineChars="200"/>
        <w:rPr>
          <w:rFonts w:ascii="仿宋" w:hAnsi="仿宋" w:eastAsia="仿宋" w:cs="仿宋"/>
        </w:rPr>
      </w:pPr>
      <w:r>
        <w:rPr>
          <w:rFonts w:hint="eastAsia" w:ascii="仿宋" w:hAnsi="仿宋" w:eastAsia="仿宋" w:cs="仿宋"/>
        </w:rPr>
        <w:t>6能源环境：</w:t>
      </w:r>
    </w:p>
    <w:p w14:paraId="39B88C4B">
      <w:pPr>
        <w:pStyle w:val="16"/>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5D28335A">
      <w:pPr>
        <w:snapToGrid w:val="0"/>
        <w:spacing w:line="360" w:lineRule="auto"/>
        <w:ind w:firstLine="420" w:firstLineChars="200"/>
        <w:rPr>
          <w:rFonts w:ascii="仿宋" w:hAnsi="仿宋" w:eastAsia="仿宋" w:cs="仿宋"/>
        </w:rPr>
      </w:pPr>
      <w:r>
        <w:rPr>
          <w:rFonts w:hint="eastAsia" w:ascii="仿宋" w:hAnsi="仿宋" w:eastAsia="仿宋" w:cs="仿宋"/>
        </w:rPr>
        <w:t xml:space="preserve">6.2 </w:t>
      </w:r>
      <w:r>
        <w:rPr>
          <w:rFonts w:hint="eastAsia" w:ascii="仿宋" w:hAnsi="仿宋" w:eastAsia="仿宋" w:cs="仿宋"/>
          <w:kern w:val="0"/>
        </w:rPr>
        <w:t>给水：市政自来水</w:t>
      </w:r>
    </w:p>
    <w:p w14:paraId="122F0FF4">
      <w:pPr>
        <w:pStyle w:val="16"/>
        <w:snapToGrid w:val="0"/>
        <w:spacing w:line="360" w:lineRule="auto"/>
        <w:ind w:firstLine="48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0.5±0.1MPa</w:t>
      </w:r>
      <w:r>
        <w:rPr>
          <w:rFonts w:hint="eastAsia" w:ascii="仿宋" w:hAnsi="仿宋" w:eastAsia="仿宋" w:cs="仿宋"/>
        </w:rPr>
        <w:t>。</w:t>
      </w:r>
      <w:bookmarkStart w:id="108" w:name="_Toc27857"/>
      <w:bookmarkStart w:id="109" w:name="_Toc5421"/>
      <w:bookmarkStart w:id="110" w:name="_Toc18569"/>
      <w:bookmarkStart w:id="111" w:name="_Toc6433"/>
      <w:bookmarkStart w:id="112" w:name="_Toc8728"/>
      <w:bookmarkStart w:id="113" w:name="_Toc9561"/>
      <w:bookmarkStart w:id="114" w:name="_Toc6636"/>
      <w:bookmarkStart w:id="115" w:name="_Toc31241"/>
      <w:bookmarkStart w:id="116" w:name="_Toc17605"/>
      <w:bookmarkStart w:id="117" w:name="_Toc5374"/>
      <w:bookmarkStart w:id="118" w:name="_Toc429"/>
      <w:bookmarkStart w:id="119" w:name="_Toc29019"/>
      <w:bookmarkStart w:id="120" w:name="_Toc9143"/>
      <w:bookmarkStart w:id="121" w:name="_Toc12401"/>
      <w:bookmarkStart w:id="122" w:name="_Toc13324"/>
      <w:bookmarkStart w:id="123" w:name="_Toc24481"/>
      <w:bookmarkStart w:id="124" w:name="_Toc29333"/>
      <w:bookmarkStart w:id="125" w:name="_Toc17682"/>
      <w:bookmarkStart w:id="126" w:name="_Toc8740"/>
      <w:bookmarkStart w:id="127" w:name="_Toc27449"/>
      <w:bookmarkStart w:id="128" w:name="_Toc4175"/>
      <w:bookmarkStart w:id="129" w:name="_Toc15369"/>
      <w:bookmarkStart w:id="130" w:name="_Toc23473"/>
      <w:bookmarkStart w:id="131" w:name="_Toc30431"/>
      <w:bookmarkStart w:id="132" w:name="_Toc17543"/>
      <w:bookmarkStart w:id="133" w:name="_Toc24563"/>
      <w:bookmarkStart w:id="134" w:name="_Toc11744"/>
      <w:bookmarkStart w:id="135" w:name="_Toc5282"/>
      <w:bookmarkStart w:id="136" w:name="_Toc9784"/>
      <w:bookmarkStart w:id="137" w:name="_Toc9671"/>
      <w:bookmarkStart w:id="138" w:name="_Toc133783968"/>
      <w:bookmarkStart w:id="139" w:name="_Toc22983"/>
      <w:bookmarkStart w:id="140" w:name="_Toc21616"/>
    </w:p>
    <w:p w14:paraId="2F4D65C2">
      <w:pPr>
        <w:adjustRightInd w:val="0"/>
        <w:snapToGrid w:val="0"/>
        <w:spacing w:line="360" w:lineRule="auto"/>
        <w:jc w:val="center"/>
        <w:outlineLvl w:val="1"/>
        <w:rPr>
          <w:rFonts w:ascii="仿宋" w:hAnsi="仿宋" w:eastAsia="仿宋" w:cs="仿宋"/>
        </w:rPr>
      </w:pPr>
      <w:bookmarkStart w:id="141" w:name="_Toc32701"/>
      <w:bookmarkStart w:id="142" w:name="_Toc8560"/>
      <w:bookmarkStart w:id="143" w:name="_Toc1424"/>
      <w:bookmarkStart w:id="144" w:name="_Toc18778"/>
      <w:bookmarkStart w:id="145" w:name="_Toc32599"/>
      <w:bookmarkStart w:id="146" w:name="_Toc10013"/>
      <w:bookmarkStart w:id="147" w:name="_Toc17750"/>
      <w:bookmarkStart w:id="148" w:name="_Toc73112398"/>
      <w:bookmarkStart w:id="149" w:name="_Toc13544"/>
      <w:bookmarkStart w:id="150" w:name="_Toc24559"/>
      <w:bookmarkStart w:id="151" w:name="_Toc21957"/>
      <w:bookmarkStart w:id="152" w:name="_Toc29190"/>
      <w:bookmarkStart w:id="153" w:name="_Toc1523"/>
      <w:bookmarkStart w:id="154" w:name="_Toc18032"/>
      <w:bookmarkStart w:id="155" w:name="_Toc21302"/>
      <w:r>
        <w:rPr>
          <w:rFonts w:hint="eastAsia" w:ascii="仿宋" w:hAnsi="仿宋" w:eastAsia="仿宋" w:cs="仿宋"/>
          <w:b/>
          <w:bCs/>
        </w:rPr>
        <w:t>第二节采购货物概况</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4C10CA4">
      <w:pPr>
        <w:pStyle w:val="16"/>
        <w:snapToGrid w:val="0"/>
        <w:spacing w:line="360" w:lineRule="auto"/>
        <w:ind w:firstLine="480" w:firstLineChars="200"/>
        <w:rPr>
          <w:rFonts w:ascii="仿宋" w:hAnsi="仿宋" w:eastAsia="仿宋" w:cs="仿宋"/>
        </w:rPr>
      </w:pPr>
      <w:r>
        <w:rPr>
          <w:rFonts w:hint="eastAsia" w:ascii="仿宋" w:hAnsi="仿宋" w:eastAsia="仿宋" w:cs="仿宋"/>
        </w:rPr>
        <w:t>1货物（或生产线）：</w:t>
      </w:r>
      <w:r>
        <w:rPr>
          <w:rFonts w:hint="eastAsia" w:ascii="仿宋" w:hAnsi="仿宋" w:eastAsia="仿宋" w:cs="仿宋"/>
          <w:u w:val="single"/>
          <w:shd w:val="pct10" w:color="auto" w:fill="FFFFFF"/>
          <w:lang w:val="en-US" w:eastAsia="zh-CN"/>
        </w:rPr>
        <w:t>主减总成产能提升装配线</w:t>
      </w:r>
      <w:r>
        <w:rPr>
          <w:rFonts w:hint="eastAsia" w:ascii="仿宋" w:hAnsi="仿宋" w:eastAsia="仿宋" w:cs="仿宋"/>
        </w:rPr>
        <w:t xml:space="preserve"> （详见下表）</w:t>
      </w:r>
    </w:p>
    <w:p w14:paraId="6AAC5B25">
      <w:pPr>
        <w:pStyle w:val="16"/>
        <w:snapToGrid w:val="0"/>
        <w:spacing w:line="360" w:lineRule="auto"/>
        <w:ind w:firstLine="480" w:firstLineChars="200"/>
        <w:rPr>
          <w:rFonts w:ascii="仿宋" w:hAnsi="仿宋" w:eastAsia="仿宋" w:cs="仿宋"/>
        </w:rPr>
      </w:pPr>
      <w:r>
        <w:rPr>
          <w:rFonts w:hint="eastAsia" w:ascii="仿宋" w:hAnsi="仿宋" w:eastAsia="仿宋" w:cs="仿宋"/>
        </w:rPr>
        <w:t>2货物（或生产线）数量：</w:t>
      </w:r>
      <w:r>
        <w:rPr>
          <w:rFonts w:hint="eastAsia" w:ascii="仿宋" w:hAnsi="仿宋" w:eastAsia="仿宋" w:cs="仿宋"/>
          <w:u w:val="single"/>
          <w:shd w:val="pct10" w:color="auto" w:fill="FFFFFF"/>
          <w:lang w:val="en-US" w:eastAsia="zh-CN"/>
        </w:rPr>
        <w:t>1</w:t>
      </w:r>
      <w:r>
        <w:rPr>
          <w:rFonts w:hint="eastAsia" w:ascii="仿宋" w:hAnsi="仿宋" w:eastAsia="仿宋" w:cs="仿宋"/>
          <w:u w:val="single"/>
          <w:shd w:val="pct10" w:color="auto" w:fill="FFFFFF"/>
        </w:rPr>
        <w:t>套</w:t>
      </w:r>
      <w:r>
        <w:rPr>
          <w:rFonts w:hint="eastAsia" w:ascii="仿宋" w:hAnsi="仿宋" w:eastAsia="仿宋" w:cs="仿宋"/>
        </w:rPr>
        <w:t>（详见下表）</w:t>
      </w:r>
    </w:p>
    <w:p w14:paraId="458D8033">
      <w:pPr>
        <w:pStyle w:val="16"/>
        <w:snapToGrid w:val="0"/>
        <w:spacing w:line="360" w:lineRule="auto"/>
        <w:ind w:firstLine="480" w:firstLineChars="200"/>
        <w:rPr>
          <w:rFonts w:ascii="仿宋" w:hAnsi="仿宋" w:eastAsia="仿宋" w:cs="仿宋"/>
        </w:rPr>
      </w:pPr>
      <w:r>
        <w:rPr>
          <w:rFonts w:hint="eastAsia" w:ascii="仿宋" w:hAnsi="仿宋" w:eastAsia="仿宋" w:cs="仿宋"/>
        </w:rPr>
        <w:t>采购货物（或生产线）主要构成一览表</w:t>
      </w:r>
    </w:p>
    <w:tbl>
      <w:tblPr>
        <w:tblStyle w:val="30"/>
        <w:tblW w:w="7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00"/>
        <w:gridCol w:w="2299"/>
        <w:gridCol w:w="720"/>
        <w:gridCol w:w="787"/>
        <w:gridCol w:w="1439"/>
        <w:gridCol w:w="798"/>
      </w:tblGrid>
      <w:tr w14:paraId="11D8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14:paraId="46801237">
            <w:pPr>
              <w:pStyle w:val="16"/>
              <w:snapToGrid w:val="0"/>
              <w:spacing w:line="240" w:lineRule="auto"/>
              <w:ind w:firstLine="0" w:firstLineChars="0"/>
              <w:jc w:val="center"/>
              <w:rPr>
                <w:rFonts w:ascii="仿宋" w:hAnsi="仿宋" w:eastAsia="仿宋" w:cs="仿宋"/>
                <w:sz w:val="21"/>
                <w:szCs w:val="21"/>
                <w:highlight w:val="none"/>
              </w:rPr>
            </w:pPr>
            <w:r>
              <w:rPr>
                <w:rFonts w:hint="eastAsia" w:ascii="仿宋" w:hAnsi="仿宋" w:eastAsia="仿宋" w:cs="仿宋"/>
                <w:kern w:val="2"/>
                <w:sz w:val="21"/>
                <w:szCs w:val="21"/>
                <w:highlight w:val="none"/>
              </w:rPr>
              <w:t>序号</w:t>
            </w:r>
          </w:p>
        </w:tc>
        <w:tc>
          <w:tcPr>
            <w:tcW w:w="1100" w:type="dxa"/>
            <w:shd w:val="clear" w:color="auto" w:fill="auto"/>
            <w:vAlign w:val="center"/>
          </w:tcPr>
          <w:p w14:paraId="4F72DBA5">
            <w:pPr>
              <w:pStyle w:val="16"/>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货物名称</w:t>
            </w:r>
          </w:p>
        </w:tc>
        <w:tc>
          <w:tcPr>
            <w:tcW w:w="2299" w:type="dxa"/>
            <w:shd w:val="clear" w:color="auto" w:fill="auto"/>
            <w:vAlign w:val="center"/>
          </w:tcPr>
          <w:p w14:paraId="08B40936">
            <w:pPr>
              <w:pStyle w:val="16"/>
              <w:snapToGrid w:val="0"/>
              <w:spacing w:line="240" w:lineRule="auto"/>
              <w:ind w:firstLine="0" w:firstLineChars="0"/>
              <w:jc w:val="center"/>
              <w:rPr>
                <w:rFonts w:hint="default"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主要功能</w:t>
            </w:r>
          </w:p>
        </w:tc>
        <w:tc>
          <w:tcPr>
            <w:tcW w:w="720" w:type="dxa"/>
            <w:shd w:val="clear" w:color="auto" w:fill="auto"/>
            <w:vAlign w:val="center"/>
          </w:tcPr>
          <w:p w14:paraId="5A8015D9">
            <w:pPr>
              <w:pStyle w:val="16"/>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单位</w:t>
            </w:r>
          </w:p>
        </w:tc>
        <w:tc>
          <w:tcPr>
            <w:tcW w:w="787" w:type="dxa"/>
            <w:shd w:val="clear" w:color="auto" w:fill="auto"/>
            <w:vAlign w:val="center"/>
          </w:tcPr>
          <w:p w14:paraId="4D7AC199">
            <w:pPr>
              <w:pStyle w:val="16"/>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数量</w:t>
            </w:r>
          </w:p>
        </w:tc>
        <w:tc>
          <w:tcPr>
            <w:tcW w:w="1439" w:type="dxa"/>
            <w:shd w:val="clear" w:color="auto" w:fill="auto"/>
            <w:vAlign w:val="center"/>
          </w:tcPr>
          <w:p w14:paraId="7AA13BE8">
            <w:pPr>
              <w:pStyle w:val="16"/>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安装地点/ 服务对象</w:t>
            </w:r>
          </w:p>
        </w:tc>
        <w:tc>
          <w:tcPr>
            <w:tcW w:w="798" w:type="dxa"/>
            <w:shd w:val="clear" w:color="auto" w:fill="auto"/>
            <w:vAlign w:val="center"/>
          </w:tcPr>
          <w:p w14:paraId="2F347284">
            <w:pPr>
              <w:pStyle w:val="16"/>
              <w:snapToGrid w:val="0"/>
              <w:spacing w:line="240" w:lineRule="auto"/>
              <w:ind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供货方式</w:t>
            </w:r>
          </w:p>
        </w:tc>
      </w:tr>
      <w:tr w14:paraId="1852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shd w:val="clear" w:color="auto" w:fill="auto"/>
            <w:vAlign w:val="center"/>
          </w:tcPr>
          <w:p w14:paraId="283931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1</w:t>
            </w:r>
          </w:p>
        </w:tc>
        <w:tc>
          <w:tcPr>
            <w:tcW w:w="1100" w:type="dxa"/>
            <w:shd w:val="clear" w:color="auto" w:fill="auto"/>
            <w:vAlign w:val="center"/>
          </w:tcPr>
          <w:p w14:paraId="32C733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主减总成装配线</w:t>
            </w:r>
          </w:p>
        </w:tc>
        <w:tc>
          <w:tcPr>
            <w:tcW w:w="2299" w:type="dxa"/>
            <w:shd w:val="clear" w:color="auto" w:fill="auto"/>
            <w:vAlign w:val="center"/>
          </w:tcPr>
          <w:p w14:paraId="51DAF9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highlight w:val="none"/>
                <w:lang w:val="en-US" w:eastAsia="zh-CN" w:bidi="ar"/>
              </w:rPr>
            </w:pPr>
            <w:r>
              <w:rPr>
                <w:rFonts w:hint="eastAsia" w:ascii="仿宋" w:hAnsi="仿宋" w:eastAsia="仿宋" w:cs="仿宋"/>
                <w:kern w:val="2"/>
                <w:sz w:val="21"/>
                <w:szCs w:val="21"/>
                <w:highlight w:val="none"/>
                <w:lang w:val="en-US" w:eastAsia="zh-CN" w:bidi="ar-SA"/>
              </w:rPr>
              <w:t>MCY11/MCY12/MCY13/MCY12ZGQ中、后主减装配。</w:t>
            </w:r>
          </w:p>
        </w:tc>
        <w:tc>
          <w:tcPr>
            <w:tcW w:w="720" w:type="dxa"/>
            <w:shd w:val="clear" w:color="auto" w:fill="auto"/>
            <w:vAlign w:val="center"/>
          </w:tcPr>
          <w:p w14:paraId="7F6862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套</w:t>
            </w:r>
          </w:p>
        </w:tc>
        <w:tc>
          <w:tcPr>
            <w:tcW w:w="787" w:type="dxa"/>
            <w:shd w:val="clear" w:color="auto" w:fill="auto"/>
            <w:vAlign w:val="center"/>
          </w:tcPr>
          <w:p w14:paraId="0EEA8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sz w:val="21"/>
                <w:szCs w:val="21"/>
                <w:highlight w:val="none"/>
                <w:lang w:val="en-US" w:eastAsia="zh-CN" w:bidi="ar"/>
              </w:rPr>
            </w:pPr>
            <w:r>
              <w:rPr>
                <w:rFonts w:hint="eastAsia" w:ascii="仿宋" w:hAnsi="仿宋" w:eastAsia="仿宋" w:cs="仿宋"/>
                <w:color w:val="000000"/>
                <w:sz w:val="21"/>
                <w:szCs w:val="21"/>
                <w:highlight w:val="none"/>
                <w:lang w:val="en-US" w:eastAsia="zh-CN" w:bidi="ar"/>
              </w:rPr>
              <w:t>1</w:t>
            </w:r>
          </w:p>
        </w:tc>
        <w:tc>
          <w:tcPr>
            <w:tcW w:w="1439" w:type="dxa"/>
            <w:shd w:val="clear" w:color="auto" w:fill="auto"/>
            <w:vAlign w:val="center"/>
          </w:tcPr>
          <w:p w14:paraId="521B7519">
            <w:pPr>
              <w:pStyle w:val="16"/>
              <w:snapToGrid w:val="0"/>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rPr>
              <w:t>车桥公司</w:t>
            </w:r>
            <w:r>
              <w:rPr>
                <w:rFonts w:hint="eastAsia" w:ascii="仿宋" w:hAnsi="仿宋" w:eastAsia="仿宋" w:cs="仿宋"/>
                <w:kern w:val="2"/>
                <w:sz w:val="21"/>
                <w:szCs w:val="21"/>
                <w:highlight w:val="none"/>
                <w:lang w:val="en-US" w:eastAsia="zh-CN"/>
              </w:rPr>
              <w:t>主减速器线主减装配车间</w:t>
            </w:r>
          </w:p>
        </w:tc>
        <w:tc>
          <w:tcPr>
            <w:tcW w:w="798" w:type="dxa"/>
            <w:shd w:val="clear" w:color="auto" w:fill="auto"/>
            <w:vAlign w:val="center"/>
          </w:tcPr>
          <w:p w14:paraId="18F15CED">
            <w:pPr>
              <w:pStyle w:val="16"/>
              <w:snapToGrid w:val="0"/>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rPr>
              <w:t>交钥匙</w:t>
            </w:r>
          </w:p>
        </w:tc>
      </w:tr>
    </w:tbl>
    <w:p w14:paraId="0E607628">
      <w:pPr>
        <w:pStyle w:val="16"/>
        <w:snapToGrid w:val="0"/>
        <w:spacing w:line="360" w:lineRule="auto"/>
        <w:ind w:firstLine="480" w:firstLineChars="200"/>
        <w:rPr>
          <w:rFonts w:ascii="仿宋" w:hAnsi="仿宋" w:eastAsia="仿宋" w:cs="仿宋"/>
        </w:rPr>
      </w:pPr>
      <w:r>
        <w:rPr>
          <w:rFonts w:hint="eastAsia" w:ascii="仿宋" w:hAnsi="仿宋" w:eastAsia="仿宋" w:cs="仿宋"/>
        </w:rPr>
        <w:t>备注：</w:t>
      </w:r>
    </w:p>
    <w:p w14:paraId="6A73C337">
      <w:pPr>
        <w:pStyle w:val="16"/>
        <w:snapToGrid w:val="0"/>
        <w:spacing w:line="360" w:lineRule="auto"/>
        <w:ind w:firstLine="480" w:firstLineChars="200"/>
        <w:rPr>
          <w:rFonts w:ascii="仿宋" w:hAnsi="仿宋" w:eastAsia="仿宋" w:cs="仿宋"/>
        </w:rPr>
      </w:pPr>
      <w:r>
        <w:rPr>
          <w:rFonts w:hint="eastAsia" w:ascii="仿宋" w:hAnsi="仿宋" w:eastAsia="仿宋" w:cs="仿宋"/>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1FE9EDCB">
      <w:pPr>
        <w:pStyle w:val="16"/>
        <w:snapToGrid w:val="0"/>
        <w:spacing w:line="360" w:lineRule="auto"/>
        <w:ind w:firstLine="48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120F1D95">
      <w:pPr>
        <w:jc w:val="center"/>
        <w:outlineLvl w:val="0"/>
        <w:rPr>
          <w:rFonts w:ascii="仿宋" w:hAnsi="仿宋" w:eastAsia="仿宋" w:cs="仿宋"/>
          <w:b/>
          <w:bCs/>
        </w:rPr>
      </w:pPr>
      <w:bookmarkStart w:id="156" w:name="_Toc2018"/>
      <w:bookmarkStart w:id="157" w:name="_Toc4488"/>
      <w:bookmarkStart w:id="158" w:name="_Toc15180"/>
      <w:bookmarkStart w:id="159" w:name="_Toc26149"/>
      <w:bookmarkStart w:id="160" w:name="_Toc761"/>
      <w:bookmarkStart w:id="161" w:name="_Toc2875"/>
      <w:bookmarkStart w:id="162" w:name="_Toc32524"/>
      <w:bookmarkStart w:id="163" w:name="_Toc10580"/>
      <w:bookmarkStart w:id="164" w:name="_Toc10441"/>
      <w:bookmarkStart w:id="165" w:name="_Toc22689"/>
      <w:bookmarkStart w:id="166" w:name="_Toc24992"/>
      <w:bookmarkStart w:id="167" w:name="_Toc11605"/>
      <w:bookmarkStart w:id="168" w:name="_Toc32616"/>
      <w:bookmarkStart w:id="169" w:name="_Toc29174"/>
      <w:bookmarkStart w:id="170" w:name="_Toc498"/>
      <w:bookmarkStart w:id="171" w:name="_Toc31734"/>
      <w:bookmarkStart w:id="172" w:name="_Toc20034"/>
      <w:bookmarkStart w:id="173" w:name="_Toc27638"/>
      <w:bookmarkStart w:id="174" w:name="_Toc133783969"/>
      <w:bookmarkStart w:id="175" w:name="_Toc32476"/>
      <w:bookmarkStart w:id="176" w:name="_Toc4881"/>
      <w:bookmarkStart w:id="177" w:name="_Toc6687"/>
      <w:bookmarkStart w:id="178" w:name="_Toc30429"/>
      <w:bookmarkStart w:id="179" w:name="_Toc12377"/>
      <w:bookmarkStart w:id="180" w:name="_Toc26470"/>
      <w:bookmarkStart w:id="181" w:name="_Toc1621"/>
      <w:bookmarkStart w:id="182" w:name="_Toc7338"/>
      <w:bookmarkStart w:id="183" w:name="_Toc16387"/>
      <w:bookmarkStart w:id="184" w:name="_Toc73112399"/>
      <w:bookmarkStart w:id="185" w:name="_Toc18120"/>
      <w:bookmarkStart w:id="186" w:name="_Toc4743"/>
      <w:bookmarkStart w:id="187" w:name="_Toc13878"/>
      <w:bookmarkStart w:id="188" w:name="_Toc8780"/>
      <w:bookmarkStart w:id="189" w:name="_Toc7813"/>
      <w:bookmarkStart w:id="190" w:name="_Toc23603"/>
      <w:bookmarkStart w:id="191" w:name="_Toc24597"/>
      <w:bookmarkStart w:id="192" w:name="_Toc8565"/>
      <w:bookmarkStart w:id="193" w:name="_Toc22658"/>
      <w:bookmarkStart w:id="194" w:name="_Toc19015"/>
      <w:bookmarkStart w:id="195" w:name="_Toc30487"/>
      <w:bookmarkStart w:id="196" w:name="_Toc25811"/>
      <w:bookmarkStart w:id="197" w:name="_Toc17465"/>
      <w:bookmarkStart w:id="198" w:name="_Toc7739"/>
      <w:bookmarkStart w:id="199" w:name="_Toc19793"/>
      <w:bookmarkStart w:id="200" w:name="_Toc28168"/>
      <w:r>
        <w:rPr>
          <w:rFonts w:hint="eastAsia" w:ascii="仿宋" w:hAnsi="仿宋" w:eastAsia="仿宋" w:cs="仿宋"/>
          <w:b/>
          <w:bCs/>
        </w:rPr>
        <w:t>第二章技术要求</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4D1E558E">
      <w:pPr>
        <w:snapToGrid w:val="0"/>
        <w:spacing w:line="360" w:lineRule="auto"/>
        <w:ind w:firstLine="422" w:firstLineChars="200"/>
        <w:outlineLvl w:val="1"/>
        <w:rPr>
          <w:rFonts w:ascii="仿宋" w:hAnsi="仿宋" w:eastAsia="仿宋" w:cs="仿宋"/>
          <w:b/>
          <w:bCs/>
        </w:rPr>
      </w:pPr>
      <w:bookmarkStart w:id="201" w:name="_Toc21559"/>
      <w:bookmarkStart w:id="202" w:name="_Toc39"/>
      <w:bookmarkStart w:id="203" w:name="_Toc2473"/>
      <w:bookmarkStart w:id="204" w:name="_Toc7141"/>
      <w:bookmarkStart w:id="205" w:name="_Toc9134"/>
      <w:bookmarkStart w:id="206" w:name="_Toc477"/>
      <w:bookmarkStart w:id="207" w:name="_Toc18792"/>
      <w:bookmarkStart w:id="208" w:name="_Toc1968"/>
      <w:bookmarkStart w:id="209" w:name="_Toc26827"/>
      <w:bookmarkStart w:id="210" w:name="_Toc5450"/>
      <w:bookmarkStart w:id="211" w:name="_Toc15747"/>
      <w:bookmarkStart w:id="212" w:name="_Toc29489"/>
      <w:bookmarkStart w:id="213" w:name="_Toc5804"/>
      <w:bookmarkStart w:id="214" w:name="_Toc22422"/>
      <w:bookmarkStart w:id="215" w:name="_Toc380"/>
      <w:bookmarkStart w:id="216" w:name="_Toc31246"/>
      <w:bookmarkStart w:id="217" w:name="_Toc29354"/>
      <w:bookmarkStart w:id="218" w:name="_Toc23337"/>
      <w:bookmarkStart w:id="219" w:name="_Toc73112400"/>
      <w:bookmarkStart w:id="220" w:name="_Toc5110"/>
      <w:bookmarkStart w:id="221" w:name="_Toc6003"/>
      <w:bookmarkStart w:id="222" w:name="_Toc27930"/>
      <w:bookmarkStart w:id="223" w:name="_Toc5876"/>
      <w:bookmarkStart w:id="224" w:name="_Toc11621"/>
      <w:bookmarkStart w:id="225" w:name="_Toc5714"/>
      <w:bookmarkStart w:id="226" w:name="_Toc18619"/>
      <w:bookmarkStart w:id="227" w:name="_Toc31434"/>
      <w:bookmarkStart w:id="228" w:name="_Toc15995"/>
      <w:bookmarkStart w:id="229" w:name="_Toc11056"/>
      <w:bookmarkStart w:id="230" w:name="_Toc16822"/>
      <w:bookmarkStart w:id="231" w:name="_Toc27282"/>
      <w:bookmarkStart w:id="232" w:name="_Toc23050"/>
      <w:bookmarkStart w:id="233" w:name="_Toc15744"/>
      <w:bookmarkStart w:id="234" w:name="_Toc13195"/>
      <w:bookmarkStart w:id="235" w:name="_Toc20402"/>
      <w:bookmarkStart w:id="236" w:name="_Toc4126"/>
      <w:bookmarkStart w:id="237" w:name="_Toc20792"/>
      <w:bookmarkStart w:id="238" w:name="_Toc28751"/>
      <w:bookmarkStart w:id="239" w:name="_Toc16063"/>
      <w:bookmarkStart w:id="240" w:name="_Toc1111"/>
      <w:bookmarkStart w:id="241" w:name="_Toc9894"/>
      <w:bookmarkStart w:id="242" w:name="_Toc25950"/>
      <w:r>
        <w:rPr>
          <w:rFonts w:hint="eastAsia" w:ascii="仿宋" w:hAnsi="仿宋" w:eastAsia="仿宋" w:cs="仿宋"/>
          <w:b/>
          <w:bCs/>
        </w:rPr>
        <w:t>1</w:t>
      </w:r>
      <w:r>
        <w:rPr>
          <w:rFonts w:hint="eastAsia" w:ascii="仿宋" w:hAnsi="仿宋" w:eastAsia="仿宋" w:cs="仿宋"/>
          <w:b/>
          <w:bCs/>
          <w:lang w:val="en-US" w:eastAsia="zh-CN"/>
        </w:rPr>
        <w:t xml:space="preserve"> </w:t>
      </w:r>
      <w:r>
        <w:rPr>
          <w:rFonts w:hint="eastAsia" w:ascii="仿宋" w:hAnsi="仿宋" w:eastAsia="仿宋" w:cs="仿宋"/>
          <w:b/>
          <w:bCs/>
        </w:rPr>
        <w:t>基本要求</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1E3D09F1">
      <w:pPr>
        <w:pStyle w:val="16"/>
        <w:snapToGrid w:val="0"/>
        <w:spacing w:line="360" w:lineRule="auto"/>
        <w:ind w:firstLine="480" w:firstLineChars="200"/>
        <w:rPr>
          <w:rFonts w:ascii="仿宋" w:hAnsi="仿宋" w:eastAsia="仿宋" w:cs="仿宋"/>
        </w:rPr>
      </w:pPr>
      <w:r>
        <w:rPr>
          <w:rFonts w:hint="eastAsia" w:ascii="仿宋" w:hAnsi="仿宋" w:eastAsia="仿宋" w:cs="仿宋"/>
        </w:rPr>
        <w:t>1.1 投标方所供的货物（或生产线），必须符合中国最新版的法律、法规和相关标准、规范的要求，符合项目所在地政府有关特殊要求。</w:t>
      </w:r>
    </w:p>
    <w:p w14:paraId="03827407">
      <w:pPr>
        <w:pStyle w:val="16"/>
        <w:snapToGrid w:val="0"/>
        <w:spacing w:line="360" w:lineRule="auto"/>
        <w:ind w:firstLine="480" w:firstLineChars="200"/>
        <w:rPr>
          <w:rFonts w:ascii="仿宋" w:hAnsi="仿宋" w:eastAsia="仿宋" w:cs="仿宋"/>
        </w:rPr>
      </w:pPr>
      <w:r>
        <w:rPr>
          <w:rFonts w:hint="eastAsia" w:ascii="仿宋" w:hAnsi="仿宋" w:eastAsia="仿宋" w:cs="仿宋"/>
        </w:rPr>
        <w:t>1.2 投标方所供货物（或生产线）涉及的、招标方有权使用的专利权技术以及知识产权保护的其它技术等，应保证招标方不因此受到任何侵权指控以及实际损失。</w:t>
      </w:r>
    </w:p>
    <w:p w14:paraId="1724EC8B">
      <w:pPr>
        <w:pStyle w:val="16"/>
        <w:snapToGrid w:val="0"/>
        <w:spacing w:line="360" w:lineRule="auto"/>
        <w:ind w:firstLine="480" w:firstLineChars="200"/>
        <w:rPr>
          <w:rFonts w:ascii="仿宋" w:hAnsi="仿宋" w:eastAsia="仿宋" w:cs="仿宋"/>
        </w:rPr>
      </w:pPr>
      <w:r>
        <w:rPr>
          <w:rFonts w:hint="eastAsia" w:ascii="仿宋" w:hAnsi="仿宋" w:eastAsia="仿宋" w:cs="仿宋"/>
        </w:rPr>
        <w:t>1.3 投标方应保证所供货物（或生产线）的先进性、可靠性、经济性和实用性，并为全新货物（或设备）,并具有该货物(或设备)所有功能的永久使用权。</w:t>
      </w:r>
    </w:p>
    <w:p w14:paraId="4AC16E4A">
      <w:pPr>
        <w:pStyle w:val="16"/>
        <w:snapToGrid w:val="0"/>
        <w:spacing w:line="360" w:lineRule="auto"/>
        <w:ind w:firstLine="48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12E225FF">
      <w:pPr>
        <w:pStyle w:val="16"/>
        <w:snapToGrid w:val="0"/>
        <w:spacing w:line="360" w:lineRule="auto"/>
        <w:ind w:firstLine="480" w:firstLineChars="200"/>
        <w:rPr>
          <w:rFonts w:ascii="仿宋" w:hAnsi="仿宋" w:eastAsia="仿宋" w:cs="仿宋"/>
        </w:rPr>
      </w:pPr>
      <w:r>
        <w:rPr>
          <w:rFonts w:hint="eastAsia" w:ascii="仿宋" w:hAnsi="仿宋" w:eastAsia="仿宋" w:cs="仿宋"/>
        </w:rPr>
        <w:t>★1.5 投标方应保证所供货物（或设备）必须符合当前国家或地方最新安全、环保、职业健康最新法律、法规及《机械制造企业安全生产标准化》各项要求 。确保货物在使用管理过程中满足《职业健康安全管理体系》、《环境管理体系》等方面的国家标准、规范及地方规章要求；必须提供所供设备相应的安全操作规程，危险化学品“一书一签”；负责对招标方相关人员开展“四新”安全培训。</w:t>
      </w:r>
    </w:p>
    <w:p w14:paraId="08DE6DEC">
      <w:pPr>
        <w:pStyle w:val="16"/>
        <w:snapToGrid w:val="0"/>
        <w:spacing w:line="360" w:lineRule="auto"/>
        <w:ind w:firstLine="480" w:firstLineChars="200"/>
        <w:rPr>
          <w:rFonts w:ascii="仿宋" w:hAnsi="仿宋" w:eastAsia="仿宋" w:cs="仿宋"/>
        </w:rPr>
      </w:pPr>
      <w:r>
        <w:rPr>
          <w:rFonts w:hint="eastAsia" w:ascii="仿宋" w:hAnsi="仿宋" w:eastAsia="仿宋" w:cs="仿宋"/>
        </w:rPr>
        <w:t>★1.6 投标方应保证所供货物（或设备）为中国公布的非淘汰货物（或设备），并为中国指定或规定的主管部门认可的环保型和节能型货物（或设备）。招标的中标货物不接受试验品（提供证据），还应是原产地的货物。</w:t>
      </w:r>
    </w:p>
    <w:p w14:paraId="056AA0A3">
      <w:pPr>
        <w:pStyle w:val="16"/>
        <w:snapToGrid w:val="0"/>
        <w:spacing w:line="360" w:lineRule="auto"/>
        <w:ind w:firstLine="480" w:firstLineChars="200"/>
        <w:rPr>
          <w:rFonts w:ascii="仿宋" w:hAnsi="仿宋" w:eastAsia="仿宋" w:cs="仿宋"/>
        </w:rPr>
      </w:pPr>
      <w:r>
        <w:rPr>
          <w:rFonts w:hint="eastAsia" w:ascii="仿宋" w:hAnsi="仿宋" w:eastAsia="仿宋" w:cs="仿宋"/>
        </w:rPr>
        <w:t>1.7 设备用能设计基本要求</w:t>
      </w:r>
    </w:p>
    <w:p w14:paraId="250422D2">
      <w:pPr>
        <w:pStyle w:val="16"/>
        <w:snapToGrid w:val="0"/>
        <w:spacing w:line="360" w:lineRule="auto"/>
        <w:ind w:firstLine="480" w:firstLineChars="200"/>
        <w:rPr>
          <w:rFonts w:ascii="仿宋" w:hAnsi="仿宋" w:eastAsia="仿宋" w:cs="仿宋"/>
        </w:rPr>
      </w:pPr>
      <w:r>
        <w:rPr>
          <w:rFonts w:hint="eastAsia" w:ascii="仿宋" w:hAnsi="仿宋" w:eastAsia="仿宋" w:cs="仿宋"/>
        </w:rPr>
        <w:t>1.7.1 任何用能设备均应遵循《能源管理体系要求》（ISO 50001:2018）、《能源管理体系 机械制造企业认证要求》（RB/T 119-2015）的相关规定，并在《能源管理体系要求》下开展设备的采购、维护、保养、淘汰更换等工作。</w:t>
      </w:r>
    </w:p>
    <w:p w14:paraId="6EB4D940">
      <w:pPr>
        <w:pStyle w:val="16"/>
        <w:snapToGrid w:val="0"/>
        <w:spacing w:line="360" w:lineRule="auto"/>
        <w:ind w:firstLine="480" w:firstLineChars="200"/>
        <w:rPr>
          <w:rFonts w:ascii="仿宋" w:hAnsi="仿宋" w:eastAsia="仿宋" w:cs="仿宋"/>
        </w:rPr>
      </w:pPr>
      <w:r>
        <w:rPr>
          <w:rFonts w:hint="eastAsia" w:ascii="仿宋" w:hAnsi="仿宋" w:eastAsia="仿宋" w:cs="仿宋"/>
        </w:rPr>
        <w:t>1.7.2 为方便用能设备的计量统计，新增采购设备应在《用能单位能源计量器具配备和管理通则》（GB17167-2006）指导下配备符合相应要求的能源计量器具。</w:t>
      </w:r>
    </w:p>
    <w:p w14:paraId="646B033C">
      <w:pPr>
        <w:pStyle w:val="16"/>
        <w:snapToGrid w:val="0"/>
        <w:spacing w:line="360" w:lineRule="auto"/>
        <w:ind w:firstLine="480" w:firstLineChars="200"/>
        <w:rPr>
          <w:rFonts w:ascii="仿宋" w:hAnsi="仿宋" w:eastAsia="仿宋" w:cs="仿宋"/>
        </w:rPr>
      </w:pPr>
      <w:r>
        <w:rPr>
          <w:rFonts w:hint="eastAsia" w:ascii="仿宋" w:hAnsi="仿宋" w:eastAsia="仿宋" w:cs="仿宋"/>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1B4512A5">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工艺设备的电机必须选用一级能效。杜绝选用三级及以下能效。对于特殊场景、特殊用途其他设备结合性价比综合考虑、充分论证。</w:t>
      </w:r>
    </w:p>
    <w:p w14:paraId="4C592353">
      <w:pPr>
        <w:pStyle w:val="16"/>
        <w:snapToGrid w:val="0"/>
        <w:spacing w:line="360" w:lineRule="auto"/>
        <w:ind w:firstLine="480" w:firstLineChars="200"/>
        <w:rPr>
          <w:rFonts w:ascii="仿宋" w:hAnsi="仿宋" w:eastAsia="仿宋" w:cs="仿宋"/>
        </w:rPr>
      </w:pPr>
      <w:r>
        <w:rPr>
          <w:rFonts w:hint="eastAsia" w:ascii="仿宋" w:hAnsi="仿宋" w:eastAsia="仿宋" w:cs="仿宋"/>
        </w:rPr>
        <w:t>1.7.5 供方应确保设备的附属各类机电设备、设施（如：电机、风机、电器控制系统、润滑、保温隔热、照明等等）符合国家现行的相关专项标准要求。</w:t>
      </w:r>
    </w:p>
    <w:p w14:paraId="40558092">
      <w:pPr>
        <w:pStyle w:val="16"/>
        <w:snapToGrid w:val="0"/>
        <w:spacing w:line="360" w:lineRule="auto"/>
        <w:ind w:firstLine="480" w:firstLineChars="200"/>
        <w:rPr>
          <w:rFonts w:ascii="仿宋" w:hAnsi="仿宋" w:eastAsia="仿宋" w:cs="仿宋"/>
        </w:rPr>
      </w:pPr>
      <w:r>
        <w:rPr>
          <w:rFonts w:hint="eastAsia" w:ascii="仿宋" w:hAnsi="仿宋" w:eastAsia="仿宋" w:cs="仿宋"/>
        </w:rPr>
        <w:t>1.8 投标方应保证所供货物（或生产线）的完整性和成套性，能保证货物（或生产线）的正常运行、使用。</w:t>
      </w:r>
    </w:p>
    <w:p w14:paraId="322BED7E">
      <w:pPr>
        <w:pStyle w:val="16"/>
        <w:snapToGrid w:val="0"/>
        <w:spacing w:line="360" w:lineRule="auto"/>
        <w:ind w:firstLine="480" w:firstLineChars="200"/>
        <w:rPr>
          <w:rFonts w:ascii="仿宋" w:hAnsi="仿宋" w:eastAsia="仿宋" w:cs="仿宋"/>
        </w:rPr>
      </w:pPr>
      <w:r>
        <w:rPr>
          <w:rFonts w:hint="eastAsia" w:ascii="仿宋" w:hAnsi="仿宋" w:eastAsia="仿宋" w:cs="仿宋"/>
        </w:rPr>
        <w:t>1.9 投标方应对招标方采购的货物（或生产线）所涉及的技术、产能等信息负有保密义务，特殊项目应当无条件签署保密协议。</w:t>
      </w:r>
    </w:p>
    <w:p w14:paraId="634F5C13">
      <w:pPr>
        <w:pStyle w:val="16"/>
        <w:snapToGrid w:val="0"/>
        <w:spacing w:line="360" w:lineRule="auto"/>
        <w:ind w:firstLine="480" w:firstLineChars="200"/>
        <w:rPr>
          <w:rFonts w:ascii="仿宋" w:hAnsi="仿宋" w:eastAsia="仿宋" w:cs="仿宋"/>
        </w:rPr>
      </w:pPr>
      <w:r>
        <w:rPr>
          <w:rFonts w:hint="eastAsia" w:ascii="仿宋" w:hAnsi="仿宋" w:eastAsia="仿宋" w:cs="仿宋"/>
        </w:rPr>
        <w:t>★1.10 设备使用仪表和自控设备要求：</w:t>
      </w:r>
    </w:p>
    <w:p w14:paraId="3F14C905">
      <w:pPr>
        <w:pStyle w:val="16"/>
        <w:snapToGrid w:val="0"/>
        <w:spacing w:line="360" w:lineRule="auto"/>
        <w:ind w:firstLine="480" w:firstLineChars="200"/>
        <w:rPr>
          <w:rFonts w:ascii="仿宋" w:hAnsi="仿宋" w:eastAsia="仿宋" w:cs="仿宋"/>
        </w:rPr>
      </w:pPr>
      <w:bookmarkStart w:id="243" w:name="_Toc2908"/>
      <w:bookmarkStart w:id="244" w:name="_Toc31111"/>
      <w:bookmarkStart w:id="245" w:name="_Toc5025"/>
      <w:bookmarkStart w:id="246" w:name="_Toc7044"/>
      <w:bookmarkStart w:id="247" w:name="_Toc5010"/>
      <w:bookmarkStart w:id="248" w:name="_Toc30944"/>
      <w:r>
        <w:rPr>
          <w:rFonts w:hint="eastAsia" w:ascii="仿宋" w:hAnsi="仿宋" w:eastAsia="仿宋" w:cs="仿宋"/>
        </w:rPr>
        <w:t>1.10.1 设备使用仪表通用技术要求:</w:t>
      </w:r>
      <w:bookmarkEnd w:id="243"/>
      <w:bookmarkEnd w:id="244"/>
      <w:bookmarkEnd w:id="245"/>
      <w:bookmarkEnd w:id="246"/>
      <w:bookmarkEnd w:id="247"/>
      <w:bookmarkEnd w:id="248"/>
    </w:p>
    <w:p w14:paraId="088CFC80">
      <w:pPr>
        <w:pStyle w:val="16"/>
        <w:snapToGrid w:val="0"/>
        <w:spacing w:line="360" w:lineRule="auto"/>
        <w:ind w:firstLine="480" w:firstLineChars="200"/>
        <w:rPr>
          <w:rFonts w:ascii="仿宋" w:hAnsi="仿宋" w:eastAsia="仿宋" w:cs="仿宋"/>
        </w:rPr>
      </w:pPr>
      <w:r>
        <w:rPr>
          <w:rFonts w:hint="eastAsia" w:ascii="仿宋" w:hAnsi="仿宋" w:eastAsia="仿宋" w:cs="仿宋"/>
        </w:rPr>
        <w:t>1.10.1.1 投标人及供货商应保证所提供的仪表和自控设备，完全符合或高于本文通用技术要求及相应产品技术规范的要求，并应保证其供应产品在本工程指明的环境条件下能够长期安全、正常地运行。 </w:t>
      </w:r>
    </w:p>
    <w:p w14:paraId="2AB1144B">
      <w:pPr>
        <w:pStyle w:val="16"/>
        <w:snapToGrid w:val="0"/>
        <w:spacing w:line="360" w:lineRule="auto"/>
        <w:ind w:firstLine="480" w:firstLineChars="200"/>
        <w:rPr>
          <w:rFonts w:ascii="仿宋" w:hAnsi="仿宋" w:eastAsia="仿宋" w:cs="仿宋"/>
        </w:rPr>
      </w:pPr>
      <w:r>
        <w:rPr>
          <w:rFonts w:hint="eastAsia" w:ascii="仿宋" w:hAnsi="仿宋" w:eastAsia="仿宋" w:cs="仿宋"/>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16656596">
      <w:pPr>
        <w:pStyle w:val="16"/>
        <w:snapToGrid w:val="0"/>
        <w:spacing w:line="360" w:lineRule="auto"/>
        <w:ind w:firstLine="480" w:firstLineChars="200"/>
        <w:rPr>
          <w:rFonts w:ascii="仿宋" w:hAnsi="仿宋" w:eastAsia="仿宋" w:cs="仿宋"/>
        </w:rPr>
      </w:pPr>
      <w:r>
        <w:rPr>
          <w:rFonts w:hint="eastAsia" w:ascii="仿宋" w:hAnsi="仿宋" w:eastAsia="仿宋" w:cs="仿宋"/>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5CAAF173">
      <w:pPr>
        <w:pStyle w:val="16"/>
        <w:snapToGrid w:val="0"/>
        <w:spacing w:line="360" w:lineRule="auto"/>
        <w:ind w:firstLine="480" w:firstLineChars="200"/>
        <w:rPr>
          <w:rFonts w:ascii="仿宋" w:hAnsi="仿宋" w:eastAsia="仿宋" w:cs="仿宋"/>
        </w:rPr>
      </w:pPr>
      <w:bookmarkStart w:id="249" w:name="_Toc9364"/>
      <w:bookmarkStart w:id="250" w:name="_Toc26032"/>
      <w:bookmarkStart w:id="251" w:name="_Toc5075"/>
      <w:bookmarkStart w:id="252" w:name="_Toc581"/>
      <w:bookmarkStart w:id="253" w:name="_Toc32105"/>
      <w:bookmarkStart w:id="254" w:name="_Toc16669"/>
      <w:r>
        <w:rPr>
          <w:rFonts w:hint="eastAsia" w:ascii="仿宋" w:hAnsi="仿宋" w:eastAsia="仿宋" w:cs="仿宋"/>
        </w:rPr>
        <w:t>1.10.2 准确度要求: </w:t>
      </w:r>
      <w:bookmarkEnd w:id="249"/>
      <w:bookmarkEnd w:id="250"/>
      <w:bookmarkEnd w:id="251"/>
      <w:bookmarkEnd w:id="252"/>
      <w:bookmarkEnd w:id="253"/>
      <w:bookmarkEnd w:id="254"/>
    </w:p>
    <w:p w14:paraId="4A7AADE9">
      <w:pPr>
        <w:pStyle w:val="16"/>
        <w:snapToGrid w:val="0"/>
        <w:spacing w:line="360" w:lineRule="auto"/>
        <w:ind w:firstLine="480" w:firstLineChars="200"/>
        <w:rPr>
          <w:rFonts w:ascii="仿宋" w:hAnsi="仿宋" w:eastAsia="仿宋" w:cs="仿宋"/>
        </w:rPr>
      </w:pPr>
      <w:r>
        <w:rPr>
          <w:rFonts w:hint="eastAsia" w:ascii="仿宋" w:hAnsi="仿宋" w:eastAsia="仿宋" w:cs="仿宋"/>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3666384B">
      <w:pPr>
        <w:pStyle w:val="16"/>
        <w:snapToGrid w:val="0"/>
        <w:spacing w:line="360" w:lineRule="auto"/>
        <w:ind w:firstLine="480" w:firstLineChars="200"/>
        <w:rPr>
          <w:rFonts w:ascii="仿宋" w:hAnsi="仿宋" w:eastAsia="仿宋" w:cs="仿宋"/>
        </w:rPr>
      </w:pPr>
      <w:r>
        <w:rPr>
          <w:rFonts w:hint="eastAsia" w:ascii="仿宋" w:hAnsi="仿宋" w:eastAsia="仿宋" w:cs="仿宋"/>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6B293A5F">
      <w:pPr>
        <w:pStyle w:val="16"/>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rPr>
        <w:t>1.10.2.3 项目验收时，投标方提供测量功能设备及计量器具资质合格证书，招标</w:t>
      </w:r>
      <w:r>
        <w:rPr>
          <w:rFonts w:hint="eastAsia" w:ascii="仿宋" w:hAnsi="仿宋" w:eastAsia="仿宋" w:cs="仿宋"/>
          <w:highlight w:val="none"/>
        </w:rPr>
        <w:t>方根据实际情况进行相关复检，复检合格视为合格。</w:t>
      </w:r>
    </w:p>
    <w:p w14:paraId="47B91A26">
      <w:pPr>
        <w:pStyle w:val="16"/>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1.10.2.4涉及安全、工艺参数的传感器应可拆卸并具备送检条件，还应至</w:t>
      </w:r>
    </w:p>
    <w:p w14:paraId="3ACF4BB1">
      <w:pPr>
        <w:pStyle w:val="16"/>
        <w:snapToGrid w:val="0"/>
        <w:spacing w:line="360" w:lineRule="auto"/>
        <w:ind w:left="0" w:leftChars="0" w:firstLine="0" w:firstLineChars="0"/>
        <w:rPr>
          <w:rFonts w:hint="eastAsia" w:ascii="仿宋" w:hAnsi="仿宋" w:eastAsia="仿宋" w:cs="仿宋"/>
          <w:highlight w:val="none"/>
        </w:rPr>
      </w:pPr>
      <w:r>
        <w:rPr>
          <w:rFonts w:hint="eastAsia" w:ascii="仿宋" w:hAnsi="仿宋" w:eastAsia="仿宋" w:cs="仿宋"/>
          <w:highlight w:val="none"/>
        </w:rPr>
        <w:t>少备份一个传感器送检期问使用，不影响设备正常使用。</w:t>
      </w:r>
    </w:p>
    <w:p w14:paraId="6BD59CAA">
      <w:pPr>
        <w:pStyle w:val="16"/>
        <w:snapToGrid w:val="0"/>
        <w:spacing w:line="360" w:lineRule="auto"/>
        <w:ind w:firstLine="480" w:firstLineChars="200"/>
        <w:rPr>
          <w:rFonts w:ascii="仿宋" w:hAnsi="仿宋" w:eastAsia="仿宋" w:cs="仿宋"/>
          <w:highlight w:val="none"/>
        </w:rPr>
      </w:pPr>
      <w:bookmarkStart w:id="255" w:name="_Toc31048"/>
      <w:bookmarkStart w:id="256" w:name="_Toc28774"/>
      <w:bookmarkStart w:id="257" w:name="_Toc5510"/>
      <w:bookmarkStart w:id="258" w:name="_Toc1291"/>
      <w:bookmarkStart w:id="259" w:name="_Toc8799"/>
      <w:bookmarkStart w:id="260" w:name="_Toc25422"/>
      <w:r>
        <w:rPr>
          <w:rFonts w:hint="eastAsia" w:ascii="仿宋" w:hAnsi="仿宋" w:eastAsia="仿宋" w:cs="仿宋"/>
          <w:highlight w:val="none"/>
        </w:rPr>
        <w:t>1.10.3 材质要求: </w:t>
      </w:r>
      <w:bookmarkEnd w:id="255"/>
      <w:bookmarkEnd w:id="256"/>
      <w:bookmarkEnd w:id="257"/>
      <w:bookmarkEnd w:id="258"/>
      <w:bookmarkEnd w:id="259"/>
      <w:bookmarkEnd w:id="260"/>
    </w:p>
    <w:p w14:paraId="4EAD3273">
      <w:pPr>
        <w:pStyle w:val="16"/>
        <w:snapToGrid w:val="0"/>
        <w:spacing w:line="360" w:lineRule="auto"/>
        <w:ind w:firstLine="480" w:firstLineChars="200"/>
        <w:rPr>
          <w:rFonts w:ascii="仿宋" w:hAnsi="仿宋" w:eastAsia="仿宋" w:cs="仿宋"/>
        </w:rPr>
      </w:pPr>
      <w:r>
        <w:rPr>
          <w:rFonts w:hint="eastAsia" w:ascii="仿宋" w:hAnsi="仿宋" w:eastAsia="仿宋" w:cs="仿宋"/>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31136FE8">
      <w:pPr>
        <w:pStyle w:val="16"/>
        <w:snapToGrid w:val="0"/>
        <w:spacing w:line="360" w:lineRule="auto"/>
        <w:ind w:firstLine="480" w:firstLineChars="200"/>
        <w:rPr>
          <w:rFonts w:ascii="仿宋" w:hAnsi="仿宋" w:eastAsia="仿宋" w:cs="仿宋"/>
        </w:rPr>
      </w:pPr>
      <w:r>
        <w:rPr>
          <w:rFonts w:hint="eastAsia" w:ascii="仿宋" w:hAnsi="仿宋" w:eastAsia="仿宋" w:cs="仿宋"/>
        </w:rPr>
        <w:t>★1.11投标方所供设备应按“交钥匙工程”要求。</w:t>
      </w:r>
    </w:p>
    <w:p w14:paraId="2FAD5C88">
      <w:pPr>
        <w:snapToGrid w:val="0"/>
        <w:spacing w:line="360" w:lineRule="auto"/>
        <w:ind w:firstLine="422" w:firstLineChars="200"/>
        <w:outlineLvl w:val="1"/>
        <w:rPr>
          <w:rFonts w:ascii="仿宋" w:hAnsi="仿宋" w:eastAsia="仿宋" w:cs="仿宋"/>
        </w:rPr>
      </w:pPr>
      <w:bookmarkStart w:id="261" w:name="_Toc32154"/>
      <w:bookmarkStart w:id="262" w:name="_Hlk69924518"/>
      <w:r>
        <w:rPr>
          <w:rFonts w:hint="eastAsia" w:ascii="仿宋" w:hAnsi="仿宋" w:eastAsia="仿宋" w:cs="仿宋"/>
          <w:b/>
          <w:bCs/>
        </w:rPr>
        <w:t xml:space="preserve">2 </w:t>
      </w:r>
      <w:r>
        <w:rPr>
          <w:rFonts w:hint="eastAsia" w:ascii="仿宋" w:hAnsi="仿宋" w:eastAsia="仿宋" w:cs="仿宋"/>
          <w:lang w:bidi="ar"/>
        </w:rPr>
        <w:t>执行标准</w:t>
      </w:r>
      <w:bookmarkEnd w:id="261"/>
    </w:p>
    <w:bookmarkEnd w:id="262"/>
    <w:p w14:paraId="6A396A0C">
      <w:pPr>
        <w:spacing w:line="480" w:lineRule="exact"/>
        <w:ind w:firstLine="420" w:firstLineChars="200"/>
        <w:rPr>
          <w:rFonts w:ascii="仿宋" w:hAnsi="仿宋" w:eastAsia="仿宋" w:cs="仿宋"/>
        </w:rPr>
      </w:pPr>
      <w:r>
        <w:rPr>
          <w:rFonts w:hint="eastAsia" w:ascii="仿宋" w:hAnsi="仿宋" w:eastAsia="仿宋" w:cs="仿宋"/>
          <w:lang w:bidi="ar"/>
        </w:rPr>
        <w:t>2.1  招标方此处所列标准仅为涉及的主要标准，而且不保证其为最新版执行标准；投标方应当在投标文件中予以补充和完善。</w:t>
      </w:r>
    </w:p>
    <w:p w14:paraId="2C7D8518">
      <w:pPr>
        <w:spacing w:line="480" w:lineRule="exact"/>
        <w:ind w:firstLine="420" w:firstLineChars="200"/>
        <w:rPr>
          <w:rFonts w:ascii="仿宋" w:hAnsi="仿宋" w:eastAsia="仿宋" w:cs="仿宋"/>
        </w:rPr>
      </w:pPr>
      <w:r>
        <w:rPr>
          <w:rFonts w:hint="eastAsia" w:ascii="仿宋" w:hAnsi="仿宋" w:eastAsia="仿宋" w:cs="仿宋"/>
          <w:lang w:bidi="ar"/>
        </w:rPr>
        <w:t>2.2  投标方需要执行的标准，应当以所供设备通过招标方将来组织的最终验收之日后需要执行的标准。</w:t>
      </w:r>
    </w:p>
    <w:p w14:paraId="5D43E069">
      <w:pPr>
        <w:spacing w:line="480" w:lineRule="exact"/>
        <w:ind w:firstLine="420" w:firstLineChars="200"/>
        <w:rPr>
          <w:rFonts w:ascii="仿宋" w:hAnsi="仿宋" w:eastAsia="仿宋" w:cs="仿宋"/>
        </w:rPr>
      </w:pPr>
      <w:r>
        <w:rPr>
          <w:rFonts w:hint="eastAsia" w:ascii="仿宋" w:hAnsi="仿宋" w:eastAsia="仿宋" w:cs="仿宋"/>
          <w:lang w:bidi="ar"/>
        </w:rPr>
        <w:t>2.3  涉及的主要标准表（包含但不限于）</w:t>
      </w:r>
    </w:p>
    <w:tbl>
      <w:tblPr>
        <w:tblStyle w:val="30"/>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06D4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5FA6CFE6">
            <w:pPr>
              <w:spacing w:line="360" w:lineRule="exact"/>
              <w:jc w:val="center"/>
              <w:rPr>
                <w:rFonts w:ascii="仿宋" w:hAnsi="仿宋" w:eastAsia="仿宋" w:cs="仿宋"/>
                <w:sz w:val="21"/>
              </w:rPr>
            </w:pPr>
            <w:r>
              <w:rPr>
                <w:rFonts w:hint="eastAsia" w:ascii="仿宋" w:hAnsi="仿宋" w:eastAsia="仿宋" w:cs="仿宋"/>
                <w:sz w:val="21"/>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404E3AF">
            <w:pPr>
              <w:spacing w:line="360" w:lineRule="exact"/>
              <w:jc w:val="center"/>
              <w:rPr>
                <w:rFonts w:ascii="仿宋" w:hAnsi="仿宋" w:eastAsia="仿宋" w:cs="仿宋"/>
                <w:sz w:val="21"/>
              </w:rPr>
            </w:pPr>
            <w:r>
              <w:rPr>
                <w:rFonts w:hint="eastAsia" w:ascii="仿宋" w:hAnsi="仿宋" w:eastAsia="仿宋" w:cs="仿宋"/>
                <w:sz w:val="21"/>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32562EE">
            <w:pPr>
              <w:spacing w:line="360" w:lineRule="exact"/>
              <w:jc w:val="center"/>
              <w:rPr>
                <w:rFonts w:ascii="仿宋" w:hAnsi="仿宋" w:eastAsia="仿宋" w:cs="仿宋"/>
                <w:sz w:val="21"/>
              </w:rPr>
            </w:pPr>
            <w:r>
              <w:rPr>
                <w:rFonts w:hint="eastAsia" w:ascii="仿宋" w:hAnsi="仿宋" w:eastAsia="仿宋" w:cs="仿宋"/>
                <w:sz w:val="21"/>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7DD79D6D">
            <w:pPr>
              <w:spacing w:line="360" w:lineRule="exact"/>
              <w:jc w:val="center"/>
              <w:rPr>
                <w:rFonts w:ascii="仿宋" w:hAnsi="仿宋" w:eastAsia="仿宋" w:cs="仿宋"/>
                <w:sz w:val="21"/>
              </w:rPr>
            </w:pPr>
            <w:r>
              <w:rPr>
                <w:rFonts w:hint="eastAsia" w:ascii="仿宋" w:hAnsi="仿宋" w:eastAsia="仿宋" w:cs="仿宋"/>
                <w:sz w:val="21"/>
                <w:lang w:bidi="ar"/>
              </w:rPr>
              <w:t>备注</w:t>
            </w:r>
          </w:p>
        </w:tc>
      </w:tr>
      <w:tr w14:paraId="6645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B48867B">
            <w:pPr>
              <w:spacing w:line="360" w:lineRule="exact"/>
              <w:jc w:val="center"/>
              <w:rPr>
                <w:rFonts w:ascii="仿宋" w:hAnsi="仿宋" w:eastAsia="仿宋" w:cs="仿宋"/>
                <w:sz w:val="21"/>
                <w:szCs w:val="21"/>
              </w:rPr>
            </w:pPr>
            <w:r>
              <w:rPr>
                <w:rFonts w:hint="eastAsia" w:ascii="仿宋" w:hAnsi="仿宋" w:eastAsia="仿宋" w:cs="仿宋"/>
                <w:sz w:val="21"/>
                <w:szCs w:val="21"/>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7A8F2B6">
            <w:pPr>
              <w:spacing w:line="360" w:lineRule="exact"/>
              <w:rPr>
                <w:rFonts w:ascii="仿宋" w:hAnsi="仿宋" w:eastAsia="仿宋" w:cs="仿宋"/>
                <w:sz w:val="21"/>
                <w:szCs w:val="21"/>
              </w:rPr>
            </w:pPr>
            <w:r>
              <w:rPr>
                <w:rFonts w:hint="eastAsia" w:ascii="仿宋" w:hAnsi="仿宋" w:eastAsia="仿宋" w:cs="仿宋"/>
                <w:sz w:val="21"/>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3144DF2">
            <w:pPr>
              <w:spacing w:line="360" w:lineRule="exact"/>
              <w:rPr>
                <w:rFonts w:ascii="仿宋" w:hAnsi="仿宋" w:eastAsia="仿宋" w:cs="仿宋"/>
                <w:sz w:val="21"/>
                <w:szCs w:val="21"/>
              </w:rPr>
            </w:pPr>
            <w:r>
              <w:rPr>
                <w:rFonts w:hint="eastAsia" w:ascii="仿宋" w:hAnsi="仿宋" w:eastAsia="仿宋" w:cs="仿宋"/>
                <w:sz w:val="21"/>
                <w:szCs w:val="21"/>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3590789F">
            <w:pPr>
              <w:spacing w:line="360" w:lineRule="exact"/>
              <w:rPr>
                <w:rFonts w:ascii="仿宋" w:hAnsi="仿宋" w:eastAsia="仿宋" w:cs="仿宋"/>
                <w:color w:val="FF0000"/>
                <w:sz w:val="21"/>
                <w:szCs w:val="21"/>
              </w:rPr>
            </w:pPr>
          </w:p>
        </w:tc>
      </w:tr>
      <w:tr w14:paraId="443E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962FA2">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2391EF6">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26F9535">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CD73843">
            <w:pPr>
              <w:rPr>
                <w:rFonts w:ascii="仿宋" w:hAnsi="仿宋" w:eastAsia="仿宋" w:cs="仿宋"/>
                <w:sz w:val="20"/>
                <w:szCs w:val="20"/>
              </w:rPr>
            </w:pPr>
          </w:p>
        </w:tc>
      </w:tr>
      <w:tr w14:paraId="01DE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01900B3">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3DBE01A8">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E3975D3">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CFAD958">
            <w:pPr>
              <w:rPr>
                <w:rFonts w:ascii="仿宋" w:hAnsi="仿宋" w:eastAsia="仿宋" w:cs="仿宋"/>
                <w:sz w:val="20"/>
                <w:szCs w:val="20"/>
              </w:rPr>
            </w:pPr>
          </w:p>
        </w:tc>
      </w:tr>
      <w:tr w14:paraId="20D3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97D6D7A">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7C56444">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85C05C6">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F8DAEBF">
            <w:pPr>
              <w:rPr>
                <w:rFonts w:ascii="仿宋" w:hAnsi="仿宋" w:eastAsia="仿宋" w:cs="仿宋"/>
                <w:sz w:val="20"/>
                <w:szCs w:val="20"/>
              </w:rPr>
            </w:pPr>
          </w:p>
        </w:tc>
      </w:tr>
      <w:tr w14:paraId="479D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A269A11">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A023DAC">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37A56F3">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49A4F4F">
            <w:pPr>
              <w:rPr>
                <w:rFonts w:ascii="仿宋" w:hAnsi="仿宋" w:eastAsia="仿宋" w:cs="仿宋"/>
                <w:sz w:val="20"/>
                <w:szCs w:val="20"/>
              </w:rPr>
            </w:pPr>
          </w:p>
        </w:tc>
      </w:tr>
      <w:tr w14:paraId="57BB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5BE6331">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7F6E413">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74BF2C6">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86DB82B">
            <w:pPr>
              <w:rPr>
                <w:rFonts w:ascii="仿宋" w:hAnsi="仿宋" w:eastAsia="仿宋" w:cs="仿宋"/>
                <w:sz w:val="20"/>
                <w:szCs w:val="20"/>
              </w:rPr>
            </w:pPr>
          </w:p>
        </w:tc>
      </w:tr>
      <w:tr w14:paraId="3156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C5F9B15">
            <w:pPr>
              <w:spacing w:line="360" w:lineRule="exac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44BDCBE">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fldChar w:fldCharType="begin"/>
            </w:r>
            <w:r>
              <w:rPr>
                <w:rFonts w:hint="eastAsia" w:ascii="仿宋" w:hAnsi="仿宋" w:eastAsia="仿宋" w:cs="仿宋"/>
                <w:sz w:val="21"/>
                <w:szCs w:val="21"/>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1"/>
                <w:szCs w:val="21"/>
                <w:highlight w:val="none"/>
                <w:lang w:bidi="ar"/>
              </w:rPr>
              <w:fldChar w:fldCharType="separate"/>
            </w:r>
            <w:r>
              <w:rPr>
                <w:rFonts w:hint="eastAsia" w:ascii="仿宋" w:hAnsi="仿宋" w:eastAsia="仿宋" w:cs="仿宋"/>
                <w:sz w:val="21"/>
                <w:szCs w:val="21"/>
                <w:highlight w:val="none"/>
                <w:lang w:bidi="ar"/>
              </w:rPr>
              <w:t>机械设备防护罩安全标准</w:t>
            </w:r>
            <w:r>
              <w:rPr>
                <w:rFonts w:hint="eastAsia" w:ascii="仿宋" w:hAnsi="仿宋" w:eastAsia="仿宋" w:cs="仿宋"/>
                <w:sz w:val="21"/>
                <w:szCs w:val="21"/>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E5A90D5">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09A463A">
            <w:pPr>
              <w:rPr>
                <w:rFonts w:ascii="仿宋" w:hAnsi="仿宋" w:eastAsia="仿宋" w:cs="仿宋"/>
                <w:sz w:val="20"/>
                <w:szCs w:val="20"/>
                <w:highlight w:val="none"/>
              </w:rPr>
            </w:pPr>
          </w:p>
        </w:tc>
      </w:tr>
      <w:tr w14:paraId="6248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8A3A16C">
            <w:pPr>
              <w:spacing w:line="360" w:lineRule="exac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1E84F8CE">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4EDBE30B">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w:t>
            </w:r>
            <w:r>
              <w:rPr>
                <w:rFonts w:hint="eastAsia" w:ascii="仿宋" w:hAnsi="仿宋" w:eastAsia="仿宋" w:cs="仿宋"/>
                <w:sz w:val="21"/>
                <w:szCs w:val="21"/>
                <w:highlight w:val="none"/>
                <w:lang w:bidi="ar"/>
              </w:rPr>
              <w:t>23821-20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8D22353">
            <w:pPr>
              <w:rPr>
                <w:rFonts w:ascii="仿宋" w:hAnsi="仿宋" w:eastAsia="仿宋" w:cs="仿宋"/>
                <w:sz w:val="20"/>
                <w:szCs w:val="20"/>
                <w:highlight w:val="none"/>
              </w:rPr>
            </w:pPr>
          </w:p>
        </w:tc>
      </w:tr>
      <w:tr w14:paraId="06D8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2B1098C">
            <w:pPr>
              <w:spacing w:line="360" w:lineRule="exact"/>
              <w:jc w:val="center"/>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35F5FB1E">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7A3990EA">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/T19671</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A635B53">
            <w:pPr>
              <w:rPr>
                <w:rFonts w:ascii="仿宋" w:hAnsi="仿宋" w:eastAsia="仿宋" w:cs="仿宋"/>
                <w:sz w:val="20"/>
                <w:szCs w:val="20"/>
                <w:highlight w:val="none"/>
              </w:rPr>
            </w:pPr>
          </w:p>
        </w:tc>
      </w:tr>
      <w:tr w14:paraId="3DDC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C89F3FB">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35E2E271">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54327AB1">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/T30574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4AD6FEC">
            <w:pPr>
              <w:rPr>
                <w:rFonts w:ascii="仿宋" w:hAnsi="仿宋" w:eastAsia="仿宋" w:cs="仿宋"/>
                <w:sz w:val="20"/>
                <w:szCs w:val="20"/>
                <w:highlight w:val="none"/>
              </w:rPr>
            </w:pPr>
          </w:p>
        </w:tc>
      </w:tr>
      <w:tr w14:paraId="4CED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28E453C">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F4FB6FE">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A7D9EDE">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67DF4FA">
            <w:pPr>
              <w:rPr>
                <w:rFonts w:ascii="仿宋" w:hAnsi="仿宋" w:eastAsia="仿宋" w:cs="仿宋"/>
                <w:sz w:val="20"/>
                <w:szCs w:val="20"/>
                <w:highlight w:val="none"/>
              </w:rPr>
            </w:pPr>
          </w:p>
        </w:tc>
      </w:tr>
      <w:tr w14:paraId="0E17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C1E31FB">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3689BCA3">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《工业企业设计</w:t>
            </w:r>
            <w:r>
              <w:rPr>
                <w:rFonts w:hint="eastAsia" w:ascii="仿宋" w:hAnsi="仿宋" w:eastAsia="仿宋" w:cs="仿宋"/>
                <w:sz w:val="21"/>
                <w:szCs w:val="21"/>
                <w:highlight w:val="none"/>
                <w:lang w:eastAsia="zh-CN" w:bidi="ar"/>
              </w:rPr>
              <w:t>卫生标准</w:t>
            </w:r>
            <w:r>
              <w:rPr>
                <w:rFonts w:hint="eastAsia" w:ascii="仿宋" w:hAnsi="仿宋" w:eastAsia="仿宋" w:cs="仿宋"/>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4A01D536">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 1</w:t>
            </w: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B657DA5">
            <w:pPr>
              <w:rPr>
                <w:rFonts w:ascii="仿宋" w:hAnsi="仿宋" w:eastAsia="仿宋" w:cs="仿宋"/>
                <w:sz w:val="20"/>
                <w:szCs w:val="20"/>
                <w:highlight w:val="none"/>
              </w:rPr>
            </w:pPr>
          </w:p>
        </w:tc>
      </w:tr>
      <w:tr w14:paraId="6D46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A9789EA">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41F2346">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3C4E69DB">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/T500</w:t>
            </w:r>
            <w:r>
              <w:rPr>
                <w:rFonts w:hint="eastAsia" w:ascii="仿宋" w:hAnsi="仿宋" w:eastAsia="仿宋" w:cs="仿宋"/>
                <w:sz w:val="21"/>
                <w:szCs w:val="21"/>
                <w:highlight w:val="none"/>
                <w:lang w:bidi="ar"/>
              </w:rPr>
              <w:t>87-</w:t>
            </w:r>
            <w:r>
              <w:rPr>
                <w:rFonts w:hint="eastAsia" w:ascii="仿宋" w:hAnsi="仿宋" w:eastAsia="仿宋" w:cs="仿宋"/>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ABCEB92">
            <w:pPr>
              <w:rPr>
                <w:rFonts w:ascii="仿宋" w:hAnsi="仿宋" w:eastAsia="仿宋" w:cs="仿宋"/>
                <w:sz w:val="20"/>
                <w:szCs w:val="20"/>
                <w:highlight w:val="none"/>
              </w:rPr>
            </w:pPr>
          </w:p>
        </w:tc>
      </w:tr>
      <w:tr w14:paraId="414D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4B3B8C3">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7C0C3F9">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9FC754F">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56817B0">
            <w:pPr>
              <w:rPr>
                <w:rFonts w:ascii="仿宋" w:hAnsi="仿宋" w:eastAsia="仿宋" w:cs="仿宋"/>
                <w:sz w:val="20"/>
                <w:szCs w:val="20"/>
                <w:highlight w:val="none"/>
              </w:rPr>
            </w:pPr>
          </w:p>
        </w:tc>
      </w:tr>
      <w:tr w14:paraId="501D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053987B">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AAC146B">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02BE5CF">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1174F7D">
            <w:pPr>
              <w:rPr>
                <w:rFonts w:ascii="仿宋" w:hAnsi="仿宋" w:eastAsia="仿宋" w:cs="仿宋"/>
                <w:sz w:val="20"/>
                <w:szCs w:val="20"/>
                <w:highlight w:val="none"/>
              </w:rPr>
            </w:pPr>
          </w:p>
        </w:tc>
      </w:tr>
      <w:tr w14:paraId="393C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959D51D">
            <w:pPr>
              <w:spacing w:line="360" w:lineRule="exact"/>
              <w:jc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w:t>
            </w:r>
            <w:r>
              <w:rPr>
                <w:rFonts w:hint="eastAsia" w:ascii="仿宋" w:hAnsi="仿宋" w:eastAsia="仿宋" w:cs="仿宋"/>
                <w:sz w:val="21"/>
                <w:szCs w:val="21"/>
                <w:lang w:val="en-US" w:eastAsia="zh-CN"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14E4A1B">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D8C5B39">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AA8F2EE">
            <w:pPr>
              <w:rPr>
                <w:rFonts w:ascii="仿宋" w:hAnsi="仿宋" w:eastAsia="仿宋" w:cs="仿宋"/>
                <w:sz w:val="20"/>
                <w:szCs w:val="20"/>
              </w:rPr>
            </w:pPr>
          </w:p>
        </w:tc>
      </w:tr>
      <w:tr w14:paraId="2C20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BBB7FDD">
            <w:pPr>
              <w:spacing w:line="360" w:lineRule="exact"/>
              <w:jc w:val="center"/>
              <w:rPr>
                <w:rFonts w:hint="default" w:ascii="仿宋" w:hAnsi="仿宋" w:eastAsia="仿宋" w:cs="仿宋"/>
                <w:sz w:val="21"/>
                <w:szCs w:val="21"/>
                <w:lang w:val="en-US" w:eastAsia="zh-CN" w:bidi="ar"/>
              </w:rPr>
            </w:pPr>
            <w:r>
              <w:rPr>
                <w:rFonts w:hint="eastAsia" w:ascii="仿宋" w:hAnsi="仿宋" w:eastAsia="仿宋" w:cs="仿宋"/>
                <w:sz w:val="21"/>
                <w:szCs w:val="21"/>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75FFB30">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EB446CB">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236ACA3">
            <w:pPr>
              <w:rPr>
                <w:rFonts w:ascii="仿宋" w:hAnsi="仿宋" w:eastAsia="仿宋" w:cs="仿宋"/>
                <w:sz w:val="20"/>
                <w:szCs w:val="20"/>
              </w:rPr>
            </w:pPr>
          </w:p>
        </w:tc>
      </w:tr>
      <w:tr w14:paraId="1560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D955C01">
            <w:pPr>
              <w:spacing w:line="360" w:lineRule="exact"/>
              <w:jc w:val="center"/>
              <w:rPr>
                <w:rFonts w:hint="eastAsia" w:ascii="仿宋" w:hAnsi="仿宋" w:eastAsia="仿宋" w:cs="仿宋"/>
                <w:sz w:val="21"/>
                <w:szCs w:val="21"/>
                <w:lang w:eastAsia="zh-CN" w:bidi="ar"/>
              </w:rPr>
            </w:pPr>
            <w:r>
              <w:rPr>
                <w:rFonts w:hint="eastAsia" w:ascii="仿宋" w:hAnsi="仿宋" w:eastAsia="仿宋" w:cs="仿宋"/>
                <w:sz w:val="21"/>
                <w:szCs w:val="21"/>
                <w:lang w:bidi="ar"/>
              </w:rPr>
              <w:t>1</w:t>
            </w:r>
            <w:r>
              <w:rPr>
                <w:rFonts w:hint="eastAsia" w:ascii="仿宋" w:hAnsi="仿宋" w:eastAsia="仿宋" w:cs="仿宋"/>
                <w:sz w:val="21"/>
                <w:szCs w:val="21"/>
                <w:lang w:val="en-US" w:eastAsia="zh-CN"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7257C765">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6FA61B2">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1936912">
            <w:pPr>
              <w:rPr>
                <w:rFonts w:ascii="仿宋" w:hAnsi="仿宋" w:eastAsia="仿宋" w:cs="仿宋"/>
                <w:sz w:val="20"/>
                <w:szCs w:val="20"/>
              </w:rPr>
            </w:pPr>
          </w:p>
        </w:tc>
      </w:tr>
      <w:tr w14:paraId="28BB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284218C">
            <w:pPr>
              <w:spacing w:line="360" w:lineRule="exact"/>
              <w:jc w:val="center"/>
              <w:rPr>
                <w:rFonts w:hint="eastAsia" w:ascii="仿宋" w:hAnsi="仿宋" w:eastAsia="仿宋" w:cs="仿宋"/>
                <w:kern w:val="2"/>
                <w:sz w:val="21"/>
                <w:szCs w:val="21"/>
                <w:lang w:val="en-US" w:eastAsia="zh-CN" w:bidi="ar"/>
              </w:rPr>
            </w:pPr>
            <w:r>
              <w:rPr>
                <w:rFonts w:hint="eastAsia" w:ascii="仿宋" w:hAnsi="仿宋" w:eastAsia="仿宋" w:cs="仿宋"/>
                <w:sz w:val="21"/>
                <w:szCs w:val="21"/>
                <w:lang w:bidi="ar"/>
              </w:rPr>
              <w:t>1</w:t>
            </w:r>
            <w:r>
              <w:rPr>
                <w:rFonts w:hint="eastAsia" w:ascii="仿宋" w:hAnsi="仿宋" w:eastAsia="仿宋" w:cs="仿宋"/>
                <w:sz w:val="21"/>
                <w:szCs w:val="21"/>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672F7F5">
            <w:pPr>
              <w:spacing w:line="360" w:lineRule="exact"/>
              <w:rPr>
                <w:rFonts w:hint="eastAsia" w:ascii="仿宋" w:hAnsi="仿宋" w:eastAsia="仿宋" w:cs="仿宋"/>
                <w:sz w:val="21"/>
                <w:szCs w:val="21"/>
                <w:lang w:val="en-US" w:eastAsia="zh-CN" w:bidi="ar"/>
              </w:rPr>
            </w:pPr>
            <w:r>
              <w:rPr>
                <w:rFonts w:hint="eastAsia" w:ascii="仿宋" w:hAnsi="仿宋" w:eastAsia="仿宋" w:cs="仿宋"/>
                <w:sz w:val="21"/>
                <w:szCs w:val="21"/>
                <w:lang w:bidi="ar"/>
              </w:rPr>
              <w:t>高耗能落后机电设备（产品）淘汰目录（第</w:t>
            </w:r>
            <w:r>
              <w:rPr>
                <w:rFonts w:hint="eastAsia" w:ascii="仿宋" w:hAnsi="仿宋" w:eastAsia="仿宋" w:cs="仿宋"/>
                <w:sz w:val="21"/>
                <w:szCs w:val="21"/>
                <w:lang w:val="en-US" w:eastAsia="zh-CN" w:bidi="ar"/>
              </w:rPr>
              <w:t>四</w:t>
            </w:r>
            <w:r>
              <w:rPr>
                <w:rFonts w:hint="eastAsia" w:ascii="仿宋" w:hAnsi="仿宋" w:eastAsia="仿宋" w:cs="仿宋"/>
                <w:sz w:val="21"/>
                <w:szCs w:val="21"/>
                <w:lang w:bidi="ar"/>
              </w:rPr>
              <w:t>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BAC01F7">
            <w:pPr>
              <w:spacing w:line="360" w:lineRule="exact"/>
              <w:rPr>
                <w:rFonts w:hint="eastAsia" w:ascii="仿宋" w:hAnsi="仿宋" w:eastAsia="仿宋" w:cs="仿宋"/>
                <w:sz w:val="21"/>
                <w:szCs w:val="21"/>
                <w:lang w:val="en-US" w:eastAsia="zh-CN"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CCBB960">
            <w:pPr>
              <w:rPr>
                <w:rFonts w:ascii="仿宋" w:hAnsi="仿宋" w:eastAsia="仿宋" w:cs="仿宋"/>
                <w:sz w:val="20"/>
                <w:szCs w:val="20"/>
              </w:rPr>
            </w:pPr>
          </w:p>
        </w:tc>
      </w:tr>
      <w:tr w14:paraId="0C9D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30E967A">
            <w:pPr>
              <w:spacing w:line="360" w:lineRule="exact"/>
              <w:jc w:val="center"/>
              <w:rPr>
                <w:rFonts w:hint="eastAsia"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5CC039C">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AFA9AEA">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6859470">
            <w:pPr>
              <w:rPr>
                <w:rFonts w:ascii="仿宋" w:hAnsi="仿宋" w:eastAsia="仿宋" w:cs="仿宋"/>
                <w:sz w:val="20"/>
                <w:szCs w:val="20"/>
              </w:rPr>
            </w:pPr>
          </w:p>
        </w:tc>
      </w:tr>
      <w:tr w14:paraId="58F8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A1A010B">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82F4BD1">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29503C80">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0E7293C">
            <w:pPr>
              <w:rPr>
                <w:rFonts w:ascii="仿宋" w:hAnsi="仿宋" w:eastAsia="仿宋" w:cs="仿宋"/>
                <w:sz w:val="20"/>
                <w:szCs w:val="20"/>
              </w:rPr>
            </w:pPr>
          </w:p>
        </w:tc>
      </w:tr>
      <w:tr w14:paraId="6A17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7ABBC6E">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39106E95">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5651AFD">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A82BF15">
            <w:pPr>
              <w:rPr>
                <w:rFonts w:ascii="仿宋" w:hAnsi="仿宋" w:eastAsia="仿宋" w:cs="仿宋"/>
                <w:sz w:val="20"/>
                <w:szCs w:val="20"/>
              </w:rPr>
            </w:pPr>
          </w:p>
        </w:tc>
      </w:tr>
      <w:tr w14:paraId="4A8A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AD32A9F">
            <w:pPr>
              <w:spacing w:line="360" w:lineRule="exact"/>
              <w:jc w:val="center"/>
              <w:rPr>
                <w:rFonts w:hint="default" w:ascii="仿宋" w:hAnsi="仿宋" w:eastAsia="仿宋" w:cs="仿宋"/>
                <w:sz w:val="21"/>
                <w:szCs w:val="21"/>
                <w:lang w:val="en-US" w:eastAsia="zh-CN" w:bidi="ar"/>
              </w:rPr>
            </w:pPr>
            <w:r>
              <w:rPr>
                <w:rFonts w:hint="eastAsia" w:ascii="仿宋" w:hAnsi="仿宋" w:eastAsia="仿宋" w:cs="仿宋"/>
                <w:sz w:val="21"/>
                <w:szCs w:val="21"/>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04E89333">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ED8EEFC">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7192A024">
            <w:pPr>
              <w:rPr>
                <w:rFonts w:ascii="仿宋" w:hAnsi="仿宋" w:eastAsia="仿宋" w:cs="仿宋"/>
                <w:sz w:val="20"/>
                <w:szCs w:val="20"/>
              </w:rPr>
            </w:pPr>
          </w:p>
        </w:tc>
      </w:tr>
    </w:tbl>
    <w:p w14:paraId="5D828BF3">
      <w:pPr>
        <w:spacing w:line="360" w:lineRule="exact"/>
        <w:rPr>
          <w:rFonts w:hint="eastAsia" w:ascii="仿宋" w:hAnsi="仿宋" w:eastAsia="仿宋" w:cs="仿宋"/>
          <w:sz w:val="21"/>
          <w:lang w:bidi="ar"/>
        </w:rPr>
      </w:pPr>
      <w:r>
        <w:rPr>
          <w:rFonts w:hint="eastAsia" w:ascii="仿宋" w:hAnsi="仿宋" w:eastAsia="仿宋" w:cs="仿宋"/>
          <w:sz w:val="21"/>
          <w:lang w:bidi="ar"/>
        </w:rPr>
        <w:t>备注：1、如果有采用国际标准的货物，其执行标准由投标方提供、招标方确认。</w:t>
      </w:r>
    </w:p>
    <w:p w14:paraId="174C8754">
      <w:pPr>
        <w:pStyle w:val="2"/>
        <w:rPr>
          <w:sz w:val="2"/>
          <w:szCs w:val="6"/>
        </w:rPr>
      </w:pPr>
    </w:p>
    <w:p w14:paraId="6FD3BAE7">
      <w:pPr>
        <w:snapToGrid w:val="0"/>
        <w:spacing w:line="360" w:lineRule="auto"/>
        <w:ind w:firstLine="422" w:firstLineChars="200"/>
        <w:outlineLvl w:val="1"/>
        <w:rPr>
          <w:rFonts w:ascii="仿宋" w:hAnsi="仿宋" w:eastAsia="仿宋" w:cs="仿宋"/>
          <w:b/>
          <w:bCs/>
        </w:rPr>
      </w:pPr>
      <w:bookmarkStart w:id="263" w:name="_Toc12028"/>
      <w:bookmarkStart w:id="264" w:name="_Toc12134"/>
      <w:bookmarkStart w:id="265" w:name="_Toc16004"/>
      <w:bookmarkStart w:id="266" w:name="_Toc20175"/>
      <w:bookmarkStart w:id="267" w:name="_Toc16236"/>
      <w:bookmarkStart w:id="268" w:name="_Toc22251"/>
      <w:bookmarkStart w:id="269" w:name="_Toc31203"/>
      <w:bookmarkStart w:id="270" w:name="_Toc31998"/>
      <w:bookmarkStart w:id="271" w:name="_Toc19257"/>
      <w:bookmarkStart w:id="272" w:name="_Toc22966"/>
      <w:bookmarkStart w:id="273" w:name="_Toc3790"/>
      <w:bookmarkStart w:id="274" w:name="_Toc5217"/>
      <w:bookmarkStart w:id="275" w:name="_Toc21455"/>
      <w:bookmarkStart w:id="276" w:name="_Toc21816"/>
      <w:bookmarkStart w:id="277" w:name="_Toc11090"/>
      <w:bookmarkStart w:id="278" w:name="_Toc31161"/>
      <w:bookmarkStart w:id="279" w:name="_Toc16054"/>
      <w:bookmarkStart w:id="280" w:name="_Toc15804"/>
      <w:bookmarkStart w:id="281" w:name="_Toc31070"/>
      <w:bookmarkStart w:id="282" w:name="_Toc7237"/>
      <w:r>
        <w:rPr>
          <w:rFonts w:hint="eastAsia" w:ascii="仿宋" w:hAnsi="仿宋" w:eastAsia="仿宋" w:cs="仿宋"/>
          <w:b/>
          <w:bCs/>
        </w:rPr>
        <w:t>3</w:t>
      </w:r>
      <w:r>
        <w:rPr>
          <w:rFonts w:hint="eastAsia" w:ascii="仿宋" w:hAnsi="仿宋" w:eastAsia="仿宋" w:cs="仿宋"/>
          <w:b/>
          <w:bCs/>
          <w:lang w:val="en-US" w:eastAsia="zh-CN"/>
        </w:rPr>
        <w:t xml:space="preserve"> </w:t>
      </w:r>
      <w:r>
        <w:rPr>
          <w:rFonts w:hint="eastAsia" w:ascii="仿宋" w:hAnsi="仿宋" w:eastAsia="仿宋" w:cs="仿宋"/>
          <w:b/>
          <w:bCs/>
        </w:rPr>
        <w:t>技术规范</w:t>
      </w:r>
      <w:bookmarkEnd w:id="263"/>
    </w:p>
    <w:p w14:paraId="7E09FFA3">
      <w:pPr>
        <w:pStyle w:val="16"/>
        <w:snapToGrid w:val="0"/>
        <w:spacing w:line="360" w:lineRule="auto"/>
        <w:ind w:firstLine="480" w:firstLineChars="200"/>
        <w:rPr>
          <w:rFonts w:ascii="仿宋" w:hAnsi="仿宋" w:eastAsia="仿宋" w:cs="仿宋"/>
        </w:rPr>
      </w:pPr>
      <w:bookmarkStart w:id="283" w:name="_Toc25588"/>
      <w:bookmarkStart w:id="284" w:name="_Toc22042"/>
      <w:bookmarkStart w:id="285" w:name="_Toc12757"/>
      <w:bookmarkStart w:id="286" w:name="_Toc30668"/>
      <w:bookmarkStart w:id="287" w:name="_Toc27515"/>
      <w:bookmarkStart w:id="288" w:name="_Toc10677"/>
      <w:bookmarkStart w:id="289" w:name="_Toc43"/>
      <w:bookmarkStart w:id="290" w:name="_Toc3050"/>
      <w:bookmarkStart w:id="291" w:name="_Toc26683"/>
      <w:bookmarkStart w:id="292" w:name="_Toc21407"/>
      <w:bookmarkStart w:id="293" w:name="_Toc14166"/>
      <w:bookmarkStart w:id="294" w:name="_Toc26873"/>
      <w:bookmarkStart w:id="295" w:name="_Toc20150"/>
      <w:bookmarkStart w:id="296" w:name="_Toc17783"/>
      <w:bookmarkStart w:id="297" w:name="_Toc26258"/>
      <w:bookmarkStart w:id="298" w:name="_Toc26033"/>
      <w:bookmarkStart w:id="299" w:name="_Toc19055"/>
      <w:bookmarkStart w:id="300" w:name="_Toc16518"/>
      <w:bookmarkStart w:id="301" w:name="_Toc15548"/>
      <w:r>
        <w:rPr>
          <w:rFonts w:hint="eastAsia" w:ascii="仿宋" w:hAnsi="仿宋" w:eastAsia="仿宋" w:cs="仿宋"/>
        </w:rPr>
        <w:t>3.1生产线能力及产品说明</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6A40217">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3.1.1生产能力及节拍。</w:t>
      </w:r>
    </w:p>
    <w:p w14:paraId="335B5864">
      <w:pPr>
        <w:pStyle w:val="16"/>
        <w:snapToGrid w:val="0"/>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3.1.1.1 MCY12ZGQ系列主减，单线单班12h产能50件总成。</w:t>
      </w:r>
    </w:p>
    <w:p w14:paraId="4DC47A6E">
      <w:pPr>
        <w:pStyle w:val="16"/>
        <w:snapToGrid w:val="0"/>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3.1.1.2 MCY11/MCY12/MCY13系列中后主减混产，单线单班12h产能200件总成。</w:t>
      </w:r>
    </w:p>
    <w:p w14:paraId="37D6F3E2">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3.1.2产品状态：</w:t>
      </w:r>
    </w:p>
    <w:p w14:paraId="0E86551D">
      <w:pPr>
        <w:pStyle w:val="16"/>
        <w:snapToGrid w:val="0"/>
        <w:spacing w:line="360" w:lineRule="auto"/>
        <w:ind w:firstLine="480" w:firstLineChars="200"/>
        <w:rPr>
          <w:rFonts w:hint="eastAsia" w:ascii="仿宋" w:hAnsi="仿宋" w:eastAsia="仿宋" w:cs="仿宋"/>
          <w:lang w:val="en-US" w:eastAsia="zh-CN"/>
        </w:rPr>
      </w:pPr>
      <w:r>
        <w:rPr>
          <w:rFonts w:hint="eastAsia" w:ascii="仿宋" w:hAnsi="仿宋" w:eastAsia="仿宋" w:cs="仿宋"/>
          <w:lang w:val="en-US" w:eastAsia="zh-CN"/>
        </w:rPr>
        <w:t>主减总成产能提升装配线生产产品系列：MCY11中主减/MCY11后主减，MCY12中主减/MCY12后主减，MCY13中主减/MCY13后主减，MCY12ZGQ中主减/MCY12ZGQ后主减。</w:t>
      </w:r>
    </w:p>
    <w:p w14:paraId="7F14AFA8">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3.1.3产品简图:</w:t>
      </w:r>
    </w:p>
    <w:p w14:paraId="1921E16C">
      <w:pPr>
        <w:pStyle w:val="16"/>
        <w:snapToGrid w:val="0"/>
        <w:spacing w:line="360" w:lineRule="auto"/>
        <w:ind w:firstLine="560" w:firstLineChars="200"/>
        <w:jc w:val="center"/>
        <w:rPr>
          <w:rFonts w:hint="eastAsia" w:ascii="仿宋" w:hAnsi="仿宋" w:eastAsia="仿宋" w:cs="仿宋"/>
          <w:kern w:val="2"/>
          <w:sz w:val="28"/>
          <w:szCs w:val="28"/>
          <w:lang w:val="en-US" w:eastAsia="zh-CN" w:bidi="ar-SA"/>
        </w:rPr>
      </w:pPr>
    </w:p>
    <w:p w14:paraId="65D76B3D">
      <w:pPr>
        <w:pStyle w:val="16"/>
        <w:snapToGrid w:val="0"/>
        <w:spacing w:line="360" w:lineRule="auto"/>
        <w:ind w:firstLine="560" w:firstLineChars="200"/>
        <w:jc w:val="center"/>
        <w:rPr>
          <w:rFonts w:hint="eastAsia" w:ascii="仿宋" w:hAnsi="仿宋" w:eastAsia="仿宋" w:cs="仿宋"/>
          <w:kern w:val="2"/>
          <w:sz w:val="28"/>
          <w:szCs w:val="28"/>
          <w:lang w:val="en-US" w:eastAsia="zh-CN" w:bidi="ar-SA"/>
        </w:rPr>
      </w:pPr>
    </w:p>
    <w:p w14:paraId="4BF2EEA1">
      <w:pPr>
        <w:pStyle w:val="16"/>
        <w:snapToGrid w:val="0"/>
        <w:spacing w:line="360" w:lineRule="auto"/>
        <w:ind w:firstLine="560" w:firstLineChars="20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3569335" cy="1677035"/>
            <wp:effectExtent l="0" t="0" r="12065" b="12065"/>
            <wp:docPr id="8" name="图片 8" descr="ae3c5e5af4207fe2147820f761f7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e3c5e5af4207fe2147820f761f78fa"/>
                    <pic:cNvPicPr>
                      <a:picLocks noChangeAspect="1"/>
                    </pic:cNvPicPr>
                  </pic:nvPicPr>
                  <pic:blipFill>
                    <a:blip r:embed="rId15"/>
                    <a:srcRect t="7534" b="8864"/>
                    <a:stretch>
                      <a:fillRect/>
                    </a:stretch>
                  </pic:blipFill>
                  <pic:spPr>
                    <a:xfrm>
                      <a:off x="0" y="0"/>
                      <a:ext cx="3569335" cy="1677035"/>
                    </a:xfrm>
                    <a:prstGeom prst="rect">
                      <a:avLst/>
                    </a:prstGeom>
                  </pic:spPr>
                </pic:pic>
              </a:graphicData>
            </a:graphic>
          </wp:inline>
        </w:drawing>
      </w:r>
    </w:p>
    <w:p w14:paraId="11094089">
      <w:pPr>
        <w:pStyle w:val="16"/>
        <w:snapToGrid w:val="0"/>
        <w:spacing w:line="360" w:lineRule="auto"/>
        <w:ind w:firstLine="440" w:firstLineChars="200"/>
        <w:jc w:val="center"/>
        <w:rPr>
          <w:rFonts w:hint="default"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MCY12ZGQ中主减减壳</w:t>
      </w:r>
    </w:p>
    <w:p w14:paraId="2278B040">
      <w:pPr>
        <w:pStyle w:val="16"/>
        <w:snapToGrid w:val="0"/>
        <w:spacing w:line="360" w:lineRule="auto"/>
        <w:ind w:firstLine="560" w:firstLineChars="20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3235960" cy="1179195"/>
            <wp:effectExtent l="0" t="0" r="2540" b="1905"/>
            <wp:docPr id="12" name="图片 12" descr="b1feecaa6097f335ed0cc8316f11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1feecaa6097f335ed0cc8316f119dc"/>
                    <pic:cNvPicPr>
                      <a:picLocks noChangeAspect="1"/>
                    </pic:cNvPicPr>
                  </pic:nvPicPr>
                  <pic:blipFill>
                    <a:blip r:embed="rId16"/>
                    <a:srcRect t="6210" b="15336"/>
                    <a:stretch>
                      <a:fillRect/>
                    </a:stretch>
                  </pic:blipFill>
                  <pic:spPr>
                    <a:xfrm>
                      <a:off x="0" y="0"/>
                      <a:ext cx="3235960" cy="1179195"/>
                    </a:xfrm>
                    <a:prstGeom prst="rect">
                      <a:avLst/>
                    </a:prstGeom>
                  </pic:spPr>
                </pic:pic>
              </a:graphicData>
            </a:graphic>
          </wp:inline>
        </w:drawing>
      </w:r>
    </w:p>
    <w:p w14:paraId="529168A1">
      <w:pPr>
        <w:pStyle w:val="16"/>
        <w:snapToGrid w:val="0"/>
        <w:spacing w:line="360" w:lineRule="auto"/>
        <w:ind w:firstLine="440" w:firstLineChars="200"/>
        <w:jc w:val="center"/>
        <w:rPr>
          <w:rFonts w:hint="default"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MCY12ZGQ后主减减壳</w:t>
      </w:r>
    </w:p>
    <w:p w14:paraId="49DC4DF5">
      <w:pPr>
        <w:pStyle w:val="16"/>
        <w:snapToGrid w:val="0"/>
        <w:spacing w:line="360" w:lineRule="auto"/>
        <w:ind w:firstLine="480" w:firstLineChars="200"/>
        <w:rPr>
          <w:rFonts w:hint="default" w:ascii="仿宋" w:hAnsi="仿宋" w:eastAsia="仿宋" w:cs="仿宋"/>
          <w:lang w:val="en-US" w:eastAsia="zh-CN"/>
        </w:rPr>
      </w:pPr>
      <w:r>
        <w:rPr>
          <w:rFonts w:hint="eastAsia" w:ascii="仿宋" w:hAnsi="仿宋" w:eastAsia="仿宋" w:cs="仿宋"/>
        </w:rPr>
        <w:t>3.1.4产品重量：</w:t>
      </w:r>
      <w:r>
        <w:rPr>
          <w:rFonts w:hint="eastAsia" w:ascii="仿宋" w:hAnsi="仿宋" w:eastAsia="仿宋" w:cs="仿宋"/>
          <w:lang w:val="en-US" w:eastAsia="zh-CN"/>
        </w:rPr>
        <w:t>后主减</w:t>
      </w:r>
      <w:r>
        <w:rPr>
          <w:rFonts w:hint="eastAsia" w:ascii="仿宋" w:hAnsi="仿宋" w:eastAsia="仿宋" w:cs="仿宋"/>
        </w:rPr>
        <w:t>≤</w:t>
      </w:r>
      <w:r>
        <w:rPr>
          <w:rFonts w:hint="eastAsia" w:ascii="仿宋" w:hAnsi="仿宋" w:eastAsia="仿宋" w:cs="仿宋"/>
          <w:lang w:val="en-US" w:eastAsia="zh-CN"/>
        </w:rPr>
        <w:t>250</w:t>
      </w:r>
      <w:r>
        <w:rPr>
          <w:rFonts w:hint="eastAsia" w:ascii="仿宋" w:hAnsi="仿宋" w:eastAsia="仿宋" w:cs="仿宋"/>
        </w:rPr>
        <w:t>kg</w:t>
      </w:r>
      <w:r>
        <w:rPr>
          <w:rFonts w:hint="eastAsia" w:ascii="仿宋" w:hAnsi="仿宋" w:eastAsia="仿宋" w:cs="仿宋"/>
          <w:lang w:eastAsia="zh-CN"/>
        </w:rPr>
        <w:t>，</w:t>
      </w:r>
      <w:r>
        <w:rPr>
          <w:rFonts w:hint="eastAsia" w:ascii="仿宋" w:hAnsi="仿宋" w:eastAsia="仿宋" w:cs="仿宋"/>
          <w:lang w:val="en-US" w:eastAsia="zh-CN"/>
        </w:rPr>
        <w:t>中主减</w:t>
      </w:r>
      <w:r>
        <w:rPr>
          <w:rFonts w:hint="eastAsia" w:ascii="仿宋" w:hAnsi="仿宋" w:eastAsia="仿宋" w:cs="仿宋"/>
        </w:rPr>
        <w:t>≤</w:t>
      </w:r>
      <w:r>
        <w:rPr>
          <w:rFonts w:hint="eastAsia" w:ascii="仿宋" w:hAnsi="仿宋" w:eastAsia="仿宋" w:cs="仿宋"/>
          <w:lang w:val="en-US" w:eastAsia="zh-CN"/>
        </w:rPr>
        <w:t>400kg</w:t>
      </w:r>
    </w:p>
    <w:p w14:paraId="6C442898">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3.1.5布置布局：</w:t>
      </w:r>
    </w:p>
    <w:p w14:paraId="764E7E23">
      <w:pPr>
        <w:pStyle w:val="16"/>
        <w:snapToGrid w:val="0"/>
        <w:spacing w:line="360" w:lineRule="auto"/>
        <w:ind w:firstLine="480" w:firstLineChars="200"/>
        <w:rPr>
          <w:rFonts w:hint="default" w:ascii="仿宋" w:hAnsi="仿宋" w:eastAsia="仿宋" w:cs="仿宋"/>
          <w:lang w:val="en-US" w:eastAsia="zh-CN"/>
        </w:rPr>
      </w:pPr>
      <w:r>
        <w:rPr>
          <w:rFonts w:hint="eastAsia" w:ascii="仿宋" w:hAnsi="仿宋" w:eastAsia="仿宋" w:cs="仿宋"/>
          <w:lang w:val="en-US" w:eastAsia="zh-CN"/>
        </w:rPr>
        <w:t>安装于主减速器线三坐标西侧，建设范围18m*32m。</w:t>
      </w:r>
    </w:p>
    <w:p w14:paraId="27346894">
      <w:pPr>
        <w:pStyle w:val="16"/>
        <w:snapToGrid w:val="0"/>
        <w:spacing w:line="360" w:lineRule="auto"/>
        <w:ind w:left="0" w:leftChars="0" w:firstLine="0" w:firstLineChars="0"/>
        <w:jc w:val="center"/>
        <w:rPr>
          <w:rFonts w:hint="eastAsia" w:eastAsia="仿宋_GB2312"/>
          <w:highlight w:val="none"/>
          <w:lang w:eastAsia="zh-CN"/>
        </w:rPr>
      </w:pPr>
      <w:r>
        <w:drawing>
          <wp:inline distT="0" distB="0" distL="114300" distR="114300">
            <wp:extent cx="2105660" cy="3046095"/>
            <wp:effectExtent l="9525" t="9525" r="18415"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105660" cy="3046095"/>
                    </a:xfrm>
                    <a:prstGeom prst="rect">
                      <a:avLst/>
                    </a:prstGeom>
                    <a:noFill/>
                    <a:ln>
                      <a:solidFill>
                        <a:schemeClr val="tx1"/>
                      </a:solidFill>
                    </a:ln>
                  </pic:spPr>
                </pic:pic>
              </a:graphicData>
            </a:graphic>
          </wp:inline>
        </w:drawing>
      </w:r>
    </w:p>
    <w:p w14:paraId="68518231">
      <w:pPr>
        <w:pStyle w:val="16"/>
        <w:snapToGrid w:val="0"/>
        <w:spacing w:line="360" w:lineRule="auto"/>
        <w:ind w:left="0" w:leftChars="0" w:firstLine="0" w:firstLineChars="0"/>
        <w:jc w:val="center"/>
        <w:rPr>
          <w:rFonts w:hint="default" w:eastAsia="仿宋_GB2312"/>
          <w:sz w:val="18"/>
          <w:szCs w:val="18"/>
          <w:highlight w:val="none"/>
          <w:lang w:val="en-US" w:eastAsia="zh-CN"/>
        </w:rPr>
      </w:pPr>
      <w:r>
        <w:rPr>
          <w:rFonts w:hint="eastAsia" w:ascii="宋体" w:hAnsi="宋体" w:eastAsia="宋体" w:cs="宋体"/>
          <w:sz w:val="20"/>
          <w:szCs w:val="20"/>
          <w:highlight w:val="none"/>
          <w:lang w:val="en-US" w:eastAsia="zh-CN"/>
        </w:rPr>
        <w:t>主减</w:t>
      </w:r>
      <w:r>
        <w:rPr>
          <w:rFonts w:hint="eastAsia" w:ascii="宋体" w:hAnsi="宋体" w:cs="宋体"/>
          <w:sz w:val="20"/>
          <w:szCs w:val="20"/>
          <w:highlight w:val="none"/>
          <w:lang w:val="en-US" w:eastAsia="zh-CN"/>
        </w:rPr>
        <w:t>总成产能提升</w:t>
      </w:r>
      <w:r>
        <w:rPr>
          <w:rFonts w:hint="eastAsia" w:ascii="宋体" w:hAnsi="宋体" w:eastAsia="宋体" w:cs="宋体"/>
          <w:sz w:val="20"/>
          <w:szCs w:val="20"/>
          <w:highlight w:val="none"/>
          <w:lang w:val="en-US" w:eastAsia="zh-CN"/>
        </w:rPr>
        <w:t>装配线布局</w:t>
      </w:r>
    </w:p>
    <w:p w14:paraId="52B6CB7A">
      <w:pPr>
        <w:spacing w:line="360" w:lineRule="auto"/>
        <w:ind w:left="0" w:leftChars="0" w:firstLine="420" w:firstLineChars="200"/>
        <w:rPr>
          <w:rFonts w:hint="eastAsia" w:ascii="仿宋" w:hAnsi="仿宋" w:eastAsia="仿宋" w:cs="仿宋"/>
          <w:sz w:val="24"/>
          <w:szCs w:val="24"/>
          <w:lang w:val="en-US" w:eastAsia="zh-CN"/>
        </w:rPr>
      </w:pPr>
      <w:r>
        <w:rPr>
          <w:rFonts w:hint="eastAsia" w:ascii="仿宋" w:hAnsi="仿宋" w:eastAsia="仿宋" w:cs="仿宋"/>
        </w:rPr>
        <w:t>3.1.6工</w:t>
      </w:r>
      <w:r>
        <w:rPr>
          <w:rFonts w:hint="eastAsia" w:ascii="仿宋" w:hAnsi="仿宋" w:eastAsia="仿宋" w:cs="仿宋"/>
          <w:sz w:val="24"/>
          <w:szCs w:val="24"/>
          <w:lang w:val="en-US" w:eastAsia="zh-CN"/>
        </w:rPr>
        <w:t xml:space="preserve">艺流程（参考）： </w:t>
      </w:r>
    </w:p>
    <w:p w14:paraId="687FCE54">
      <w:pPr>
        <w:spacing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3.1.6.1 差环线：被动锥齿轮上线加热→差速器与被动锥齿轮合装→连接螺栓拧紧→差速器模拟半轴检测→压装差速器两侧轴承。</w:t>
      </w:r>
    </w:p>
    <w:p w14:paraId="73CD23CF">
      <w:pPr>
        <w:spacing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3.1.6.2 主环线：减壳瓦盖及轴承座拆卸上线</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压装轴承外环</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主锥上线</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压装轴承内环</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主锥及减壳合装</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测量保压状态下的转动力矩</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安装法兰并拧紧锁紧螺母。</w:t>
      </w:r>
    </w:p>
    <w:p w14:paraId="2E1E700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3.1.6.3 合环线：减壳带主锥上线</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轴承座带导向轴承外环安装并预紧螺栓</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吊装差速器总成并安装瓦盖调整螺母</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调整啮合区及齿侧隙拧紧瓦盖螺栓</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；安装轮间差速锁</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拆卸工艺法兰盘并压装轴密封圈</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压装法兰盘并拧紧锁紧螺母</w:t>
      </w:r>
      <w:r>
        <w:rPr>
          <w:rFonts w:hint="eastAsia" w:ascii="仿宋" w:hAnsi="仿宋" w:eastAsia="仿宋" w:cs="仿宋"/>
          <w:color w:val="000000"/>
          <w:spacing w:val="5"/>
          <w:kern w:val="0"/>
          <w:szCs w:val="28"/>
          <w:lang w:bidi="ar"/>
        </w:rPr>
        <w:t>→</w:t>
      </w:r>
      <w:r>
        <w:rPr>
          <w:rFonts w:hint="eastAsia" w:ascii="仿宋" w:hAnsi="仿宋" w:eastAsia="仿宋" w:cs="仿宋"/>
          <w:sz w:val="24"/>
          <w:szCs w:val="24"/>
          <w:lang w:val="en-US" w:eastAsia="zh-CN"/>
        </w:rPr>
        <w:t>铆接铭牌及总成检测→总成下线。</w:t>
      </w:r>
    </w:p>
    <w:p w14:paraId="73DEA9B6">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highlight w:val="none"/>
        </w:rPr>
      </w:pPr>
      <w:r>
        <w:rPr>
          <w:rFonts w:hint="eastAsia" w:ascii="仿宋" w:hAnsi="仿宋" w:eastAsia="仿宋"/>
          <w:highlight w:val="none"/>
        </w:rPr>
        <w:t>3.</w:t>
      </w:r>
      <w:r>
        <w:rPr>
          <w:rFonts w:hint="eastAsia" w:ascii="仿宋" w:hAnsi="仿宋" w:eastAsia="仿宋"/>
          <w:highlight w:val="none"/>
          <w:lang w:val="en-US" w:eastAsia="zh-CN"/>
        </w:rPr>
        <w:t xml:space="preserve">2 </w:t>
      </w:r>
      <w:r>
        <w:rPr>
          <w:rFonts w:hint="eastAsia" w:ascii="仿宋" w:hAnsi="仿宋" w:eastAsia="仿宋"/>
          <w:highlight w:val="none"/>
        </w:rPr>
        <w:t>设计要求</w:t>
      </w:r>
    </w:p>
    <w:p w14:paraId="3A6857B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bookmarkStart w:id="302" w:name="_Toc2103"/>
      <w:bookmarkStart w:id="303" w:name="_Toc20138"/>
      <w:bookmarkStart w:id="304" w:name="_Toc14275"/>
      <w:bookmarkStart w:id="305" w:name="_Toc6592"/>
      <w:bookmarkStart w:id="306" w:name="_Toc6956"/>
      <w:bookmarkStart w:id="307" w:name="_Toc4440"/>
      <w:bookmarkStart w:id="308" w:name="_Toc9455"/>
      <w:bookmarkStart w:id="309" w:name="_Toc30729"/>
      <w:bookmarkStart w:id="310" w:name="_Toc29045"/>
      <w:bookmarkStart w:id="311" w:name="_Toc21034"/>
      <w:bookmarkStart w:id="312" w:name="_Toc30017"/>
      <w:bookmarkStart w:id="313" w:name="_Toc30232"/>
      <w:bookmarkStart w:id="314" w:name="_Toc19625"/>
      <w:bookmarkStart w:id="315" w:name="_Toc6887"/>
      <w:bookmarkStart w:id="316" w:name="_Toc2740"/>
      <w:bookmarkStart w:id="317" w:name="_Toc12930"/>
      <w:bookmarkStart w:id="318" w:name="_Toc32014"/>
      <w:bookmarkStart w:id="319" w:name="_Toc21042"/>
      <w:bookmarkStart w:id="320" w:name="_Toc15114"/>
      <w:r>
        <w:rPr>
          <w:rFonts w:hint="eastAsia" w:ascii="仿宋" w:hAnsi="仿宋" w:eastAsia="仿宋" w:cs="仿宋"/>
          <w:sz w:val="24"/>
          <w:szCs w:val="24"/>
          <w:highlight w:val="none"/>
          <w:lang w:val="en-US" w:eastAsia="zh-CN"/>
        </w:rPr>
        <w:t>满足MCY11/MCY12/MCY13/MCY12ZGQ六个系列中后主减总成产品混线生产：</w:t>
      </w:r>
    </w:p>
    <w:p w14:paraId="318A16E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3.2.1 新建主环线辊道线体一组24m（11*2.5矩形），差环线辊道线体一组22m（11*2.5矩形）；</w:t>
      </w:r>
    </w:p>
    <w:p w14:paraId="29CC42B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辊道线体为铝型材框架、载荷能力满足1.5T/㎡以上，倍速链驱动托盘及工件移动，辊道线体四角设置托盘升降转向装置，具备自动放行、手动放行功能。线体外围围挡采用不锈钢板防护，各工位前铺设连续脚踏板。主环线分布减壳吊装上线、轴承外环压装、轴承内环压装、锥齿轮合装、保压检测转动力矩并拆卸更换垫片、圆柱齿轮或油封法兰安装，锁紧螺母拧紧，总成吊装下线8个工位。差环线分布被动锥齿轮上线、被动锥齿轮内孔加热、差速器总成上线合装、连接螺栓预紧、四轴拧紧机拧紧、差速器性能检测、差速器轴承压装、总成吊装下线8个工位。</w:t>
      </w:r>
    </w:p>
    <w:p w14:paraId="4FDE18D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3.2.2 配置主环线体随行托盘15件，托盘材料选用45钢（厚度30mm，硬度要求25-38HRC，表面镀镍），定位治具支架选用刚性强的金属材料，接触零部件防磕碰的定位块选用耐高温耐磨尼龙材料。兼容MCY11/MCY12/MCY13/MCY12ZGQ系列中后主减产品，满足中后主减壳、中后轴承座、主动锥齿轮及独立瓦盖有效定位导向，运载过程中壳体盘面朝下且不与线体及挡停机构干涉，定位具备托升锁止导向。</w:t>
      </w:r>
    </w:p>
    <w:p w14:paraId="6421CBE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3.2.3 配置差环线体随行托盘15件，托盘材料选用45钢（厚度30mm，硬度要求25-38HRC，表面镀镍），定位治具支架选用刚性强的金属材料，接触零部件防磕碰的定位块选用耐高温耐磨尼龙材料。容MCY11/MCY12/MCY13/MCY12ZGQ系列中后主减产品，满足各系列差速器总成与被动锥齿轮有效定位导向，运载过程中差速器总成及轴承不与线体及挡停机构干涉，托盘挡停位置预留加热机、拧紧机、压装等工序工位位置，定位具备托升锁止导向。</w:t>
      </w:r>
    </w:p>
    <w:p w14:paraId="376D8C1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3.2.4 新增五台16T级液压压力机用于轴承外环压装（工艺压力范围30KN-80KN）、轴承内环压装（工艺压力范围70KN-100KN）、轴承预紧力转矩压紧调整（工艺压力范围80KN-120KN）、油封法兰压装（工艺压力范围30KN-80KN）、差速器上下轴承压装（工艺压力范围30KN-80KN）。压力机工位托盘导向定位，具备托升锁止功能，上下压缸具备压力位移曲线监控，具备双手压装功能、具有安全光栅和急停防护，满足压紧后长时间保压能力。在轴承内环压装和轴承预紧力压紧调整工位之间增加一套电动升降机构及起吊主锥装置，满足电动升降托盘实带动主动锥齿轮自下而上穿过壳体进行合装的功能。</w:t>
      </w:r>
    </w:p>
    <w:p w14:paraId="58BF764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3.2.5 新增一台齿轮加热机，在差环线内在线配置一套电磁感应齿轮内孔加热器，单加热头可拆卸换型，满足MCY11/MCY12/MCY13/MCY12ZGQ等系列产品的被动锥齿轮内孔加热。工位自动升降加热头，均匀加热齿轮内孔至40℃-60℃，加热时间不超过40秒，最大加热功率30KW。加热机外加装安全防护隔离罩和除油烟尘吸附机构。具备温度控制及时间控制模式，具备安全光栅与急停防护和测温功能。</w:t>
      </w:r>
    </w:p>
    <w:p w14:paraId="28236F3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3.2.6 新增两台气液转换压装机构，安装于工位线边放置，占地不超过0.6㎡，实现减壳盖与输入轴轴承外环限位合装，实现减壳与导向轴承外环限位合装，具备压力实时监控功能。</w:t>
      </w:r>
    </w:p>
    <w:p w14:paraId="69E146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3.2.7 新增一条36m环形地拖链合环线（中心环线9m*9m），采用板式链牵引链条的传动机构，链条支撑由焊接钢架构成，支撑可靠，防止链条自重下垂后与链轮啮合时卡边。轨道设计防护覆盖全范围地面，避免杂物落入轨道。线体设置过载保护装置，其上拖动16台合环线小车循环运转，合环小车托臂夹具可通过更换、调整或增加附件满足MCY11/MCY12/MCY13/MCY12ZGQ等系列产品的减壳夹紧固定旋转，兼顾存放多品种主减壳安装装配，切换方便调整，合环小车内部具有蜗轮蜗杆自锁功能、具有减速机构，具备手摇及电动旋转模式，每台小车间距2.5米左右（可根据实际情况调整），合环线四角处分别设置四个整线控制盒，同时设置蜂鸣器、延时启动、自动循环行走模式等风险防控措施。</w:t>
      </w:r>
    </w:p>
    <w:p w14:paraId="7168CB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3.2.8 新增一台主减总成试验机，具备功能：主减总成转动驱动功能（正反转），转矩检测功能，轮间差速锁与轴间差速锁同步通气调压（0-1.5MPa）保压功能，气密泄露量检测功能，主减总成速比检测功能，扫码录入绑定检测数据功能，数据存储与上传功能等。</w:t>
      </w:r>
    </w:p>
    <w:p w14:paraId="16151EB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3.2.9 主环上料处增加一台翻转定置架，用于壳体从工位器具吊装至翻转定置架上进行瓦盖拆卸、接油板安装操作，然后进行自动翻转以减壳大盘面朝下的姿态吊装至主环线体托盘上定位放置。</w:t>
      </w:r>
    </w:p>
    <w:p w14:paraId="610F42A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仿宋" w:hAnsi="仿宋" w:eastAsia="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3</w:t>
      </w:r>
      <w:r>
        <w:rPr>
          <w:rFonts w:hint="eastAsia" w:ascii="仿宋" w:hAnsi="仿宋" w:eastAsia="仿宋" w:cs="仿宋"/>
          <w:highlight w:val="none"/>
        </w:rPr>
        <w:t>技术要求及参数</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4E4FF9D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lang w:val="en-US" w:eastAsia="zh-CN"/>
        </w:rPr>
        <w:t>3.3.1 压力机设可控压力：3000-16000KG；设备行程≥600mm；压装行程可调；压装机构为一体式C型</w:t>
      </w:r>
      <w:r>
        <w:rPr>
          <w:rFonts w:hint="eastAsia" w:ascii="仿宋" w:hAnsi="仿宋" w:eastAsia="仿宋" w:cs="仿宋"/>
          <w:sz w:val="24"/>
          <w:szCs w:val="24"/>
          <w:highlight w:val="none"/>
          <w:lang w:val="en-US" w:eastAsia="zh-CN"/>
        </w:rPr>
        <w:t xml:space="preserve">结构，安装稳定可靠，双手压装，光栅保护，喉深≥350mm，压头到工作台距离≥500mm，具备保压能力。液压缸选用国内顶尖品牌如康思达、天锻、恒立等。  </w:t>
      </w:r>
    </w:p>
    <w:p w14:paraId="580E35A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3.3.2 主差环选用倍速链线体，线体周边及内部围挡均采用2mm厚度不锈钢板铺设，外观明亮，线体内部机构不外漏。主差环各配备15套定位托盘（主环+差环）及随行治具，</w:t>
      </w:r>
      <w:r>
        <w:rPr>
          <w:rFonts w:hint="eastAsia" w:ascii="仿宋" w:hAnsi="仿宋" w:eastAsia="仿宋" w:cs="仿宋"/>
          <w:sz w:val="24"/>
          <w:szCs w:val="24"/>
          <w:lang w:val="en-US" w:eastAsia="zh-CN"/>
        </w:rPr>
        <w:t>共计30套。关联线体传输时的定位、挡停，托盘存放兼容满足标书规定的全部适应产品。</w:t>
      </w:r>
    </w:p>
    <w:p w14:paraId="2FB814D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3.3.3 在主环部分需满足产品在托盘上的定位、挡停位置与压力机的相关定位、拧紧机相关定位、工装及定位元件的兼容性及可快速切换性。</w:t>
      </w:r>
    </w:p>
    <w:p w14:paraId="375B422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3.3.4 定位托盘制作要求：简单易拆卸，方便更换；兼容性强，多种产品采用台阶式兼容，具备强互换性（最多制作两-三种换型，每种兼容多类型产品）；定位可靠稳定，工件不能随托盘挡停而移动，托盘上的定位件具有减重孔、观察孔，可见压装位置。</w:t>
      </w:r>
    </w:p>
    <w:p w14:paraId="6337E65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3.3.5 传输链线体高度（地面至随行托盘上表面）建议核定为750mm，配合线体内压力机高度进行设计制作。</w:t>
      </w:r>
    </w:p>
    <w:p w14:paraId="6321DCA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3.3.6 实现产品换型功能，保证在一个生产节拍内完成快速转换工装及定位夹具。</w:t>
      </w:r>
    </w:p>
    <w:p w14:paraId="5FDB0B9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3.3.7 强化安全防护设计，实现安全防护，符合国家安全生产法等相关规定标准。</w:t>
      </w:r>
    </w:p>
    <w:p w14:paraId="1385005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3.3.8 相关的设计应符合安全、环保、消防、能源、设备技术及劳动法等相关的国家最新标准要求。</w:t>
      </w:r>
    </w:p>
    <w:p w14:paraId="5D0248D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3.3.9 线体配套实现全部涉及产品装配所需的工具、工装、定位元件等由厂家提供且必须提供三套（一用两备）。</w:t>
      </w:r>
    </w:p>
    <w:p w14:paraId="48F98C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3.3.10 主要气动元件采用欧姆龙或同等级别国际知名品牌，光电开关、行程开关等电子元件均采用西门子或同等级别国际知名品牌。本项目设备所涉及的继电器均选用安全型继电器，满足功能安全标准（如EN 61508）。</w:t>
      </w:r>
    </w:p>
    <w:p w14:paraId="4EC83C9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3.3.11 设备电源前端加有漏电保护和报警功能使系统的安全运行得以保证。</w:t>
      </w:r>
    </w:p>
    <w:p w14:paraId="63A6186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3.3.12 所有设备均配备安全防护系统，必须保证人工操作的安全。 </w:t>
      </w:r>
    </w:p>
    <w:p w14:paraId="14844B5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3.3.13 所有电气安装和施工均应符合我国现行行业标准（规范）。</w:t>
      </w:r>
    </w:p>
    <w:p w14:paraId="554EF8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投标货物设备要求</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1275BB8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3.4.1 设备规范</w:t>
      </w:r>
    </w:p>
    <w:p w14:paraId="1EC2109E">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.4.1.1</w:t>
      </w:r>
      <w:r>
        <w:rPr>
          <w:rFonts w:hint="eastAsia" w:ascii="仿宋" w:hAnsi="仿宋" w:eastAsia="仿宋" w:cs="仿宋"/>
          <w:lang w:val="en-US" w:eastAsia="zh-CN"/>
        </w:rPr>
        <w:t xml:space="preserve"> </w:t>
      </w:r>
      <w:r>
        <w:rPr>
          <w:rFonts w:hint="eastAsia" w:ascii="仿宋" w:hAnsi="仿宋" w:eastAsia="仿宋" w:cs="仿宋"/>
        </w:rPr>
        <w:t>设备设计合理，制造精良，性能稳定可靠，且使用维修方便，造型美观，设备的结构应保证有足够的静态、动态、热稳态刚度。</w:t>
      </w:r>
    </w:p>
    <w:p w14:paraId="6E07D890">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.4.1.2</w:t>
      </w:r>
      <w:r>
        <w:rPr>
          <w:rFonts w:hint="eastAsia" w:ascii="仿宋" w:hAnsi="仿宋" w:eastAsia="仿宋" w:cs="仿宋"/>
          <w:lang w:val="en-US" w:eastAsia="zh-CN"/>
        </w:rPr>
        <w:t xml:space="preserve"> </w:t>
      </w:r>
      <w:r>
        <w:rPr>
          <w:rFonts w:hint="eastAsia" w:ascii="仿宋" w:hAnsi="仿宋" w:eastAsia="仿宋" w:cs="仿宋"/>
        </w:rPr>
        <w:t>设备防护门安全性好，方便操作维修，并配置门联锁，门联锁与PLC数据程序有互锁要求，在安全门未关闭时，设备无法运行。</w:t>
      </w:r>
    </w:p>
    <w:p w14:paraId="75B68166">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.4.1.3</w:t>
      </w:r>
      <w:r>
        <w:rPr>
          <w:rFonts w:hint="eastAsia" w:ascii="仿宋" w:hAnsi="仿宋" w:eastAsia="仿宋" w:cs="仿宋"/>
          <w:lang w:val="en-US" w:eastAsia="zh-CN"/>
        </w:rPr>
        <w:t xml:space="preserve"> </w:t>
      </w:r>
      <w:r>
        <w:rPr>
          <w:rFonts w:hint="eastAsia" w:ascii="仿宋" w:hAnsi="仿宋" w:eastAsia="仿宋" w:cs="仿宋"/>
        </w:rPr>
        <w:t>设备所用全部轴承、丝杠、导轨选用NSK\SKF\THK及招标方认可的同等级品牌国际名牌产品。</w:t>
      </w:r>
    </w:p>
    <w:p w14:paraId="58296D7E">
      <w:pPr>
        <w:pStyle w:val="16"/>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rPr>
        <w:t>3</w:t>
      </w:r>
      <w:r>
        <w:rPr>
          <w:rFonts w:ascii="仿宋" w:hAnsi="仿宋" w:eastAsia="仿宋" w:cs="仿宋"/>
        </w:rPr>
        <w:t>.4.2</w:t>
      </w:r>
      <w:r>
        <w:rPr>
          <w:rFonts w:hint="eastAsia" w:ascii="仿宋" w:hAnsi="仿宋" w:eastAsia="仿宋" w:cs="仿宋"/>
          <w:lang w:val="en-US" w:eastAsia="zh-CN"/>
        </w:rPr>
        <w:t xml:space="preserve"> </w:t>
      </w:r>
      <w:r>
        <w:rPr>
          <w:rFonts w:hint="eastAsia" w:ascii="仿宋" w:hAnsi="仿宋" w:eastAsia="仿宋" w:cs="仿宋"/>
        </w:rPr>
        <w:t>电气规范</w:t>
      </w:r>
    </w:p>
    <w:p w14:paraId="1C607541">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1</w:t>
      </w:r>
      <w:r>
        <w:rPr>
          <w:rFonts w:hint="eastAsia" w:ascii="仿宋" w:hAnsi="仿宋" w:eastAsia="仿宋" w:cs="仿宋"/>
          <w:lang w:val="en-US" w:eastAsia="zh-CN"/>
        </w:rPr>
        <w:t xml:space="preserve"> </w:t>
      </w:r>
      <w:r>
        <w:rPr>
          <w:rFonts w:hint="eastAsia" w:ascii="仿宋" w:hAnsi="仿宋" w:eastAsia="仿宋" w:cs="仿宋"/>
        </w:rPr>
        <w:t>电器柜标准配置采用全封闭式</w:t>
      </w:r>
      <w:r>
        <w:rPr>
          <w:rFonts w:hint="eastAsia" w:ascii="仿宋" w:hAnsi="仿宋" w:eastAsia="仿宋" w:cs="仿宋"/>
          <w:lang w:val="en-US" w:eastAsia="zh-CN"/>
        </w:rPr>
        <w:t>独立配置</w:t>
      </w:r>
      <w:r>
        <w:rPr>
          <w:rFonts w:hint="eastAsia" w:ascii="仿宋" w:hAnsi="仿宋" w:eastAsia="仿宋" w:cs="仿宋"/>
        </w:rPr>
        <w:t>，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14:paraId="23B7460F">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2</w:t>
      </w:r>
      <w:r>
        <w:rPr>
          <w:rFonts w:hint="eastAsia" w:ascii="仿宋" w:hAnsi="仿宋" w:eastAsia="仿宋" w:cs="仿宋"/>
          <w:lang w:val="en-US" w:eastAsia="zh-CN"/>
        </w:rPr>
        <w:t xml:space="preserve"> </w:t>
      </w:r>
      <w:r>
        <w:rPr>
          <w:rFonts w:hint="eastAsia" w:ascii="仿宋" w:hAnsi="仿宋" w:eastAsia="仿宋" w:cs="仿宋"/>
        </w:rPr>
        <w:t>设备及电气系统必须要做好屏蔽和良好接地；符合相关安全规定、操控部分使用安全电压。</w:t>
      </w:r>
    </w:p>
    <w:p w14:paraId="327ECBD9">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3</w:t>
      </w:r>
      <w:r>
        <w:rPr>
          <w:rFonts w:hint="eastAsia" w:ascii="仿宋" w:hAnsi="仿宋" w:eastAsia="仿宋" w:cs="仿宋"/>
          <w:lang w:val="en-US" w:eastAsia="zh-CN"/>
        </w:rPr>
        <w:t xml:space="preserve"> </w:t>
      </w:r>
      <w:r>
        <w:rPr>
          <w:rFonts w:hint="eastAsia" w:ascii="仿宋" w:hAnsi="仿宋" w:eastAsia="仿宋" w:cs="仿宋"/>
        </w:rPr>
        <w:t>电器元件全部采用取得国际电工认证标准的正规厂商产品，主要电器元件采用施耐德、西门子、巴鲁夫、TRUCK、IFM等世界著名品牌；</w:t>
      </w:r>
    </w:p>
    <w:p w14:paraId="2195267A">
      <w:pPr>
        <w:pStyle w:val="16"/>
        <w:snapToGrid w:val="0"/>
        <w:spacing w:line="360" w:lineRule="auto"/>
        <w:ind w:firstLine="480" w:firstLineChars="200"/>
        <w:rPr>
          <w:rFonts w:ascii="仿宋" w:hAnsi="仿宋" w:eastAsia="仿宋" w:cs="仿宋"/>
        </w:rPr>
      </w:pPr>
      <w:r>
        <w:rPr>
          <w:rFonts w:hint="eastAsia" w:ascii="仿宋" w:hAnsi="仿宋" w:eastAsia="仿宋" w:cs="仿宋"/>
        </w:rPr>
        <w:t>3.4.2.4</w:t>
      </w:r>
      <w:r>
        <w:rPr>
          <w:rFonts w:hint="eastAsia" w:ascii="仿宋" w:hAnsi="仿宋" w:eastAsia="仿宋" w:cs="仿宋"/>
          <w:lang w:val="en-US" w:eastAsia="zh-CN"/>
        </w:rPr>
        <w:t xml:space="preserve"> </w:t>
      </w:r>
      <w:r>
        <w:rPr>
          <w:rFonts w:hint="eastAsia" w:ascii="仿宋" w:hAnsi="仿宋" w:eastAsia="仿宋" w:cs="仿宋"/>
        </w:rPr>
        <w:t>设备和PLC控制系统采用西门子samrt系列、S1200系列、S1500系列、三菱等世界著名品牌，输入输出点各留20%备用点；主要低压元件采用著名公司产品；气动元件、光电开关、行程开关等均采用国内外知名产品；伺服电机、变频器选用西门子等世界著名品牌。</w:t>
      </w:r>
    </w:p>
    <w:p w14:paraId="5B247D54">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5</w:t>
      </w:r>
      <w:r>
        <w:rPr>
          <w:rFonts w:hint="eastAsia" w:ascii="仿宋" w:hAnsi="仿宋" w:eastAsia="仿宋" w:cs="仿宋"/>
          <w:lang w:val="en-US" w:eastAsia="zh-CN"/>
        </w:rPr>
        <w:t xml:space="preserve"> </w:t>
      </w:r>
      <w:r>
        <w:rPr>
          <w:rFonts w:hint="eastAsia" w:ascii="仿宋" w:hAnsi="仿宋" w:eastAsia="仿宋" w:cs="仿宋"/>
        </w:rPr>
        <w:t>电气PLC控制器的电源前端加有隔离变压器和滤波器，防止电网的波动和噪声污染使PLC发生故障。同时通过程序实现完善的互锁保护和报警功能使系统的安全运行得以保证。</w:t>
      </w:r>
    </w:p>
    <w:p w14:paraId="475F521E">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6</w:t>
      </w:r>
      <w:r>
        <w:rPr>
          <w:rFonts w:hint="eastAsia" w:ascii="仿宋" w:hAnsi="仿宋" w:eastAsia="仿宋" w:cs="仿宋"/>
          <w:lang w:val="en-US" w:eastAsia="zh-CN"/>
        </w:rPr>
        <w:t xml:space="preserve"> </w:t>
      </w:r>
      <w:r>
        <w:rPr>
          <w:rFonts w:hint="eastAsia" w:ascii="仿宋" w:hAnsi="仿宋" w:eastAsia="仿宋" w:cs="仿宋"/>
        </w:rPr>
        <w:t>整套设备配备电力计量装置。</w:t>
      </w:r>
    </w:p>
    <w:p w14:paraId="725C3D14">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7 </w:t>
      </w:r>
      <w:r>
        <w:rPr>
          <w:rFonts w:hint="eastAsia" w:ascii="仿宋" w:hAnsi="仿宋" w:eastAsia="仿宋" w:cs="仿宋"/>
        </w:rPr>
        <w:t>采用LED亮度高、不眩目的照明设施。</w:t>
      </w:r>
    </w:p>
    <w:p w14:paraId="40DA1F24">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.4.2</w:t>
      </w:r>
      <w:r>
        <w:rPr>
          <w:rFonts w:hint="eastAsia" w:ascii="仿宋" w:hAnsi="仿宋" w:eastAsia="仿宋" w:cs="仿宋"/>
        </w:rPr>
        <w:t>.</w:t>
      </w:r>
      <w:r>
        <w:rPr>
          <w:rFonts w:ascii="仿宋" w:hAnsi="仿宋" w:eastAsia="仿宋" w:cs="仿宋"/>
        </w:rPr>
        <w:t xml:space="preserve">8 </w:t>
      </w:r>
      <w:r>
        <w:rPr>
          <w:rFonts w:hint="eastAsia" w:ascii="仿宋" w:hAnsi="仿宋" w:eastAsia="仿宋" w:cs="仿宋"/>
        </w:rPr>
        <w:t>对有电子记忆功能的设备推荐合适的电池或不间断电源设备，以使电子记忆在无电情况下不被消除。</w:t>
      </w:r>
    </w:p>
    <w:p w14:paraId="224163F6">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lang w:val="en-US" w:eastAsia="zh-CN"/>
        </w:rPr>
        <w:t xml:space="preserve"> </w:t>
      </w:r>
      <w:r>
        <w:rPr>
          <w:rFonts w:hint="eastAsia" w:ascii="仿宋" w:hAnsi="仿宋" w:eastAsia="仿宋" w:cs="仿宋"/>
        </w:rPr>
        <w:t>设备液压系统主要配置：</w:t>
      </w:r>
    </w:p>
    <w:p w14:paraId="3FD16300">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.1</w:t>
      </w:r>
      <w:r>
        <w:rPr>
          <w:rFonts w:hint="eastAsia" w:ascii="仿宋" w:hAnsi="仿宋" w:eastAsia="仿宋" w:cs="仿宋"/>
          <w:lang w:val="en-US" w:eastAsia="zh-CN"/>
        </w:rPr>
        <w:t xml:space="preserve"> </w:t>
      </w:r>
      <w:r>
        <w:rPr>
          <w:rFonts w:hint="eastAsia" w:ascii="仿宋" w:hAnsi="仿宋" w:eastAsia="仿宋" w:cs="仿宋"/>
        </w:rPr>
        <w:t>液压系统加装功率足够油冷机，具备油位、油温显示；油冷却机的吸油口应加装过滤器，过滤器的滤芯应便于清洗和更换；油冷机采用国际知名品牌；</w:t>
      </w:r>
    </w:p>
    <w:p w14:paraId="165E9201">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2</w:t>
      </w:r>
      <w:r>
        <w:rPr>
          <w:rFonts w:hint="eastAsia" w:ascii="仿宋" w:hAnsi="仿宋" w:eastAsia="仿宋" w:cs="仿宋"/>
          <w:lang w:val="en-US" w:eastAsia="zh-CN"/>
        </w:rPr>
        <w:t xml:space="preserve"> </w:t>
      </w:r>
      <w:r>
        <w:rPr>
          <w:rFonts w:hint="eastAsia" w:ascii="仿宋" w:hAnsi="仿宋" w:eastAsia="仿宋" w:cs="仿宋"/>
        </w:rPr>
        <w:t>液压阀采用叠加式，采用国际知名品牌；</w:t>
      </w:r>
    </w:p>
    <w:p w14:paraId="3331B3E5">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.4.3</w:t>
      </w:r>
      <w:r>
        <w:rPr>
          <w:rFonts w:hint="eastAsia" w:ascii="仿宋" w:hAnsi="仿宋" w:eastAsia="仿宋" w:cs="仿宋"/>
        </w:rPr>
        <w:t>.</w:t>
      </w:r>
      <w:r>
        <w:rPr>
          <w:rFonts w:ascii="仿宋" w:hAnsi="仿宋" w:eastAsia="仿宋" w:cs="仿宋"/>
        </w:rPr>
        <w:t>3</w:t>
      </w:r>
      <w:r>
        <w:rPr>
          <w:rFonts w:hint="eastAsia" w:ascii="仿宋" w:hAnsi="仿宋" w:eastAsia="仿宋" w:cs="仿宋"/>
          <w:lang w:val="en-US" w:eastAsia="zh-CN"/>
        </w:rPr>
        <w:t xml:space="preserve"> </w:t>
      </w:r>
      <w:r>
        <w:rPr>
          <w:rFonts w:hint="eastAsia" w:ascii="仿宋" w:hAnsi="仿宋" w:eastAsia="仿宋" w:cs="仿宋"/>
        </w:rPr>
        <w:t>液压系统全部采用选用知名产密封件；</w:t>
      </w:r>
    </w:p>
    <w:p w14:paraId="7A0B0F71">
      <w:pPr>
        <w:pStyle w:val="16"/>
        <w:snapToGrid w:val="0"/>
        <w:spacing w:line="360" w:lineRule="auto"/>
        <w:ind w:firstLine="480" w:firstLineChars="200"/>
        <w:rPr>
          <w:rFonts w:ascii="仿宋" w:hAnsi="仿宋" w:eastAsia="仿宋" w:cs="仿宋"/>
        </w:rPr>
      </w:pPr>
      <w:r>
        <w:rPr>
          <w:rFonts w:hint="eastAsia" w:ascii="仿宋" w:hAnsi="仿宋" w:eastAsia="仿宋" w:cs="仿宋"/>
        </w:rPr>
        <w:t>3.4.</w:t>
      </w:r>
      <w:r>
        <w:rPr>
          <w:rFonts w:ascii="仿宋" w:hAnsi="仿宋" w:eastAsia="仿宋" w:cs="仿宋"/>
        </w:rPr>
        <w:t>3</w:t>
      </w:r>
      <w:r>
        <w:rPr>
          <w:rFonts w:hint="eastAsia" w:ascii="仿宋" w:hAnsi="仿宋" w:eastAsia="仿宋" w:cs="仿宋"/>
        </w:rPr>
        <w:t>.</w:t>
      </w:r>
      <w:r>
        <w:rPr>
          <w:rFonts w:ascii="仿宋" w:hAnsi="仿宋" w:eastAsia="仿宋" w:cs="仿宋"/>
        </w:rPr>
        <w:t>4</w:t>
      </w:r>
      <w:r>
        <w:rPr>
          <w:rFonts w:hint="eastAsia" w:ascii="仿宋" w:hAnsi="仿宋" w:eastAsia="仿宋" w:cs="仿宋"/>
          <w:lang w:val="en-US" w:eastAsia="zh-CN"/>
        </w:rPr>
        <w:t xml:space="preserve"> </w:t>
      </w:r>
      <w:r>
        <w:rPr>
          <w:rFonts w:hint="eastAsia" w:ascii="仿宋" w:hAnsi="仿宋" w:eastAsia="仿宋" w:cs="仿宋"/>
        </w:rPr>
        <w:t>具备液压失压保护、报警装置；</w:t>
      </w:r>
    </w:p>
    <w:p w14:paraId="32BCF1F2">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 xml:space="preserve"> </w:t>
      </w:r>
      <w:r>
        <w:rPr>
          <w:rFonts w:hint="eastAsia" w:ascii="仿宋" w:hAnsi="仿宋" w:eastAsia="仿宋" w:cs="仿宋"/>
          <w:highlight w:val="none"/>
        </w:rPr>
        <w:t>控制系统</w:t>
      </w:r>
    </w:p>
    <w:p w14:paraId="7E4CCC30">
      <w:pPr>
        <w:pStyle w:val="16"/>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rPr>
        <w:t>3</w:t>
      </w:r>
      <w:r>
        <w:rPr>
          <w:rFonts w:ascii="仿宋" w:hAnsi="仿宋" w:eastAsia="仿宋" w:cs="仿宋"/>
        </w:rPr>
        <w:t>.4.4.1</w:t>
      </w:r>
      <w:r>
        <w:rPr>
          <w:rFonts w:hint="eastAsia" w:ascii="仿宋" w:hAnsi="仿宋" w:eastAsia="仿宋" w:cs="仿宋"/>
          <w:lang w:val="en-US" w:eastAsia="zh-CN"/>
        </w:rPr>
        <w:t xml:space="preserve"> </w:t>
      </w:r>
      <w:r>
        <w:rPr>
          <w:rFonts w:hint="eastAsia" w:ascii="仿宋" w:hAnsi="仿宋" w:eastAsia="仿宋" w:cs="仿宋"/>
        </w:rPr>
        <w:t>控制系统具备简体中文显示的人机交互界面，应具备</w:t>
      </w:r>
      <w:r>
        <w:rPr>
          <w:rFonts w:hint="eastAsia" w:ascii="仿宋" w:hAnsi="仿宋" w:eastAsia="仿宋" w:cs="仿宋"/>
          <w:lang w:val="en-US" w:eastAsia="zh-CN"/>
        </w:rPr>
        <w:t>数据</w:t>
      </w:r>
      <w:r>
        <w:rPr>
          <w:rFonts w:hint="eastAsia" w:ascii="仿宋" w:hAnsi="仿宋" w:eastAsia="仿宋" w:cs="仿宋"/>
        </w:rPr>
        <w:t>自动采集、监控并显示、数据存储、</w:t>
      </w:r>
      <w:r>
        <w:rPr>
          <w:rFonts w:hint="eastAsia" w:ascii="仿宋" w:hAnsi="仿宋" w:eastAsia="仿宋" w:cs="仿宋"/>
          <w:lang w:val="en-US" w:eastAsia="zh-CN"/>
        </w:rPr>
        <w:t>历史</w:t>
      </w:r>
      <w:r>
        <w:rPr>
          <w:rFonts w:hint="eastAsia" w:ascii="仿宋" w:hAnsi="仿宋" w:eastAsia="仿宋" w:cs="仿宋"/>
        </w:rPr>
        <w:t>数据查询</w:t>
      </w:r>
      <w:r>
        <w:rPr>
          <w:rFonts w:hint="eastAsia" w:ascii="仿宋" w:hAnsi="仿宋" w:eastAsia="仿宋" w:cs="仿宋"/>
          <w:lang w:eastAsia="zh-CN"/>
        </w:rPr>
        <w:t>、</w:t>
      </w:r>
      <w:r>
        <w:rPr>
          <w:rFonts w:hint="eastAsia" w:ascii="仿宋" w:hAnsi="仿宋" w:eastAsia="仿宋" w:cs="仿宋"/>
        </w:rPr>
        <w:t>生产线（设备）运行状况及生产活动信息数据等</w:t>
      </w:r>
      <w:r>
        <w:rPr>
          <w:rFonts w:hint="eastAsia" w:ascii="仿宋" w:hAnsi="仿宋" w:eastAsia="仿宋" w:cs="仿宋"/>
          <w:highlight w:val="none"/>
        </w:rPr>
        <w:t>功能。生产线（设备）运行状况及生产活动信息数据不限于以下信息：生产状态统计、产品质量监控与统计、设备运行管控、程序管理等。</w:t>
      </w:r>
    </w:p>
    <w:p w14:paraId="43727B05">
      <w:pPr>
        <w:pStyle w:val="16"/>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kern w:val="0"/>
          <w:sz w:val="24"/>
          <w:szCs w:val="24"/>
          <w:highlight w:val="none"/>
          <w:lang w:val="en-US" w:eastAsia="zh-CN" w:bidi="ar-SA"/>
        </w:rPr>
        <w:t>3.4.4.2</w:t>
      </w:r>
      <w:r>
        <w:rPr>
          <w:rFonts w:hint="eastAsia" w:ascii="仿宋" w:hAnsi="仿宋" w:eastAsia="仿宋" w:cs="仿宋"/>
          <w:highlight w:val="none"/>
          <w:lang w:val="en-US" w:eastAsia="zh-CN"/>
        </w:rPr>
        <w:t>投标方免费提供数据交互功能，交互数据包括但不限于实时数据、历史数据、报警信息等。</w:t>
      </w:r>
    </w:p>
    <w:p w14:paraId="5FDBE27F">
      <w:pPr>
        <w:pStyle w:val="16"/>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3.4.4.3 控制系统须具有相应的以太网、总线等通讯接口，且免费开放所有通讯接口，</w:t>
      </w:r>
      <w:r>
        <w:rPr>
          <w:rFonts w:hint="eastAsia" w:ascii="仿宋" w:hAnsi="仿宋" w:eastAsia="仿宋" w:cs="仿宋"/>
          <w:highlight w:val="none"/>
        </w:rPr>
        <w:t>提供系统涉及所有通信协议</w:t>
      </w:r>
      <w:r>
        <w:rPr>
          <w:rFonts w:hint="eastAsia" w:ascii="仿宋" w:hAnsi="仿宋" w:eastAsia="仿宋" w:cs="仿宋"/>
          <w:highlight w:val="none"/>
          <w:lang w:eastAsia="zh-CN"/>
        </w:rPr>
        <w:t>，</w:t>
      </w:r>
      <w:r>
        <w:rPr>
          <w:rFonts w:hint="eastAsia" w:ascii="仿宋" w:hAnsi="仿宋" w:eastAsia="仿宋" w:cs="仿宋"/>
          <w:kern w:val="0"/>
          <w:sz w:val="24"/>
          <w:szCs w:val="24"/>
          <w:highlight w:val="none"/>
          <w:lang w:val="en-US" w:eastAsia="zh-CN" w:bidi="ar-SA"/>
        </w:rPr>
        <w:t>包括但不限于以太网、RS232、RS485、PROFIBUS、PROFINET、MODBUS 等常见接口，以及设备特有的专用接口</w:t>
      </w:r>
      <w:r>
        <w:rPr>
          <w:rFonts w:hint="eastAsia" w:ascii="仿宋" w:hAnsi="仿宋" w:eastAsia="仿宋" w:cs="仿宋"/>
          <w:highlight w:val="none"/>
          <w:lang w:eastAsia="zh-CN"/>
        </w:rPr>
        <w:t>。</w:t>
      </w:r>
    </w:p>
    <w:p w14:paraId="1913FA1B">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 xml:space="preserve">4 </w:t>
      </w:r>
      <w:r>
        <w:rPr>
          <w:rFonts w:hint="eastAsia" w:ascii="仿宋" w:hAnsi="仿宋" w:eastAsia="仿宋" w:cs="仿宋"/>
          <w:highlight w:val="none"/>
        </w:rPr>
        <w:t>控制系统具备自动、调试、手动功能模式。</w:t>
      </w:r>
    </w:p>
    <w:p w14:paraId="02DF8770">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5 投标方</w:t>
      </w:r>
      <w:r>
        <w:rPr>
          <w:rFonts w:ascii="仿宋" w:hAnsi="仿宋" w:eastAsia="仿宋" w:cs="仿宋"/>
          <w:highlight w:val="none"/>
          <w:lang w:val="en-US" w:eastAsia="zh-CN"/>
        </w:rPr>
        <w:t>必须提供所有设备程序的源代码，包括但不限于 PLC</w:t>
      </w:r>
      <w:r>
        <w:rPr>
          <w:rFonts w:hint="eastAsia" w:ascii="仿宋" w:hAnsi="仿宋" w:eastAsia="仿宋" w:cs="仿宋"/>
          <w:highlight w:val="none"/>
          <w:lang w:val="en-US" w:eastAsia="zh-CN"/>
        </w:rPr>
        <w:t>程序、HMI 程序、机器人程序、视觉程序、伺服等。</w:t>
      </w:r>
    </w:p>
    <w:p w14:paraId="4428A266">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6</w:t>
      </w:r>
      <w:r>
        <w:rPr>
          <w:rFonts w:ascii="仿宋" w:hAnsi="仿宋" w:eastAsia="仿宋" w:cs="仿宋"/>
          <w:highlight w:val="none"/>
          <w:lang w:val="en-US" w:eastAsia="zh-CN"/>
        </w:rPr>
        <w:t xml:space="preserve"> </w:t>
      </w:r>
      <w:r>
        <w:rPr>
          <w:rFonts w:hint="eastAsia" w:ascii="仿宋" w:hAnsi="仿宋" w:eastAsia="仿宋" w:cs="仿宋"/>
          <w:highlight w:val="none"/>
          <w:lang w:val="en-US" w:eastAsia="zh-CN"/>
        </w:rPr>
        <w:t>投标方</w:t>
      </w:r>
      <w:r>
        <w:rPr>
          <w:rFonts w:ascii="仿宋" w:hAnsi="仿宋" w:eastAsia="仿宋" w:cs="仿宋"/>
          <w:highlight w:val="none"/>
          <w:lang w:val="en-US" w:eastAsia="zh-CN"/>
        </w:rPr>
        <w:t>所提供的程序不得设置任何密码、保护等限制手段，</w:t>
      </w:r>
      <w:r>
        <w:rPr>
          <w:rFonts w:hint="eastAsia" w:ascii="仿宋" w:hAnsi="仿宋" w:eastAsia="仿宋" w:cs="仿宋"/>
          <w:highlight w:val="none"/>
          <w:lang w:val="en-US" w:eastAsia="zh-CN"/>
        </w:rPr>
        <w:t>PLC 不得设置修改下载权限，功能块不得设置密码保护。HMI界面等需要密码保护的程序，投标方必须提供所有级别的用户名、密码。</w:t>
      </w:r>
    </w:p>
    <w:p w14:paraId="16F23DEB">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7 投标方需在设备入场前提供设备程序源码，HMI 界面各级用户名和密码，并保证与现场程序一致。</w:t>
      </w:r>
    </w:p>
    <w:p w14:paraId="53416D0C">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8 投标方需在终验收前提供最新的设备程序源码和电气图纸，图纸要求为可编辑原格式（EPLAN、CAD 格式）且与实际接线一致。</w:t>
      </w:r>
    </w:p>
    <w:p w14:paraId="58FFEFEE">
      <w:pPr>
        <w:pStyle w:val="16"/>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.4.4.</w:t>
      </w:r>
      <w:r>
        <w:rPr>
          <w:rFonts w:hint="eastAsia" w:ascii="仿宋" w:hAnsi="仿宋" w:eastAsia="仿宋" w:cs="仿宋"/>
          <w:highlight w:val="none"/>
          <w:lang w:val="en-US" w:eastAsia="zh-CN"/>
        </w:rPr>
        <w:t xml:space="preserve">9 </w:t>
      </w:r>
      <w:r>
        <w:rPr>
          <w:rFonts w:hint="eastAsia" w:ascii="仿宋" w:hAnsi="仿宋" w:eastAsia="仿宋" w:cs="仿宋"/>
          <w:highlight w:val="none"/>
        </w:rPr>
        <w:t>投标方提供系统恢复盘（备份），在系统出现故障需要重装系统时，保证招标方自主重装系统后，控制系统能后恢复到投标方调试完成最终交付时的状态。</w:t>
      </w:r>
    </w:p>
    <w:p w14:paraId="3EA03C37">
      <w:pPr>
        <w:pStyle w:val="16"/>
        <w:snapToGrid w:val="0"/>
        <w:spacing w:line="360" w:lineRule="auto"/>
        <w:ind w:firstLine="480" w:firstLineChars="200"/>
        <w:rPr>
          <w:rFonts w:hint="default" w:ascii="仿宋" w:hAnsi="仿宋" w:eastAsia="仿宋" w:cs="仿宋"/>
          <w:highlight w:val="none"/>
          <w:lang w:val="en-US"/>
        </w:rPr>
      </w:pPr>
      <w:r>
        <w:rPr>
          <w:rFonts w:hint="eastAsia" w:ascii="仿宋" w:hAnsi="仿宋" w:eastAsia="仿宋" w:cs="仿宋"/>
          <w:highlight w:val="none"/>
        </w:rPr>
        <w:t>3.4.4.</w:t>
      </w:r>
      <w:r>
        <w:rPr>
          <w:rFonts w:hint="eastAsia" w:ascii="仿宋" w:hAnsi="仿宋" w:eastAsia="仿宋" w:cs="仿宋"/>
          <w:highlight w:val="none"/>
          <w:lang w:val="en-US" w:eastAsia="zh-CN"/>
        </w:rPr>
        <w:t>10 项目若包含在线监控或 MES 系统，所属 MES 系统均应将所提取数据传输至重汽 IOT 平台,并由I0T 平台再传输至厂家 MES系统内。</w:t>
      </w:r>
    </w:p>
    <w:p w14:paraId="7A197D2B">
      <w:pPr>
        <w:pStyle w:val="16"/>
        <w:snapToGrid w:val="0"/>
        <w:spacing w:line="360" w:lineRule="auto"/>
        <w:ind w:firstLine="480" w:firstLineChars="200"/>
        <w:rPr>
          <w:rFonts w:hint="eastAsia" w:ascii="仿宋" w:hAnsi="仿宋" w:eastAsia="仿宋" w:cs="仿宋"/>
          <w:highlight w:val="none"/>
          <w:lang w:val="en-US" w:eastAsia="zh-CN"/>
        </w:rPr>
      </w:pPr>
      <w:bookmarkStart w:id="321" w:name="_Toc22074"/>
      <w:bookmarkStart w:id="322" w:name="_Toc32414"/>
      <w:bookmarkStart w:id="323" w:name="_Toc1066"/>
      <w:bookmarkStart w:id="324" w:name="_Toc16640"/>
      <w:bookmarkStart w:id="325" w:name="_Toc9566"/>
      <w:bookmarkStart w:id="326" w:name="_Toc8241"/>
      <w:bookmarkStart w:id="327" w:name="_Toc21361"/>
      <w:bookmarkStart w:id="328" w:name="_Toc18771"/>
      <w:bookmarkStart w:id="329" w:name="_Toc28939"/>
      <w:bookmarkStart w:id="330" w:name="_Toc25559"/>
      <w:bookmarkStart w:id="331" w:name="_Toc2308"/>
      <w:r>
        <w:rPr>
          <w:rFonts w:hint="eastAsia" w:ascii="仿宋" w:hAnsi="仿宋" w:eastAsia="仿宋" w:cs="仿宋"/>
          <w:highlight w:val="none"/>
        </w:rPr>
        <w:t>3.5</w:t>
      </w:r>
      <w:r>
        <w:rPr>
          <w:rFonts w:hint="eastAsia" w:ascii="仿宋" w:hAnsi="仿宋" w:eastAsia="仿宋" w:cs="仿宋"/>
          <w:highlight w:val="none"/>
          <w:lang w:val="en-US" w:eastAsia="zh-CN"/>
        </w:rPr>
        <w:t>工器具</w:t>
      </w:r>
      <w:r>
        <w:rPr>
          <w:rFonts w:hint="eastAsia" w:ascii="仿宋" w:hAnsi="仿宋" w:eastAsia="仿宋" w:cs="仿宋"/>
          <w:highlight w:val="none"/>
        </w:rPr>
        <w:t>要求</w:t>
      </w:r>
      <w:bookmarkEnd w:id="321"/>
      <w:bookmarkEnd w:id="322"/>
      <w:bookmarkEnd w:id="323"/>
      <w:bookmarkEnd w:id="324"/>
      <w:bookmarkEnd w:id="325"/>
      <w:bookmarkEnd w:id="326"/>
      <w:bookmarkEnd w:id="327"/>
      <w:bookmarkEnd w:id="328"/>
      <w:bookmarkEnd w:id="329"/>
      <w:bookmarkEnd w:id="330"/>
      <w:bookmarkEnd w:id="331"/>
    </w:p>
    <w:p w14:paraId="77DDA995">
      <w:pPr>
        <w:pStyle w:val="16"/>
        <w:snapToGrid w:val="0"/>
        <w:spacing w:line="360" w:lineRule="auto"/>
        <w:ind w:firstLine="480" w:firstLineChars="200"/>
        <w:rPr>
          <w:rFonts w:hint="default" w:ascii="仿宋" w:hAnsi="仿宋" w:eastAsia="仿宋" w:cs="仿宋"/>
          <w:highlight w:val="none"/>
          <w:lang w:val="en-US" w:eastAsia="zh-CN"/>
        </w:rPr>
      </w:pPr>
      <w:bookmarkStart w:id="332" w:name="_Toc32598"/>
      <w:bookmarkStart w:id="333" w:name="_Toc6136"/>
      <w:bookmarkStart w:id="334" w:name="_Toc20611"/>
      <w:bookmarkStart w:id="335" w:name="_Toc20368"/>
      <w:bookmarkStart w:id="336" w:name="_Toc15181"/>
      <w:bookmarkStart w:id="337" w:name="_Toc16996"/>
      <w:bookmarkStart w:id="338" w:name="_Toc13942"/>
      <w:bookmarkStart w:id="339" w:name="_Toc2985"/>
      <w:bookmarkStart w:id="340" w:name="_Toc11183"/>
      <w:bookmarkStart w:id="341" w:name="_Toc6345"/>
      <w:bookmarkStart w:id="342" w:name="_Toc24889"/>
      <w:r>
        <w:rPr>
          <w:rFonts w:hint="eastAsia" w:ascii="仿宋" w:hAnsi="仿宋" w:eastAsia="仿宋" w:cs="仿宋"/>
          <w:highlight w:val="none"/>
          <w:lang w:val="en-US" w:eastAsia="zh-CN"/>
        </w:rPr>
        <w:t xml:space="preserve">设备附带各系列产品换型工装，压装机构设计制作设备压头及连接工装。工装要求定位精准，硬度达标，设计单套换型时间不高于30s。工装、夹具、工具由厂家提供且必须提供两套。提供各设备易损备件清单（包含规格型号）及非标易损件件图纸。 </w:t>
      </w:r>
    </w:p>
    <w:p w14:paraId="32CBA448">
      <w:pPr>
        <w:pStyle w:val="16"/>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highlight w:val="none"/>
        </w:rPr>
        <w:t>3.6</w:t>
      </w:r>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highlight w:val="none"/>
        </w:rPr>
        <w:t>本项目</w:t>
      </w:r>
      <w:r>
        <w:rPr>
          <w:rFonts w:hint="eastAsia" w:ascii="仿宋" w:hAnsi="仿宋" w:eastAsia="仿宋" w:cs="仿宋"/>
          <w:highlight w:val="none"/>
          <w:lang w:val="en-US" w:eastAsia="zh-CN"/>
        </w:rPr>
        <w:t>供货及</w:t>
      </w:r>
      <w:r>
        <w:rPr>
          <w:rFonts w:hint="eastAsia" w:ascii="仿宋" w:hAnsi="仿宋" w:eastAsia="仿宋" w:cs="仿宋"/>
          <w:highlight w:val="none"/>
        </w:rPr>
        <w:t>品牌</w:t>
      </w:r>
      <w:r>
        <w:rPr>
          <w:rFonts w:hint="eastAsia" w:ascii="仿宋" w:hAnsi="仿宋" w:eastAsia="仿宋" w:cs="仿宋"/>
          <w:highlight w:val="none"/>
          <w:lang w:val="en-US" w:eastAsia="zh-CN"/>
        </w:rPr>
        <w:t>要求</w:t>
      </w:r>
    </w:p>
    <w:p w14:paraId="6BDD3BA8">
      <w:pPr>
        <w:pStyle w:val="16"/>
        <w:numPr>
          <w:ilvl w:val="0"/>
          <w:numId w:val="0"/>
        </w:numPr>
        <w:snapToGrid w:val="0"/>
        <w:spacing w:line="360" w:lineRule="auto"/>
        <w:ind w:firstLine="48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3.6.1 未注明国产或进口的元件均按进口元件选定；</w:t>
      </w:r>
    </w:p>
    <w:p w14:paraId="68660444">
      <w:pPr>
        <w:pStyle w:val="16"/>
        <w:numPr>
          <w:ilvl w:val="0"/>
          <w:numId w:val="0"/>
        </w:numPr>
        <w:snapToGrid w:val="0"/>
        <w:spacing w:line="360" w:lineRule="auto"/>
        <w:ind w:firstLine="48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3.6.2 出现不能满足附表选型时，应与招标方进行协商，必须取得招标方的批准；</w:t>
      </w:r>
    </w:p>
    <w:p w14:paraId="44348842">
      <w:pPr>
        <w:pStyle w:val="16"/>
        <w:numPr>
          <w:ilvl w:val="0"/>
          <w:numId w:val="0"/>
        </w:numPr>
        <w:snapToGrid w:val="0"/>
        <w:spacing w:line="360" w:lineRule="auto"/>
        <w:ind w:firstLine="48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3.6.3 所有电气零部件保护等级须符合IEC：IP-54以上，如工艺要求更高的防护以实际工艺要求为准。</w:t>
      </w:r>
    </w:p>
    <w:p w14:paraId="6EDDC6A0">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3.7其它主要要求</w:t>
      </w:r>
    </w:p>
    <w:p w14:paraId="3CDEA924">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 xml:space="preserve">1 </w:t>
      </w:r>
      <w:r>
        <w:rPr>
          <w:rFonts w:hint="eastAsia" w:ascii="仿宋" w:hAnsi="仿宋" w:eastAsia="仿宋" w:cs="仿宋"/>
          <w:highlight w:val="none"/>
        </w:rPr>
        <w:t>安全及环保要求</w:t>
      </w:r>
    </w:p>
    <w:p w14:paraId="047D22FE">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1</w:t>
      </w:r>
      <w:r>
        <w:rPr>
          <w:rFonts w:hint="eastAsia" w:ascii="仿宋" w:hAnsi="仿宋" w:eastAsia="仿宋" w:cs="仿宋"/>
          <w:highlight w:val="none"/>
        </w:rPr>
        <w:t>.1投标方所供的货物（或生产线），必须符合中国最新版的安全</w:t>
      </w:r>
      <w:r>
        <w:rPr>
          <w:rFonts w:hint="eastAsia" w:ascii="仿宋" w:hAnsi="仿宋" w:eastAsia="仿宋" w:cs="仿宋"/>
          <w:highlight w:val="none"/>
          <w:lang w:eastAsia="zh-CN"/>
        </w:rPr>
        <w:t>、环保、消防及职业健康的</w:t>
      </w:r>
      <w:r>
        <w:rPr>
          <w:rFonts w:hint="eastAsia" w:ascii="仿宋" w:hAnsi="仿宋" w:eastAsia="仿宋" w:cs="仿宋"/>
          <w:highlight w:val="none"/>
        </w:rPr>
        <w:t>法律、法规要求，符合行业安全标准及项目所在地政府有关特殊要求。</w:t>
      </w:r>
    </w:p>
    <w:p w14:paraId="21430C2F">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1</w:t>
      </w:r>
      <w:r>
        <w:rPr>
          <w:rFonts w:hint="eastAsia" w:ascii="仿宋" w:hAnsi="仿宋" w:eastAsia="仿宋" w:cs="仿宋"/>
          <w:highlight w:val="none"/>
        </w:rPr>
        <w:t>.2 货物（或生产线）应完整且所有的零部件应该安装安全、牢固，外观无损伤，所有的焊缝饱满、无残渣等缺陷且符合国家及行业相关标准。</w:t>
      </w:r>
    </w:p>
    <w:p w14:paraId="17558862">
      <w:pPr>
        <w:snapToGrid w:val="0"/>
        <w:spacing w:line="360" w:lineRule="auto"/>
        <w:ind w:firstLine="420" w:firstLineChars="200"/>
        <w:jc w:val="left"/>
        <w:rPr>
          <w:rFonts w:ascii="仿宋" w:hAnsi="仿宋" w:eastAsia="仿宋" w:cs="仿宋"/>
        </w:rPr>
      </w:pPr>
      <w:r>
        <w:rPr>
          <w:rFonts w:hint="eastAsia" w:ascii="仿宋" w:hAnsi="仿宋" w:eastAsia="仿宋" w:cs="仿宋"/>
          <w:highlight w:val="none"/>
        </w:rPr>
        <w:t>3.7.</w:t>
      </w:r>
      <w:r>
        <w:rPr>
          <w:rFonts w:hint="eastAsia" w:ascii="仿宋" w:hAnsi="仿宋" w:eastAsia="仿宋" w:cs="仿宋"/>
          <w:highlight w:val="none"/>
          <w:lang w:val="en-US" w:eastAsia="zh-CN"/>
        </w:rPr>
        <w:t>1</w:t>
      </w:r>
      <w:r>
        <w:rPr>
          <w:rFonts w:hint="eastAsia" w:ascii="仿宋" w:hAnsi="仿宋" w:eastAsia="仿宋" w:cs="仿宋"/>
          <w:highlight w:val="none"/>
        </w:rPr>
        <w:t>.3 对生产线存在安全</w:t>
      </w:r>
      <w:r>
        <w:rPr>
          <w:rFonts w:hint="eastAsia" w:ascii="仿宋" w:hAnsi="仿宋" w:eastAsia="仿宋" w:cs="仿宋"/>
          <w:highlight w:val="none"/>
          <w:lang w:val="en-US" w:eastAsia="zh-CN"/>
        </w:rPr>
        <w:t>风险</w:t>
      </w:r>
      <w:r>
        <w:rPr>
          <w:rFonts w:hint="eastAsia" w:ascii="仿宋" w:hAnsi="仿宋" w:eastAsia="仿宋" w:cs="仿宋"/>
          <w:highlight w:val="none"/>
        </w:rPr>
        <w:t>的工位</w:t>
      </w:r>
      <w:r>
        <w:rPr>
          <w:rFonts w:hint="eastAsia" w:ascii="仿宋" w:hAnsi="仿宋" w:eastAsia="仿宋" w:cs="仿宋"/>
        </w:rPr>
        <w:t>必须采取安全措施，如：线体防护板、高温防护、光栅等。</w:t>
      </w:r>
    </w:p>
    <w:p w14:paraId="6B31DDDB">
      <w:pPr>
        <w:snapToGrid w:val="0"/>
        <w:spacing w:line="360" w:lineRule="auto"/>
        <w:ind w:firstLine="420" w:firstLineChars="200"/>
        <w:rPr>
          <w:rFonts w:hint="default" w:ascii="仿宋" w:hAnsi="仿宋" w:eastAsia="仿宋" w:cs="仿宋"/>
          <w:lang w:val="en-US" w:eastAsia="zh-CN"/>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.4 从安全生产的角度考虑各单元及工位应设有急停按钮，并有明显标识。</w:t>
      </w:r>
      <w:r>
        <w:rPr>
          <w:rFonts w:hint="eastAsia" w:ascii="仿宋" w:hAnsi="仿宋" w:eastAsia="仿宋" w:cs="仿宋"/>
          <w:lang w:val="en-US" w:eastAsia="zh-CN"/>
        </w:rPr>
        <w:t>压力设备应设有双手压装功能、安全光栅防护，并具备安全光栅触发下的保压能力。</w:t>
      </w:r>
    </w:p>
    <w:p w14:paraId="4BE61BE0">
      <w:pPr>
        <w:snapToGrid w:val="0"/>
        <w:spacing w:line="360" w:lineRule="auto"/>
        <w:ind w:firstLine="420" w:firstLineChars="200"/>
        <w:rPr>
          <w:rFonts w:ascii="仿宋" w:hAnsi="仿宋" w:eastAsia="仿宋" w:cs="仿宋"/>
          <w:highlight w:val="none"/>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w:t>
      </w:r>
      <w:r>
        <w:rPr>
          <w:rFonts w:ascii="仿宋" w:hAnsi="仿宋" w:eastAsia="仿宋" w:cs="仿宋"/>
        </w:rPr>
        <w:t>5</w:t>
      </w:r>
      <w:r>
        <w:rPr>
          <w:rFonts w:hint="eastAsia" w:ascii="仿宋" w:hAnsi="仿宋" w:eastAsia="仿宋" w:cs="仿宋"/>
        </w:rPr>
        <w:t xml:space="preserve"> 单元操作面板上有上电按钮和急停按钮，上</w:t>
      </w:r>
      <w:r>
        <w:rPr>
          <w:rFonts w:hint="eastAsia" w:ascii="仿宋" w:hAnsi="仿宋" w:eastAsia="仿宋" w:cs="仿宋"/>
          <w:highlight w:val="none"/>
        </w:rPr>
        <w:t>电后可对系统进行操作</w:t>
      </w:r>
      <w:r>
        <w:rPr>
          <w:rFonts w:hint="eastAsia" w:ascii="仿宋" w:hAnsi="仿宋" w:eastAsia="仿宋" w:cs="仿宋"/>
          <w:highlight w:val="none"/>
          <w:lang w:eastAsia="zh-CN"/>
        </w:rPr>
        <w:t>，</w:t>
      </w:r>
      <w:r>
        <w:rPr>
          <w:rFonts w:hint="eastAsia" w:ascii="仿宋" w:hAnsi="仿宋" w:eastAsia="仿宋" w:cs="仿宋"/>
          <w:highlight w:val="none"/>
          <w:lang w:val="en-US" w:eastAsia="zh-CN"/>
        </w:rPr>
        <w:t>急停按钮具备中文标识</w:t>
      </w:r>
      <w:r>
        <w:rPr>
          <w:rFonts w:hint="eastAsia" w:ascii="仿宋" w:hAnsi="仿宋" w:eastAsia="仿宋" w:cs="仿宋"/>
          <w:highlight w:val="none"/>
        </w:rPr>
        <w:t>。</w:t>
      </w:r>
    </w:p>
    <w:p w14:paraId="130583B3">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1</w:t>
      </w:r>
      <w:r>
        <w:rPr>
          <w:rFonts w:hint="eastAsia" w:ascii="仿宋" w:hAnsi="仿宋" w:eastAsia="仿宋" w:cs="仿宋"/>
          <w:highlight w:val="none"/>
        </w:rPr>
        <w:t>.</w:t>
      </w:r>
      <w:r>
        <w:rPr>
          <w:rFonts w:ascii="仿宋" w:hAnsi="仿宋" w:eastAsia="仿宋" w:cs="仿宋"/>
          <w:highlight w:val="none"/>
        </w:rPr>
        <w:t>6</w:t>
      </w:r>
      <w:r>
        <w:rPr>
          <w:rFonts w:hint="eastAsia" w:ascii="仿宋" w:hAnsi="仿宋" w:eastAsia="仿宋" w:cs="仿宋"/>
          <w:highlight w:val="none"/>
        </w:rPr>
        <w:t xml:space="preserve"> 所有电气安装和施工均应符合我国现行行业标准（规范）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14:paraId="144BA6ED">
      <w:pPr>
        <w:snapToGrid w:val="0"/>
        <w:spacing w:line="360" w:lineRule="auto"/>
        <w:ind w:firstLine="420" w:firstLineChars="20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w:t>
      </w:r>
      <w:r>
        <w:rPr>
          <w:rFonts w:ascii="仿宋" w:hAnsi="仿宋" w:eastAsia="仿宋" w:cs="仿宋"/>
        </w:rPr>
        <w:t>7</w:t>
      </w:r>
      <w:r>
        <w:rPr>
          <w:rFonts w:hint="eastAsia" w:ascii="仿宋" w:hAnsi="仿宋" w:eastAsia="仿宋" w:cs="仿宋"/>
        </w:rPr>
        <w:t xml:space="preserve"> 投标方必须提供所供设备相应的安全操作规程和安全事项的说明书，危险化学品“一书一签”；负责对招标方相关人员开展“四新”安全培训。</w:t>
      </w:r>
    </w:p>
    <w:p w14:paraId="532BB71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w:t>
      </w:r>
      <w:r>
        <w:rPr>
          <w:rFonts w:ascii="仿宋" w:hAnsi="仿宋" w:eastAsia="仿宋" w:cs="仿宋"/>
        </w:rPr>
        <w:t>8</w:t>
      </w:r>
      <w:r>
        <w:rPr>
          <w:rFonts w:hint="eastAsia" w:ascii="仿宋" w:hAnsi="仿宋" w:eastAsia="仿宋" w:cs="仿宋"/>
        </w:rPr>
        <w:t>货物（或生产线）应运行稳定、可靠、安全，无非正常变形，非正常振动，无异常声音；无漏水、漏液、漏气（汽）、漏电等现象。</w:t>
      </w:r>
    </w:p>
    <w:p w14:paraId="7E2F0D3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w:t>
      </w:r>
      <w:r>
        <w:rPr>
          <w:rFonts w:ascii="仿宋" w:hAnsi="仿宋" w:eastAsia="仿宋" w:cs="仿宋"/>
        </w:rPr>
        <w:t>9</w:t>
      </w:r>
      <w:r>
        <w:rPr>
          <w:rFonts w:hint="eastAsia" w:ascii="仿宋" w:hAnsi="仿宋" w:eastAsia="仿宋" w:cs="仿宋"/>
        </w:rPr>
        <w:t xml:space="preserve"> 所有的管路和线缆等，接头应完全正确、可靠地联接；应排列有序（正确、牢固、整齐），有必要的防护，无皱褶、收缩</w:t>
      </w:r>
      <w:r>
        <w:rPr>
          <w:rFonts w:hint="eastAsia" w:ascii="仿宋" w:hAnsi="仿宋" w:eastAsia="仿宋" w:cs="仿宋"/>
          <w:highlight w:val="none"/>
        </w:rPr>
        <w:t>和裂缝等不良现象。</w:t>
      </w:r>
    </w:p>
    <w:p w14:paraId="40226C22">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1</w:t>
      </w:r>
      <w:r>
        <w:rPr>
          <w:rFonts w:hint="eastAsia" w:ascii="仿宋" w:hAnsi="仿宋" w:eastAsia="仿宋" w:cs="仿宋"/>
          <w:highlight w:val="none"/>
        </w:rPr>
        <w:t>.1</w:t>
      </w:r>
      <w:r>
        <w:rPr>
          <w:rFonts w:ascii="仿宋" w:hAnsi="仿宋" w:eastAsia="仿宋" w:cs="仿宋"/>
          <w:highlight w:val="none"/>
        </w:rPr>
        <w:t>0</w:t>
      </w:r>
      <w:r>
        <w:rPr>
          <w:rFonts w:hint="eastAsia" w:ascii="仿宋" w:hAnsi="仿宋" w:eastAsia="仿宋" w:cs="仿宋"/>
          <w:highlight w:val="none"/>
        </w:rPr>
        <w:t>地线联接和地极符合国际（ISO/IEC）标准规范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14:paraId="25AEF239">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.11货物（或生产线）正常运行时，噪声等环境影响因素满足国家（《工作场所物理因素测量 噪声》GBZ/T 189.8-2007. 噪音≤80dB(A)（距设备一米处测量））和当地环保主管部门规定。项目验收时，投标方须提供由第三方监测机构出具的噪音合格监测报告。</w:t>
      </w:r>
    </w:p>
    <w:p w14:paraId="003542F9">
      <w:pPr>
        <w:snapToGrid w:val="0"/>
        <w:spacing w:line="360" w:lineRule="auto"/>
        <w:ind w:firstLine="420" w:firstLineChars="20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.1</w:t>
      </w:r>
      <w:r>
        <w:rPr>
          <w:rFonts w:ascii="仿宋" w:hAnsi="仿宋" w:eastAsia="仿宋" w:cs="仿宋"/>
        </w:rPr>
        <w:t>2</w:t>
      </w:r>
      <w:r>
        <w:rPr>
          <w:rFonts w:hint="eastAsia" w:ascii="仿宋" w:hAnsi="仿宋" w:eastAsia="仿宋" w:cs="仿宋"/>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3581F9AE">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3.7.</w:t>
      </w:r>
      <w:r>
        <w:rPr>
          <w:rFonts w:hint="eastAsia" w:ascii="仿宋" w:hAnsi="仿宋" w:eastAsia="仿宋" w:cs="仿宋"/>
          <w:lang w:val="en-US" w:eastAsia="zh-CN"/>
        </w:rPr>
        <w:t>1</w:t>
      </w:r>
      <w:r>
        <w:rPr>
          <w:rFonts w:hint="eastAsia" w:ascii="仿宋" w:hAnsi="仿宋" w:eastAsia="仿宋" w:cs="仿宋"/>
        </w:rPr>
        <w:t>.1</w:t>
      </w:r>
      <w:r>
        <w:rPr>
          <w:rFonts w:ascii="仿宋" w:hAnsi="仿宋" w:eastAsia="仿宋" w:cs="仿宋"/>
        </w:rPr>
        <w:t>3</w:t>
      </w:r>
      <w:r>
        <w:rPr>
          <w:rFonts w:hint="eastAsia" w:ascii="仿宋" w:hAnsi="仿宋" w:eastAsia="仿宋" w:cs="仿宋"/>
        </w:rPr>
        <w:t xml:space="preserve"> 涉及需要进行环保、职业卫生强制检测的项目（设备、设施），应由</w:t>
      </w:r>
      <w:r>
        <w:rPr>
          <w:rFonts w:hint="eastAsia" w:ascii="仿宋" w:hAnsi="仿宋" w:eastAsia="仿宋" w:cs="仿宋"/>
          <w:highlight w:val="none"/>
        </w:rPr>
        <w:t>中标方提供权威第三方检测机构出具的完工检测报告。</w:t>
      </w:r>
    </w:p>
    <w:p w14:paraId="5E37D206">
      <w:pPr>
        <w:pStyle w:val="16"/>
        <w:snapToGrid w:val="0"/>
        <w:spacing w:line="360" w:lineRule="auto"/>
        <w:ind w:firstLine="480" w:firstLineChars="200"/>
        <w:rPr>
          <w:rFonts w:hint="eastAsia" w:ascii="仿宋" w:hAnsi="仿宋" w:eastAsia="仿宋" w:cs="仿宋"/>
        </w:rPr>
      </w:pPr>
      <w:r>
        <w:rPr>
          <w:rFonts w:hint="eastAsia" w:ascii="仿宋" w:hAnsi="仿宋" w:eastAsia="仿宋" w:cs="仿宋"/>
        </w:rPr>
        <w:t>3.7.</w:t>
      </w:r>
      <w:r>
        <w:rPr>
          <w:rFonts w:hint="eastAsia" w:ascii="仿宋" w:hAnsi="仿宋" w:eastAsia="仿宋" w:cs="仿宋"/>
          <w:lang w:val="en-US" w:eastAsia="zh-CN"/>
        </w:rPr>
        <w:t xml:space="preserve">1.14 </w:t>
      </w:r>
      <w:r>
        <w:rPr>
          <w:rFonts w:hint="eastAsia" w:ascii="仿宋" w:hAnsi="仿宋" w:eastAsia="仿宋" w:cs="仿宋"/>
        </w:rPr>
        <w:t>投标方所投货物外观颜色标准按招标方提供的标准《Q/ZZ 30070—2020》或双方书面约定的标准执行。</w:t>
      </w:r>
    </w:p>
    <w:p w14:paraId="18B0360F">
      <w:pPr>
        <w:pStyle w:val="16"/>
        <w:snapToGrid w:val="0"/>
        <w:spacing w:line="360" w:lineRule="auto"/>
        <w:ind w:firstLine="480" w:firstLineChars="200"/>
        <w:jc w:val="center"/>
        <w:rPr>
          <w:rFonts w:hint="eastAsia" w:ascii="仿宋" w:hAnsi="仿宋" w:eastAsia="仿宋" w:cs="仿宋"/>
        </w:rPr>
      </w:pPr>
      <w:r>
        <w:rPr>
          <w:rFonts w:hint="eastAsia" w:ascii="仿宋" w:hAnsi="仿宋" w:eastAsia="仿宋" w:cs="仿宋"/>
          <w:lang w:eastAsia="zh-CN"/>
        </w:rPr>
        <w:drawing>
          <wp:inline distT="0" distB="0" distL="114300" distR="114300">
            <wp:extent cx="3181985" cy="3162300"/>
            <wp:effectExtent l="0" t="0" r="5715" b="0"/>
            <wp:docPr id="5" name="图片 5" descr="172083819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0838193733"/>
                    <pic:cNvPicPr>
                      <a:picLocks noChangeAspect="1"/>
                    </pic:cNvPicPr>
                  </pic:nvPicPr>
                  <pic:blipFill>
                    <a:blip r:embed="rId18"/>
                    <a:stretch>
                      <a:fillRect/>
                    </a:stretch>
                  </pic:blipFill>
                  <pic:spPr>
                    <a:xfrm>
                      <a:off x="0" y="0"/>
                      <a:ext cx="3181985" cy="3162300"/>
                    </a:xfrm>
                    <a:prstGeom prst="rect">
                      <a:avLst/>
                    </a:prstGeom>
                  </pic:spPr>
                </pic:pic>
              </a:graphicData>
            </a:graphic>
          </wp:inline>
        </w:drawing>
      </w:r>
    </w:p>
    <w:p w14:paraId="63B0942E">
      <w:pPr>
        <w:pStyle w:val="16"/>
        <w:snapToGrid w:val="0"/>
        <w:spacing w:line="360" w:lineRule="auto"/>
        <w:ind w:firstLine="480" w:firstLineChars="200"/>
        <w:jc w:val="center"/>
        <w:rPr>
          <w:rFonts w:hint="eastAsia" w:ascii="仿宋" w:hAnsi="仿宋" w:eastAsia="仿宋" w:cs="仿宋"/>
        </w:rPr>
      </w:pPr>
      <w:r>
        <w:rPr>
          <w:rFonts w:hint="eastAsia" w:ascii="仿宋" w:hAnsi="仿宋" w:eastAsia="仿宋" w:cs="仿宋"/>
          <w:lang w:eastAsia="zh-CN"/>
        </w:rPr>
        <w:drawing>
          <wp:inline distT="0" distB="0" distL="114300" distR="114300">
            <wp:extent cx="3239770" cy="1148715"/>
            <wp:effectExtent l="0" t="0" r="11430" b="6985"/>
            <wp:docPr id="6" name="图片 6" descr="172083826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0838269968"/>
                    <pic:cNvPicPr>
                      <a:picLocks noChangeAspect="1"/>
                    </pic:cNvPicPr>
                  </pic:nvPicPr>
                  <pic:blipFill>
                    <a:blip r:embed="rId19"/>
                    <a:stretch>
                      <a:fillRect/>
                    </a:stretch>
                  </pic:blipFill>
                  <pic:spPr>
                    <a:xfrm>
                      <a:off x="0" y="0"/>
                      <a:ext cx="3239770" cy="1148715"/>
                    </a:xfrm>
                    <a:prstGeom prst="rect">
                      <a:avLst/>
                    </a:prstGeom>
                  </pic:spPr>
                </pic:pic>
              </a:graphicData>
            </a:graphic>
          </wp:inline>
        </w:drawing>
      </w:r>
    </w:p>
    <w:p w14:paraId="47BFA5EB">
      <w:pPr>
        <w:snapToGrid w:val="0"/>
        <w:spacing w:line="360" w:lineRule="auto"/>
        <w:ind w:firstLine="422" w:firstLineChars="200"/>
        <w:outlineLvl w:val="1"/>
        <w:rPr>
          <w:rFonts w:ascii="仿宋" w:hAnsi="仿宋" w:eastAsia="仿宋" w:cs="仿宋"/>
          <w:b/>
          <w:bCs/>
        </w:rPr>
      </w:pPr>
      <w:bookmarkStart w:id="343" w:name="_Toc12383"/>
      <w:bookmarkStart w:id="344" w:name="_Toc8256"/>
      <w:bookmarkStart w:id="345" w:name="_Toc2761"/>
      <w:bookmarkStart w:id="346" w:name="_Toc16595"/>
      <w:bookmarkStart w:id="347" w:name="_Toc16723"/>
      <w:bookmarkStart w:id="348" w:name="_Toc17206"/>
      <w:bookmarkStart w:id="349" w:name="_Toc31832"/>
      <w:bookmarkStart w:id="350" w:name="_Toc25096"/>
      <w:bookmarkStart w:id="351" w:name="_Toc14086"/>
      <w:bookmarkStart w:id="352" w:name="_Toc2382"/>
      <w:bookmarkStart w:id="353" w:name="_Toc10838"/>
      <w:bookmarkStart w:id="354" w:name="_Toc11655"/>
      <w:bookmarkStart w:id="355" w:name="_Toc73"/>
      <w:bookmarkStart w:id="356" w:name="_Toc16458"/>
      <w:bookmarkStart w:id="357" w:name="_Toc24970"/>
      <w:bookmarkStart w:id="358" w:name="_Toc11237"/>
      <w:bookmarkStart w:id="359" w:name="_Toc28651"/>
      <w:bookmarkStart w:id="360" w:name="_Toc4932"/>
      <w:bookmarkStart w:id="361" w:name="_Toc8333"/>
      <w:bookmarkStart w:id="362" w:name="_Toc24239"/>
      <w:bookmarkStart w:id="363" w:name="_Toc21641"/>
      <w:bookmarkStart w:id="364" w:name="_Toc10224"/>
      <w:bookmarkStart w:id="365" w:name="_Toc14754"/>
      <w:bookmarkStart w:id="366" w:name="_Toc3721"/>
      <w:bookmarkStart w:id="367" w:name="_Toc13730"/>
      <w:bookmarkStart w:id="368" w:name="_Toc14715"/>
      <w:bookmarkStart w:id="369" w:name="_Toc12980"/>
      <w:bookmarkStart w:id="370" w:name="_Toc11582"/>
      <w:bookmarkStart w:id="371" w:name="_Toc900"/>
      <w:bookmarkStart w:id="372" w:name="_Toc31046"/>
      <w:bookmarkStart w:id="373" w:name="_Toc1717"/>
      <w:bookmarkStart w:id="374" w:name="_Toc3096"/>
      <w:bookmarkStart w:id="375" w:name="_Toc28302"/>
      <w:bookmarkStart w:id="376" w:name="_Toc24311"/>
      <w:bookmarkStart w:id="377" w:name="_Toc466"/>
      <w:bookmarkStart w:id="378" w:name="_Toc11448"/>
      <w:bookmarkStart w:id="379" w:name="_Toc963"/>
      <w:bookmarkStart w:id="380" w:name="_Toc14191"/>
      <w:bookmarkStart w:id="381" w:name="_Toc30526"/>
      <w:bookmarkStart w:id="382" w:name="_Toc28134"/>
      <w:bookmarkStart w:id="383" w:name="_Toc73112402"/>
      <w:bookmarkStart w:id="384" w:name="_Toc15063"/>
      <w:bookmarkStart w:id="385" w:name="_Toc31509"/>
      <w:r>
        <w:rPr>
          <w:rFonts w:hint="eastAsia" w:ascii="仿宋" w:hAnsi="仿宋" w:eastAsia="仿宋" w:cs="仿宋"/>
          <w:b/>
          <w:bCs/>
        </w:rPr>
        <w:t>4</w:t>
      </w:r>
      <w:r>
        <w:rPr>
          <w:rFonts w:hint="eastAsia" w:ascii="仿宋" w:hAnsi="仿宋" w:eastAsia="仿宋" w:cs="仿宋"/>
          <w:b/>
          <w:bCs/>
          <w:lang w:val="en-US" w:eastAsia="zh-CN"/>
        </w:rPr>
        <w:t xml:space="preserve"> </w:t>
      </w:r>
      <w:r>
        <w:rPr>
          <w:rFonts w:hint="eastAsia" w:ascii="仿宋" w:hAnsi="仿宋" w:eastAsia="仿宋" w:cs="仿宋"/>
          <w:b/>
          <w:bCs/>
        </w:rPr>
        <w:t>特别提示</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40A7601A">
      <w:pPr>
        <w:pStyle w:val="16"/>
        <w:snapToGrid w:val="0"/>
        <w:spacing w:line="360" w:lineRule="auto"/>
        <w:ind w:firstLine="480" w:firstLineChars="200"/>
        <w:rPr>
          <w:rFonts w:ascii="仿宋" w:hAnsi="仿宋" w:eastAsia="仿宋" w:cs="仿宋"/>
        </w:rPr>
      </w:pPr>
      <w:r>
        <w:rPr>
          <w:rFonts w:hint="eastAsia" w:ascii="仿宋" w:hAnsi="仿宋" w:eastAsia="仿宋" w:cs="仿宋"/>
        </w:rPr>
        <w:t>4.1</w:t>
      </w:r>
      <w:r>
        <w:rPr>
          <w:rFonts w:hint="eastAsia" w:ascii="仿宋" w:hAnsi="仿宋" w:eastAsia="仿宋" w:cs="仿宋"/>
          <w:lang w:val="en-US" w:eastAsia="zh-CN"/>
        </w:rPr>
        <w:t xml:space="preserve"> </w:t>
      </w:r>
      <w:r>
        <w:rPr>
          <w:rFonts w:hint="eastAsia" w:ascii="仿宋" w:hAnsi="仿宋" w:eastAsia="仿宋" w:cs="仿宋"/>
        </w:rPr>
        <w:t>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4C82787F">
      <w:pPr>
        <w:pStyle w:val="16"/>
        <w:snapToGrid w:val="0"/>
        <w:spacing w:line="360" w:lineRule="auto"/>
        <w:ind w:firstLine="48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 xml:space="preserve"> </w:t>
      </w:r>
      <w:r>
        <w:rPr>
          <w:rFonts w:hint="eastAsia" w:ascii="仿宋" w:hAnsi="仿宋" w:eastAsia="仿宋" w:cs="仿宋"/>
        </w:rPr>
        <w:t>本技术要求所使用的标准、规范等，如与投标方所执行的标准、规范不一致时，应按高于本技术要求所列的标准、规范执行，并在投标文件“技术偏离”中予以说明。</w:t>
      </w:r>
    </w:p>
    <w:p w14:paraId="06455119">
      <w:pPr>
        <w:pStyle w:val="16"/>
        <w:snapToGrid w:val="0"/>
        <w:spacing w:line="360" w:lineRule="auto"/>
        <w:ind w:firstLine="480" w:firstLineChars="200"/>
        <w:rPr>
          <w:rFonts w:ascii="仿宋" w:hAnsi="仿宋" w:eastAsia="仿宋" w:cs="仿宋"/>
        </w:rPr>
      </w:pPr>
      <w:r>
        <w:rPr>
          <w:rFonts w:hint="eastAsia" w:ascii="仿宋" w:hAnsi="仿宋" w:eastAsia="仿宋" w:cs="仿宋"/>
        </w:rPr>
        <w:t>4.3</w:t>
      </w:r>
      <w:r>
        <w:rPr>
          <w:rFonts w:hint="eastAsia" w:ascii="仿宋" w:hAnsi="仿宋" w:eastAsia="仿宋" w:cs="仿宋"/>
          <w:lang w:val="en-US" w:eastAsia="zh-CN"/>
        </w:rPr>
        <w:t xml:space="preserve"> </w:t>
      </w:r>
      <w:r>
        <w:rPr>
          <w:rFonts w:hint="eastAsia" w:ascii="仿宋" w:hAnsi="仿宋" w:eastAsia="仿宋" w:cs="仿宋"/>
        </w:rPr>
        <w:t>投标方认为所供货物（或生产线）必需由招标方配备、解决或提供的其它要求，如设备基础隔振和减振设施、软化水、洁净气源等，均应在投标文件“技术偏离”中予以充分说明。</w:t>
      </w:r>
    </w:p>
    <w:p w14:paraId="69F45C12">
      <w:pPr>
        <w:pStyle w:val="16"/>
        <w:snapToGrid w:val="0"/>
        <w:spacing w:line="360" w:lineRule="auto"/>
        <w:ind w:firstLine="480" w:firstLineChars="200"/>
        <w:rPr>
          <w:rFonts w:ascii="仿宋" w:hAnsi="仿宋" w:eastAsia="仿宋" w:cs="仿宋"/>
        </w:rPr>
      </w:pPr>
      <w:r>
        <w:rPr>
          <w:rFonts w:hint="eastAsia" w:ascii="仿宋" w:hAnsi="仿宋" w:eastAsia="仿宋" w:cs="仿宋"/>
        </w:rPr>
        <w:t>4.4</w:t>
      </w:r>
      <w:r>
        <w:rPr>
          <w:rFonts w:hint="eastAsia" w:ascii="仿宋" w:hAnsi="仿宋" w:eastAsia="仿宋" w:cs="仿宋"/>
          <w:lang w:val="en-US" w:eastAsia="zh-CN"/>
        </w:rPr>
        <w:t xml:space="preserve"> </w:t>
      </w:r>
      <w:r>
        <w:rPr>
          <w:rFonts w:hint="eastAsia" w:ascii="仿宋" w:hAnsi="仿宋" w:eastAsia="仿宋" w:cs="仿宋"/>
        </w:rPr>
        <w:t>投标方须负责在终验收前，在招标方设备现场对投标设备实施电能质量和公用电网谐波检测并出具检测报告。检测工作由投标方负责安排第三方实施（第三方的资质须由招标方认可）。</w:t>
      </w:r>
    </w:p>
    <w:p w14:paraId="3AF7B2BD">
      <w:pPr>
        <w:pStyle w:val="16"/>
        <w:snapToGrid w:val="0"/>
        <w:spacing w:line="360" w:lineRule="auto"/>
        <w:ind w:firstLine="480" w:firstLineChars="200"/>
        <w:rPr>
          <w:rFonts w:ascii="仿宋" w:hAnsi="仿宋" w:eastAsia="仿宋" w:cs="仿宋"/>
        </w:rPr>
      </w:pPr>
      <w:r>
        <w:rPr>
          <w:rFonts w:hint="eastAsia" w:ascii="仿宋" w:hAnsi="仿宋" w:eastAsia="仿宋" w:cs="仿宋"/>
        </w:rPr>
        <w:t>4.5</w:t>
      </w:r>
      <w:r>
        <w:rPr>
          <w:rFonts w:hint="eastAsia" w:ascii="仿宋" w:hAnsi="仿宋" w:eastAsia="仿宋" w:cs="仿宋"/>
          <w:lang w:val="en-US" w:eastAsia="zh-CN"/>
        </w:rPr>
        <w:t xml:space="preserve"> </w:t>
      </w:r>
      <w:r>
        <w:rPr>
          <w:rFonts w:hint="eastAsia" w:ascii="仿宋" w:hAnsi="仿宋" w:eastAsia="仿宋" w:cs="仿宋"/>
        </w:rPr>
        <w:t>投标文件中，针对“特别提示”条款所做的回应，将作为投标方能否中标的重要依据之一。</w:t>
      </w:r>
      <w:bookmarkStart w:id="386" w:name="_Toc133783970"/>
    </w:p>
    <w:p w14:paraId="58F0CDAF">
      <w:pPr>
        <w:pStyle w:val="16"/>
        <w:snapToGrid w:val="0"/>
        <w:spacing w:line="360" w:lineRule="auto"/>
        <w:ind w:firstLine="480" w:firstLineChars="200"/>
        <w:rPr>
          <w:rFonts w:ascii="仿宋" w:hAnsi="仿宋" w:eastAsia="仿宋" w:cs="仿宋"/>
        </w:rPr>
      </w:pPr>
      <w:r>
        <w:rPr>
          <w:rFonts w:hint="eastAsia" w:ascii="仿宋" w:hAnsi="仿宋" w:eastAsia="仿宋" w:cs="仿宋"/>
        </w:rPr>
        <w:t>4.</w:t>
      </w:r>
      <w:r>
        <w:rPr>
          <w:rFonts w:hint="eastAsia" w:ascii="仿宋" w:hAnsi="仿宋" w:eastAsia="仿宋" w:cs="仿宋"/>
          <w:lang w:val="en-US" w:eastAsia="zh-CN"/>
        </w:rPr>
        <w:t xml:space="preserve">6 </w:t>
      </w:r>
      <w:r>
        <w:rPr>
          <w:rFonts w:hint="eastAsia" w:ascii="仿宋" w:hAnsi="仿宋" w:eastAsia="仿宋" w:cs="仿宋"/>
        </w:rPr>
        <w:t>投标方所投货物外观颜色标准按招标方提供的标准或双方书面约定的标准执行。</w:t>
      </w:r>
    </w:p>
    <w:p w14:paraId="2490AE1E">
      <w:pPr>
        <w:adjustRightInd w:val="0"/>
        <w:snapToGrid w:val="0"/>
        <w:spacing w:before="163" w:beforeLines="50" w:after="163" w:afterLines="50" w:line="360" w:lineRule="auto"/>
        <w:jc w:val="center"/>
        <w:outlineLvl w:val="0"/>
        <w:rPr>
          <w:rFonts w:ascii="仿宋" w:hAnsi="仿宋" w:eastAsia="仿宋" w:cs="仿宋"/>
          <w:b/>
          <w:bCs/>
        </w:rPr>
      </w:pPr>
      <w:bookmarkStart w:id="387" w:name="_Toc28745"/>
      <w:bookmarkStart w:id="388" w:name="_Toc16316"/>
      <w:bookmarkStart w:id="389" w:name="_Toc31159"/>
      <w:bookmarkStart w:id="390" w:name="_Toc19812"/>
      <w:bookmarkStart w:id="391" w:name="_Toc17909"/>
      <w:bookmarkStart w:id="392" w:name="_Toc21086"/>
      <w:bookmarkStart w:id="393" w:name="_Toc20841"/>
      <w:bookmarkStart w:id="394" w:name="_Toc73112403"/>
      <w:bookmarkStart w:id="395" w:name="_Toc22156"/>
      <w:bookmarkStart w:id="396" w:name="_Toc26551"/>
      <w:bookmarkStart w:id="397" w:name="_Toc19022"/>
      <w:bookmarkStart w:id="398" w:name="_Toc19805"/>
      <w:bookmarkStart w:id="399" w:name="_Toc16352"/>
      <w:bookmarkStart w:id="400" w:name="_Toc28398"/>
      <w:bookmarkStart w:id="401" w:name="_Toc22347"/>
      <w:bookmarkStart w:id="402" w:name="_Toc24173"/>
      <w:bookmarkStart w:id="403" w:name="_Toc26601"/>
      <w:bookmarkStart w:id="404" w:name="_Toc22662"/>
      <w:bookmarkStart w:id="405" w:name="_Toc4641"/>
      <w:bookmarkStart w:id="406" w:name="_Toc3808"/>
      <w:bookmarkStart w:id="407" w:name="_Toc11725"/>
      <w:bookmarkStart w:id="408" w:name="_Toc32382"/>
      <w:bookmarkStart w:id="409" w:name="_Toc11390"/>
      <w:bookmarkStart w:id="410" w:name="_Toc22516"/>
      <w:bookmarkStart w:id="411" w:name="_Toc10828"/>
      <w:bookmarkStart w:id="412" w:name="_Toc19081"/>
      <w:bookmarkStart w:id="413" w:name="_Toc8892"/>
      <w:bookmarkStart w:id="414" w:name="_Toc20260"/>
      <w:bookmarkStart w:id="415" w:name="_Toc1171"/>
      <w:bookmarkStart w:id="416" w:name="_Toc22710"/>
      <w:bookmarkStart w:id="417" w:name="_Toc1962"/>
      <w:bookmarkStart w:id="418" w:name="_Toc6352"/>
      <w:bookmarkStart w:id="419" w:name="_Toc20994"/>
      <w:bookmarkStart w:id="420" w:name="_Toc27327"/>
      <w:bookmarkStart w:id="421" w:name="_Toc7258"/>
      <w:bookmarkStart w:id="422" w:name="_Toc31816"/>
      <w:bookmarkStart w:id="423" w:name="_Toc13526"/>
      <w:bookmarkStart w:id="424" w:name="_Toc29006"/>
      <w:bookmarkStart w:id="425" w:name="_Toc25915"/>
      <w:bookmarkStart w:id="426" w:name="_Toc1909"/>
      <w:bookmarkStart w:id="427" w:name="_Toc16317"/>
      <w:bookmarkStart w:id="428" w:name="_Toc14583"/>
      <w:bookmarkStart w:id="429" w:name="_Toc30892"/>
      <w:bookmarkStart w:id="430" w:name="_Toc20329"/>
      <w:r>
        <w:rPr>
          <w:rFonts w:hint="eastAsia" w:ascii="仿宋" w:hAnsi="仿宋" w:eastAsia="仿宋" w:cs="仿宋"/>
          <w:b/>
          <w:bCs/>
        </w:rPr>
        <w:t>第三章</w:t>
      </w:r>
      <w:r>
        <w:rPr>
          <w:rFonts w:hint="eastAsia" w:ascii="仿宋" w:hAnsi="仿宋" w:eastAsia="仿宋" w:cs="仿宋"/>
          <w:b/>
          <w:bCs/>
          <w:lang w:val="en-US" w:eastAsia="zh-CN"/>
        </w:rPr>
        <w:t xml:space="preserve"> </w:t>
      </w:r>
      <w:r>
        <w:rPr>
          <w:rFonts w:hint="eastAsia" w:ascii="仿宋" w:hAnsi="仿宋" w:eastAsia="仿宋" w:cs="仿宋"/>
          <w:b/>
          <w:bCs/>
        </w:rPr>
        <w:t>供货范围及供货方式</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E544982">
      <w:pPr>
        <w:pStyle w:val="5"/>
        <w:snapToGrid w:val="0"/>
        <w:spacing w:before="0" w:after="0" w:line="360" w:lineRule="auto"/>
        <w:ind w:left="6" w:firstLine="474"/>
        <w:jc w:val="center"/>
        <w:rPr>
          <w:rFonts w:ascii="仿宋" w:hAnsi="仿宋" w:eastAsia="仿宋" w:cs="仿宋"/>
          <w:b w:val="0"/>
          <w:bCs w:val="0"/>
          <w:sz w:val="24"/>
          <w:szCs w:val="24"/>
        </w:rPr>
      </w:pPr>
      <w:bookmarkStart w:id="431" w:name="_Toc19908"/>
      <w:bookmarkStart w:id="432" w:name="_Toc32716"/>
      <w:bookmarkStart w:id="433" w:name="_Toc73112404"/>
      <w:bookmarkStart w:id="434" w:name="_Toc16027"/>
      <w:bookmarkStart w:id="435" w:name="_Toc6864"/>
      <w:bookmarkStart w:id="436" w:name="_Toc27567"/>
      <w:bookmarkStart w:id="437" w:name="_Toc19860"/>
      <w:bookmarkStart w:id="438" w:name="_Toc29751"/>
      <w:bookmarkStart w:id="439" w:name="_Toc16351"/>
      <w:bookmarkStart w:id="440" w:name="_Toc6219"/>
      <w:bookmarkStart w:id="441" w:name="_Toc32542"/>
      <w:bookmarkStart w:id="442" w:name="_Toc20721"/>
      <w:bookmarkStart w:id="443" w:name="_Toc17404"/>
      <w:bookmarkStart w:id="444" w:name="_Toc19111"/>
      <w:bookmarkStart w:id="445" w:name="_Toc20066"/>
      <w:bookmarkStart w:id="446" w:name="_Toc20301"/>
      <w:bookmarkStart w:id="447" w:name="_Toc10323"/>
      <w:bookmarkStart w:id="448" w:name="_Toc11227"/>
      <w:bookmarkStart w:id="449" w:name="_Toc27831"/>
      <w:bookmarkStart w:id="450" w:name="_Toc5052"/>
      <w:bookmarkStart w:id="451" w:name="_Toc4896"/>
      <w:bookmarkStart w:id="452" w:name="_Toc2288"/>
      <w:bookmarkStart w:id="453" w:name="_Toc8963"/>
      <w:bookmarkStart w:id="454" w:name="_Toc13578"/>
      <w:bookmarkStart w:id="455" w:name="_Toc2127"/>
      <w:bookmarkStart w:id="456" w:name="_Toc32741"/>
      <w:bookmarkStart w:id="457" w:name="_Toc32286"/>
      <w:bookmarkStart w:id="458" w:name="_Toc9580"/>
      <w:bookmarkStart w:id="459" w:name="_Toc5032"/>
      <w:bookmarkStart w:id="460" w:name="_Toc3639"/>
      <w:bookmarkStart w:id="461" w:name="_Toc8238"/>
      <w:bookmarkStart w:id="462" w:name="_Toc3358"/>
      <w:bookmarkStart w:id="463" w:name="_Toc9994"/>
      <w:bookmarkStart w:id="464" w:name="_Toc11979"/>
      <w:bookmarkStart w:id="465" w:name="_Toc12581"/>
      <w:bookmarkStart w:id="466" w:name="_Toc969"/>
      <w:bookmarkStart w:id="467" w:name="_Toc28344"/>
      <w:bookmarkStart w:id="468" w:name="_Toc680"/>
      <w:bookmarkStart w:id="469" w:name="_Toc9571"/>
      <w:bookmarkStart w:id="470" w:name="_Toc18238"/>
      <w:bookmarkStart w:id="471" w:name="_Toc14383"/>
      <w:bookmarkStart w:id="472" w:name="_Toc19155"/>
      <w:bookmarkStart w:id="473" w:name="_Toc133783971"/>
      <w:bookmarkStart w:id="474" w:name="_Toc4032"/>
      <w:bookmarkStart w:id="475" w:name="_Toc32750"/>
      <w:bookmarkStart w:id="476" w:name="_Toc31722"/>
      <w:bookmarkStart w:id="477" w:name="_Toc25354"/>
      <w:bookmarkStart w:id="478" w:name="_Toc5131"/>
      <w:r>
        <w:rPr>
          <w:rFonts w:hint="eastAsia" w:ascii="仿宋" w:hAnsi="仿宋" w:eastAsia="仿宋" w:cs="仿宋"/>
          <w:b w:val="0"/>
          <w:bCs w:val="0"/>
          <w:sz w:val="24"/>
          <w:szCs w:val="24"/>
        </w:rPr>
        <w:t>第一节</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供货范围</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8B15EEC">
      <w:pPr>
        <w:snapToGrid w:val="0"/>
        <w:spacing w:line="360" w:lineRule="auto"/>
        <w:ind w:left="480"/>
        <w:outlineLvl w:val="2"/>
        <w:rPr>
          <w:rFonts w:ascii="仿宋" w:hAnsi="仿宋" w:eastAsia="仿宋" w:cs="仿宋"/>
          <w:b/>
          <w:bCs/>
        </w:rPr>
      </w:pPr>
      <w:bookmarkStart w:id="479" w:name="_Toc4850"/>
      <w:bookmarkStart w:id="480" w:name="_Toc18228"/>
      <w:bookmarkStart w:id="481" w:name="_Toc6385"/>
      <w:bookmarkStart w:id="482" w:name="_Toc21071"/>
      <w:bookmarkStart w:id="483" w:name="_Toc9769"/>
      <w:bookmarkStart w:id="484" w:name="_Toc73112405"/>
      <w:bookmarkStart w:id="485" w:name="_Toc17608"/>
      <w:bookmarkStart w:id="486" w:name="_Toc14280"/>
      <w:bookmarkStart w:id="487" w:name="_Toc28468"/>
      <w:bookmarkStart w:id="488" w:name="_Toc17029"/>
      <w:bookmarkStart w:id="489" w:name="_Toc272"/>
      <w:bookmarkStart w:id="490" w:name="_Toc13760"/>
      <w:bookmarkStart w:id="491" w:name="_Toc15878"/>
      <w:bookmarkStart w:id="492" w:name="_Toc18305"/>
      <w:bookmarkStart w:id="493" w:name="_Toc14137"/>
      <w:bookmarkStart w:id="494" w:name="_Toc5149"/>
      <w:bookmarkStart w:id="495" w:name="_Toc17678"/>
      <w:bookmarkStart w:id="496" w:name="_Toc25761"/>
      <w:bookmarkStart w:id="497" w:name="_Toc4815"/>
      <w:bookmarkStart w:id="498" w:name="_Toc29417"/>
      <w:r>
        <w:rPr>
          <w:rFonts w:hint="eastAsia" w:ascii="仿宋" w:hAnsi="仿宋" w:eastAsia="仿宋" w:cs="仿宋"/>
          <w:b/>
          <w:bCs/>
        </w:rPr>
        <w:t>1主要供货范围</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2BB436B6">
      <w:pPr>
        <w:pStyle w:val="16"/>
        <w:snapToGrid w:val="0"/>
        <w:spacing w:line="360" w:lineRule="auto"/>
        <w:ind w:left="6" w:firstLine="474" w:firstLineChars="0"/>
        <w:rPr>
          <w:rFonts w:ascii="仿宋" w:hAnsi="仿宋" w:eastAsia="仿宋" w:cs="仿宋"/>
        </w:rPr>
      </w:pPr>
      <w:r>
        <w:rPr>
          <w:rFonts w:hint="eastAsia" w:ascii="仿宋" w:hAnsi="仿宋" w:eastAsia="仿宋" w:cs="仿宋"/>
        </w:rPr>
        <w:t>1.1</w:t>
      </w:r>
      <w:r>
        <w:rPr>
          <w:rFonts w:hint="eastAsia" w:ascii="仿宋" w:hAnsi="仿宋" w:eastAsia="仿宋" w:cs="仿宋"/>
          <w:lang w:val="en-US" w:eastAsia="zh-CN"/>
        </w:rPr>
        <w:t xml:space="preserve"> </w:t>
      </w:r>
      <w:r>
        <w:rPr>
          <w:rFonts w:hint="eastAsia" w:ascii="仿宋" w:hAnsi="仿宋" w:eastAsia="仿宋" w:cs="仿宋"/>
        </w:rPr>
        <w:t>招标方只提供所需厂房、货物（或生产线）的基本砼基础，如不满足项目需求，由投标方负责进行建设。</w:t>
      </w:r>
    </w:p>
    <w:p w14:paraId="575C0FEE">
      <w:pPr>
        <w:pStyle w:val="16"/>
        <w:snapToGrid w:val="0"/>
        <w:spacing w:line="360" w:lineRule="auto"/>
        <w:ind w:left="6" w:firstLine="474" w:firstLineChars="0"/>
        <w:rPr>
          <w:rFonts w:ascii="仿宋" w:hAnsi="仿宋" w:eastAsia="仿宋" w:cs="仿宋"/>
        </w:rPr>
      </w:pPr>
      <w:r>
        <w:rPr>
          <w:rFonts w:hint="eastAsia" w:ascii="仿宋" w:hAnsi="仿宋" w:eastAsia="仿宋" w:cs="仿宋"/>
        </w:rPr>
        <w:t>1.2</w:t>
      </w:r>
      <w:r>
        <w:rPr>
          <w:rFonts w:hint="eastAsia" w:ascii="仿宋" w:hAnsi="仿宋" w:eastAsia="仿宋" w:cs="仿宋"/>
          <w:lang w:val="en-US" w:eastAsia="zh-CN"/>
        </w:rPr>
        <w:t xml:space="preserve"> </w:t>
      </w:r>
      <w:r>
        <w:rPr>
          <w:rFonts w:hint="eastAsia" w:ascii="仿宋" w:hAnsi="仿宋" w:eastAsia="仿宋" w:cs="仿宋"/>
        </w:rPr>
        <w:t>招标方只负责提供符合本技术标书中“采购货物概况”和“使用环境”章节所列明品质的电力、自来水、压缩空气、蒸汽、天然气（或煤气）管线至车间接口,投标方负责从车间接口到项目系统的对接。</w:t>
      </w:r>
    </w:p>
    <w:p w14:paraId="0F5CD262">
      <w:pPr>
        <w:pStyle w:val="16"/>
        <w:snapToGrid w:val="0"/>
        <w:spacing w:line="360" w:lineRule="auto"/>
        <w:ind w:left="6" w:firstLine="474" w:firstLineChars="0"/>
        <w:rPr>
          <w:rFonts w:ascii="仿宋" w:hAnsi="仿宋" w:eastAsia="仿宋" w:cs="仿宋"/>
        </w:rPr>
      </w:pPr>
      <w:r>
        <w:rPr>
          <w:rFonts w:hint="eastAsia" w:ascii="仿宋" w:hAnsi="仿宋" w:eastAsia="仿宋" w:cs="仿宋"/>
        </w:rPr>
        <w:t>1.3</w:t>
      </w:r>
      <w:r>
        <w:rPr>
          <w:rFonts w:hint="eastAsia" w:ascii="仿宋" w:hAnsi="仿宋" w:eastAsia="仿宋" w:cs="仿宋"/>
          <w:lang w:val="en-US" w:eastAsia="zh-CN"/>
        </w:rPr>
        <w:t xml:space="preserve"> </w:t>
      </w:r>
      <w:r>
        <w:rPr>
          <w:rFonts w:hint="eastAsia" w:ascii="仿宋" w:hAnsi="仿宋" w:eastAsia="仿宋" w:cs="仿宋"/>
        </w:rPr>
        <w:t>投标方应提供包括货物（或生产线）正常运行所必需的全套连线设备、材料等；如：联接法兰外端面（含联接螺栓）之内的、电气系统接口压线板（插座等）之内的设备、材料等；</w:t>
      </w:r>
    </w:p>
    <w:p w14:paraId="081CE861">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rPr>
        <w:t>1.4</w:t>
      </w:r>
      <w:r>
        <w:rPr>
          <w:rFonts w:hint="eastAsia" w:ascii="仿宋" w:hAnsi="仿宋" w:eastAsia="仿宋" w:cs="仿宋"/>
          <w:lang w:val="en-US" w:eastAsia="zh-CN"/>
        </w:rPr>
        <w:t xml:space="preserve"> </w:t>
      </w:r>
      <w:r>
        <w:rPr>
          <w:rFonts w:hint="eastAsia" w:ascii="仿宋" w:hAnsi="仿宋" w:eastAsia="仿宋" w:cs="仿宋"/>
        </w:rPr>
        <w:t>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799EC26F">
      <w:pPr>
        <w:pStyle w:val="16"/>
        <w:snapToGrid w:val="0"/>
        <w:spacing w:line="360" w:lineRule="auto"/>
        <w:ind w:left="6" w:firstLine="474" w:firstLineChars="0"/>
        <w:rPr>
          <w:rFonts w:ascii="仿宋" w:hAnsi="仿宋" w:eastAsia="仿宋" w:cs="仿宋"/>
        </w:rPr>
      </w:pPr>
      <w:r>
        <w:rPr>
          <w:rFonts w:hint="eastAsia" w:ascii="仿宋" w:hAnsi="仿宋" w:eastAsia="仿宋" w:cs="仿宋"/>
          <w:color w:val="auto"/>
          <w:highlight w:val="none"/>
        </w:rPr>
        <w:t>1.5</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投标方应提供包括为达到环保、消防和</w:t>
      </w:r>
      <w:r>
        <w:rPr>
          <w:rFonts w:hint="eastAsia" w:ascii="仿宋" w:hAnsi="仿宋" w:eastAsia="仿宋" w:cs="仿宋"/>
          <w:color w:val="auto"/>
          <w:highlight w:val="none"/>
          <w:lang w:eastAsia="zh-CN"/>
        </w:rPr>
        <w:t>职业健康</w:t>
      </w:r>
      <w:r>
        <w:rPr>
          <w:rFonts w:hint="eastAsia" w:ascii="仿宋" w:hAnsi="仿宋" w:eastAsia="仿宋" w:cs="仿宋"/>
          <w:color w:val="auto"/>
          <w:highlight w:val="none"/>
        </w:rPr>
        <w:t>等国家法律、法规和标准、规范要求的除尘系统、通风系统以及近距离照明系统等配</w:t>
      </w:r>
      <w:r>
        <w:rPr>
          <w:rFonts w:hint="eastAsia" w:ascii="仿宋" w:hAnsi="仿宋" w:eastAsia="仿宋" w:cs="仿宋"/>
        </w:rPr>
        <w:t>套的设备、材料等。如投标方难以提供或无优势提供，则应当在投标文件的技术偏离条款中，予以详细说明并注明投标报价未包含该部分的货值。</w:t>
      </w:r>
    </w:p>
    <w:p w14:paraId="6DE795A6">
      <w:pPr>
        <w:pStyle w:val="16"/>
        <w:snapToGrid w:val="0"/>
        <w:spacing w:line="360" w:lineRule="auto"/>
        <w:ind w:left="6" w:firstLine="474" w:firstLineChars="0"/>
        <w:rPr>
          <w:rFonts w:ascii="仿宋" w:hAnsi="仿宋" w:eastAsia="仿宋" w:cs="仿宋"/>
        </w:rPr>
      </w:pPr>
      <w:r>
        <w:rPr>
          <w:rFonts w:hint="eastAsia" w:ascii="仿宋" w:hAnsi="仿宋" w:eastAsia="仿宋" w:cs="仿宋"/>
        </w:rPr>
        <w:t>1.6</w:t>
      </w:r>
      <w:r>
        <w:rPr>
          <w:rFonts w:hint="eastAsia" w:ascii="仿宋" w:hAnsi="仿宋" w:eastAsia="仿宋" w:cs="仿宋"/>
          <w:lang w:val="en-US" w:eastAsia="zh-CN"/>
        </w:rPr>
        <w:t xml:space="preserve"> </w:t>
      </w:r>
      <w:r>
        <w:rPr>
          <w:rFonts w:hint="eastAsia" w:ascii="仿宋" w:hAnsi="仿宋" w:eastAsia="仿宋" w:cs="仿宋"/>
        </w:rPr>
        <w:t>投标方应提供包括为保证货物（或生产线）自身正常运行所必需的、适应使用地点条件的通风、冷却、降温系统等。</w:t>
      </w:r>
    </w:p>
    <w:p w14:paraId="0F4CB7B6">
      <w:pPr>
        <w:pStyle w:val="16"/>
        <w:snapToGrid w:val="0"/>
        <w:spacing w:line="360" w:lineRule="auto"/>
        <w:ind w:left="6" w:firstLine="474" w:firstLineChars="0"/>
        <w:rPr>
          <w:rFonts w:ascii="仿宋" w:hAnsi="仿宋" w:eastAsia="仿宋" w:cs="仿宋"/>
        </w:rPr>
      </w:pPr>
      <w:r>
        <w:rPr>
          <w:rFonts w:hint="eastAsia" w:ascii="仿宋" w:hAnsi="仿宋" w:eastAsia="仿宋" w:cs="仿宋"/>
        </w:rPr>
        <w:t>1.7</w:t>
      </w:r>
      <w:r>
        <w:rPr>
          <w:rFonts w:hint="eastAsia" w:ascii="仿宋" w:hAnsi="仿宋" w:eastAsia="仿宋" w:cs="仿宋"/>
          <w:lang w:val="en-US" w:eastAsia="zh-CN"/>
        </w:rPr>
        <w:t xml:space="preserve"> </w:t>
      </w:r>
      <w:r>
        <w:rPr>
          <w:rFonts w:hint="eastAsia" w:ascii="仿宋" w:hAnsi="仿宋" w:eastAsia="仿宋" w:cs="仿宋"/>
        </w:rPr>
        <w:t>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2C01979D">
      <w:pPr>
        <w:pStyle w:val="16"/>
        <w:snapToGrid w:val="0"/>
        <w:spacing w:line="360" w:lineRule="auto"/>
        <w:ind w:left="6" w:firstLine="474" w:firstLineChars="0"/>
        <w:rPr>
          <w:rFonts w:ascii="仿宋" w:hAnsi="仿宋" w:eastAsia="仿宋" w:cs="仿宋"/>
        </w:rPr>
      </w:pPr>
      <w:r>
        <w:rPr>
          <w:rFonts w:hint="eastAsia" w:ascii="仿宋" w:hAnsi="仿宋" w:eastAsia="仿宋" w:cs="仿宋"/>
        </w:rPr>
        <w:t>1.8</w:t>
      </w:r>
      <w:r>
        <w:rPr>
          <w:rFonts w:hint="eastAsia" w:ascii="仿宋" w:hAnsi="仿宋" w:eastAsia="仿宋" w:cs="仿宋"/>
          <w:lang w:val="en-US" w:eastAsia="zh-CN"/>
        </w:rPr>
        <w:t xml:space="preserve"> </w:t>
      </w:r>
      <w:r>
        <w:rPr>
          <w:rFonts w:hint="eastAsia" w:ascii="仿宋" w:hAnsi="仿宋" w:eastAsia="仿宋" w:cs="仿宋"/>
        </w:rPr>
        <w:t>投标方应提供货物（或生产线）维修所必需的专用工具，并在投标报价部分说明数量。</w:t>
      </w:r>
    </w:p>
    <w:p w14:paraId="1DD48CA2">
      <w:pPr>
        <w:snapToGrid w:val="0"/>
        <w:spacing w:line="360" w:lineRule="auto"/>
        <w:ind w:left="480"/>
        <w:outlineLvl w:val="2"/>
        <w:rPr>
          <w:rFonts w:ascii="仿宋" w:hAnsi="仿宋" w:eastAsia="仿宋" w:cs="仿宋"/>
          <w:b/>
          <w:bCs/>
        </w:rPr>
      </w:pPr>
      <w:bookmarkStart w:id="499" w:name="_Toc6916"/>
      <w:bookmarkStart w:id="500" w:name="_Toc434"/>
      <w:bookmarkStart w:id="501" w:name="_Toc19187"/>
      <w:bookmarkStart w:id="502" w:name="_Toc10027"/>
      <w:bookmarkStart w:id="503" w:name="_Toc18018"/>
      <w:bookmarkStart w:id="504" w:name="_Toc2744"/>
      <w:bookmarkStart w:id="505" w:name="_Toc11531"/>
      <w:bookmarkStart w:id="506" w:name="_Toc20059"/>
      <w:bookmarkStart w:id="507" w:name="_Toc31074"/>
      <w:bookmarkStart w:id="508" w:name="_Toc29389"/>
      <w:bookmarkStart w:id="509" w:name="_Toc25570"/>
      <w:bookmarkStart w:id="510" w:name="_Toc3726"/>
      <w:bookmarkStart w:id="511" w:name="_Toc8330"/>
      <w:bookmarkStart w:id="512" w:name="_Toc30004"/>
      <w:bookmarkStart w:id="513" w:name="_Toc31685"/>
      <w:bookmarkStart w:id="514" w:name="_Toc5521"/>
      <w:bookmarkStart w:id="515" w:name="_Toc73112406"/>
      <w:bookmarkStart w:id="516" w:name="_Toc30087"/>
      <w:bookmarkStart w:id="517" w:name="_Toc31723"/>
      <w:bookmarkStart w:id="518" w:name="_Toc10211"/>
      <w:r>
        <w:rPr>
          <w:rFonts w:hint="eastAsia" w:ascii="仿宋" w:hAnsi="仿宋" w:eastAsia="仿宋" w:cs="仿宋"/>
          <w:b/>
          <w:bCs/>
        </w:rPr>
        <w:t>2备品备件、易损件和专用耗材供货范围</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08ABEF6D">
      <w:pPr>
        <w:pStyle w:val="16"/>
        <w:snapToGrid w:val="0"/>
        <w:spacing w:line="360" w:lineRule="auto"/>
        <w:ind w:left="6" w:firstLine="474" w:firstLineChars="0"/>
        <w:rPr>
          <w:rFonts w:hint="eastAsia" w:ascii="仿宋" w:hAnsi="仿宋" w:eastAsia="仿宋" w:cs="仿宋"/>
          <w:lang w:val="en-US" w:eastAsia="zh-CN"/>
        </w:rPr>
      </w:pPr>
      <w:r>
        <w:rPr>
          <w:rFonts w:hint="eastAsia" w:ascii="仿宋" w:hAnsi="仿宋" w:eastAsia="仿宋" w:cs="仿宋"/>
        </w:rPr>
        <w:t>2.1</w:t>
      </w:r>
      <w:r>
        <w:rPr>
          <w:rFonts w:hint="eastAsia" w:ascii="仿宋" w:hAnsi="仿宋" w:eastAsia="仿宋" w:cs="仿宋"/>
          <w:lang w:val="en-US" w:eastAsia="zh-CN"/>
        </w:rPr>
        <w:t xml:space="preserve"> </w:t>
      </w:r>
      <w:r>
        <w:rPr>
          <w:rFonts w:hint="eastAsia" w:ascii="仿宋" w:hAnsi="仿宋" w:eastAsia="仿宋" w:cs="仿宋"/>
        </w:rPr>
        <w:t>招标方招标文件所指备品备件、易损件和专用耗材，是招标方为保证货物（或生产线）质保期之后正常运行一年所自备自用的备品备件、易损件和专用耗材。</w:t>
      </w:r>
    </w:p>
    <w:p w14:paraId="35752A04">
      <w:pPr>
        <w:pStyle w:val="16"/>
        <w:snapToGrid w:val="0"/>
        <w:spacing w:line="360" w:lineRule="auto"/>
        <w:ind w:left="6" w:firstLine="474" w:firstLineChars="0"/>
        <w:rPr>
          <w:rFonts w:ascii="仿宋" w:hAnsi="仿宋" w:eastAsia="仿宋" w:cs="仿宋"/>
        </w:rPr>
      </w:pPr>
      <w:r>
        <w:rPr>
          <w:rFonts w:hint="eastAsia" w:ascii="仿宋" w:hAnsi="仿宋" w:eastAsia="仿宋" w:cs="仿宋"/>
        </w:rPr>
        <w:t>2.2</w:t>
      </w:r>
      <w:r>
        <w:rPr>
          <w:rFonts w:hint="eastAsia" w:ascii="仿宋" w:hAnsi="仿宋" w:eastAsia="仿宋" w:cs="仿宋"/>
          <w:lang w:val="en-US" w:eastAsia="zh-CN"/>
        </w:rPr>
        <w:t xml:space="preserve"> </w:t>
      </w:r>
      <w:r>
        <w:rPr>
          <w:rFonts w:hint="eastAsia" w:ascii="仿宋" w:hAnsi="仿宋" w:eastAsia="仿宋" w:cs="仿宋"/>
        </w:rPr>
        <w:t>投标方按照招标文件要求提供、或投标方认为招标方应当储备的备品备件、易损件和专用耗材，投标方应当在投标报价部分分别说明所列备品备件、易损件和专用耗材的使用时间。</w:t>
      </w:r>
    </w:p>
    <w:p w14:paraId="1CA9F0F1">
      <w:pPr>
        <w:pStyle w:val="16"/>
        <w:snapToGrid w:val="0"/>
        <w:spacing w:line="360" w:lineRule="auto"/>
        <w:ind w:left="6" w:firstLine="474" w:firstLineChars="0"/>
        <w:rPr>
          <w:rFonts w:ascii="仿宋" w:hAnsi="仿宋" w:eastAsia="仿宋" w:cs="仿宋"/>
        </w:rPr>
      </w:pPr>
      <w:r>
        <w:rPr>
          <w:rFonts w:hint="eastAsia" w:ascii="仿宋" w:hAnsi="仿宋" w:eastAsia="仿宋" w:cs="仿宋"/>
        </w:rPr>
        <w:t>2.3</w:t>
      </w:r>
      <w:r>
        <w:rPr>
          <w:rFonts w:hint="eastAsia" w:ascii="仿宋" w:hAnsi="仿宋" w:eastAsia="仿宋" w:cs="仿宋"/>
          <w:lang w:val="en-US" w:eastAsia="zh-CN"/>
        </w:rPr>
        <w:t xml:space="preserve"> </w:t>
      </w:r>
      <w:r>
        <w:rPr>
          <w:rFonts w:hint="eastAsia" w:ascii="仿宋" w:hAnsi="仿宋" w:eastAsia="仿宋" w:cs="仿宋"/>
        </w:rPr>
        <w:t>投标方应提供易损件和专用耗材的制造图纸及其技术要求等资料。</w:t>
      </w:r>
    </w:p>
    <w:p w14:paraId="064E5359">
      <w:pPr>
        <w:pStyle w:val="16"/>
        <w:snapToGrid w:val="0"/>
        <w:spacing w:line="360" w:lineRule="auto"/>
        <w:ind w:left="6" w:firstLine="474" w:firstLineChars="0"/>
        <w:rPr>
          <w:rFonts w:ascii="仿宋" w:hAnsi="仿宋" w:eastAsia="仿宋" w:cs="仿宋"/>
        </w:rPr>
      </w:pPr>
      <w:r>
        <w:rPr>
          <w:rFonts w:hint="eastAsia" w:ascii="仿宋" w:hAnsi="仿宋" w:eastAsia="仿宋" w:cs="仿宋"/>
        </w:rPr>
        <w:t>2.4</w:t>
      </w:r>
      <w:r>
        <w:rPr>
          <w:rFonts w:hint="eastAsia" w:ascii="仿宋" w:hAnsi="仿宋" w:eastAsia="仿宋" w:cs="仿宋"/>
          <w:lang w:val="en-US" w:eastAsia="zh-CN"/>
        </w:rPr>
        <w:t xml:space="preserve"> </w:t>
      </w:r>
      <w:r>
        <w:rPr>
          <w:rFonts w:hint="eastAsia" w:ascii="仿宋" w:hAnsi="仿宋" w:eastAsia="仿宋" w:cs="仿宋"/>
        </w:rPr>
        <w:t>投标文件中，应当有备品备件、易损件和专</w:t>
      </w:r>
      <w:r>
        <w:rPr>
          <w:rFonts w:hint="eastAsia" w:ascii="仿宋" w:hAnsi="仿宋" w:eastAsia="仿宋" w:cs="仿宋"/>
          <w:highlight w:val="none"/>
        </w:rPr>
        <w:t>用耗材的详细清单（内容包括名称、型号、规格、单位、数量、</w:t>
      </w:r>
      <w:r>
        <w:rPr>
          <w:rFonts w:hint="eastAsia" w:ascii="仿宋" w:hAnsi="仿宋" w:eastAsia="仿宋" w:cs="仿宋"/>
          <w:highlight w:val="none"/>
          <w:lang w:val="en-US" w:eastAsia="zh-CN"/>
        </w:rPr>
        <w:t>品牌、</w:t>
      </w:r>
      <w:r>
        <w:rPr>
          <w:rFonts w:hint="eastAsia" w:ascii="仿宋" w:hAnsi="仿宋" w:eastAsia="仿宋" w:cs="仿宋"/>
          <w:highlight w:val="none"/>
        </w:rPr>
        <w:t>生产厂家、单价、总价</w:t>
      </w:r>
      <w:r>
        <w:rPr>
          <w:rFonts w:hint="eastAsia" w:ascii="仿宋" w:hAnsi="仿宋" w:eastAsia="仿宋" w:cs="仿宋"/>
          <w:highlight w:val="none"/>
          <w:lang w:eastAsia="zh-CN"/>
        </w:rPr>
        <w:t>、</w:t>
      </w:r>
      <w:r>
        <w:rPr>
          <w:rFonts w:hint="eastAsia" w:ascii="仿宋" w:hAnsi="仿宋" w:eastAsia="仿宋" w:cs="仿宋"/>
          <w:highlight w:val="none"/>
          <w:lang w:val="en-US" w:eastAsia="zh-CN"/>
        </w:rPr>
        <w:t>重汽折扣价</w:t>
      </w:r>
      <w:r>
        <w:rPr>
          <w:rFonts w:hint="eastAsia" w:ascii="仿宋" w:hAnsi="仿宋" w:eastAsia="仿宋" w:cs="仿宋"/>
          <w:highlight w:val="none"/>
        </w:rPr>
        <w:t>等）。机床和机器人的主要参数、配置表、关键件和进口外购明</w:t>
      </w:r>
      <w:r>
        <w:rPr>
          <w:rFonts w:hint="eastAsia" w:ascii="仿宋" w:hAnsi="仿宋" w:eastAsia="仿宋" w:cs="仿宋"/>
        </w:rPr>
        <w:t>细表、随机附明细表、技术文件明细表等。</w:t>
      </w:r>
    </w:p>
    <w:p w14:paraId="2DE9A691">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rPr>
        <w:t>2.5</w:t>
      </w:r>
      <w:r>
        <w:rPr>
          <w:rFonts w:hint="eastAsia" w:ascii="仿宋" w:hAnsi="仿宋" w:eastAsia="仿宋" w:cs="仿宋"/>
          <w:lang w:val="en-US" w:eastAsia="zh-CN"/>
        </w:rPr>
        <w:t xml:space="preserve"> </w:t>
      </w:r>
      <w:r>
        <w:rPr>
          <w:rFonts w:hint="eastAsia" w:ascii="仿宋" w:hAnsi="仿宋" w:eastAsia="仿宋" w:cs="仿宋"/>
        </w:rPr>
        <w:t>备品备件、易损件和专用耗材的费用应分类单列，并计入投标总报价之内。</w:t>
      </w:r>
    </w:p>
    <w:p w14:paraId="2829E1CD">
      <w:pPr>
        <w:snapToGrid w:val="0"/>
        <w:spacing w:line="360" w:lineRule="auto"/>
        <w:ind w:left="480"/>
        <w:outlineLvl w:val="2"/>
        <w:rPr>
          <w:rFonts w:ascii="仿宋" w:hAnsi="仿宋" w:eastAsia="仿宋" w:cs="仿宋"/>
          <w:b/>
          <w:bCs/>
          <w:highlight w:val="none"/>
        </w:rPr>
      </w:pPr>
      <w:bookmarkStart w:id="519" w:name="_Toc73112407"/>
      <w:bookmarkStart w:id="520" w:name="_Toc253"/>
      <w:bookmarkStart w:id="521" w:name="_Toc29526"/>
      <w:bookmarkStart w:id="522" w:name="_Toc21438"/>
      <w:bookmarkStart w:id="523" w:name="_Toc14387"/>
      <w:bookmarkStart w:id="524" w:name="_Toc30185"/>
      <w:bookmarkStart w:id="525" w:name="_Toc29028"/>
      <w:bookmarkStart w:id="526" w:name="_Toc30333"/>
      <w:bookmarkStart w:id="527" w:name="_Toc27176"/>
      <w:bookmarkStart w:id="528" w:name="_Toc13573"/>
      <w:bookmarkStart w:id="529" w:name="_Toc6474"/>
      <w:bookmarkStart w:id="530" w:name="_Toc8994"/>
      <w:bookmarkStart w:id="531" w:name="_Toc19082"/>
      <w:bookmarkStart w:id="532" w:name="_Toc11396"/>
      <w:bookmarkStart w:id="533" w:name="_Toc23668"/>
      <w:bookmarkStart w:id="534" w:name="_Toc8769"/>
      <w:bookmarkStart w:id="535" w:name="_Toc29622"/>
      <w:bookmarkStart w:id="536" w:name="_Toc30460"/>
      <w:bookmarkStart w:id="537" w:name="_Toc20956"/>
      <w:bookmarkStart w:id="538" w:name="_Toc26974"/>
      <w:r>
        <w:rPr>
          <w:rFonts w:hint="eastAsia" w:ascii="仿宋" w:hAnsi="仿宋" w:eastAsia="仿宋" w:cs="仿宋"/>
          <w:b/>
          <w:bCs/>
          <w:highlight w:val="none"/>
        </w:rPr>
        <w:t>3技术资料供货范围</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48879912">
      <w:pPr>
        <w:pStyle w:val="16"/>
        <w:snapToGrid w:val="0"/>
        <w:spacing w:line="360" w:lineRule="auto"/>
        <w:ind w:left="6" w:firstLine="474" w:firstLineChars="0"/>
        <w:rPr>
          <w:rFonts w:ascii="仿宋" w:hAnsi="仿宋" w:eastAsia="仿宋" w:cs="仿宋"/>
        </w:rPr>
      </w:pPr>
      <w:bookmarkStart w:id="539" w:name="_Toc133783972"/>
      <w:r>
        <w:rPr>
          <w:rFonts w:hint="eastAsia" w:ascii="仿宋" w:hAnsi="仿宋" w:eastAsia="仿宋" w:cs="仿宋"/>
          <w:highlight w:val="none"/>
        </w:rPr>
        <w:t>技术资料（进口设备</w:t>
      </w:r>
      <w:r>
        <w:rPr>
          <w:rFonts w:hint="eastAsia" w:ascii="仿宋" w:hAnsi="仿宋" w:eastAsia="仿宋" w:cs="仿宋"/>
        </w:rPr>
        <w:t>要求中英文对照）包括：</w:t>
      </w:r>
    </w:p>
    <w:p w14:paraId="7D2D939F">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w:t>
      </w:r>
      <w:r>
        <w:rPr>
          <w:rFonts w:hint="eastAsia" w:ascii="仿宋" w:hAnsi="仿宋" w:eastAsia="仿宋" w:cs="仿宋"/>
          <w:lang w:val="en-US" w:eastAsia="zh-CN"/>
        </w:rPr>
        <w:t xml:space="preserve"> </w:t>
      </w:r>
      <w:r>
        <w:rPr>
          <w:rFonts w:hint="eastAsia" w:ascii="仿宋" w:hAnsi="仿宋" w:eastAsia="仿宋" w:cs="仿宋"/>
        </w:rPr>
        <w:t>设备安全操作规程和使用手册；</w:t>
      </w:r>
    </w:p>
    <w:p w14:paraId="5E39E503">
      <w:pPr>
        <w:pStyle w:val="16"/>
        <w:snapToGrid w:val="0"/>
        <w:spacing w:line="360" w:lineRule="auto"/>
        <w:ind w:left="6" w:firstLine="474" w:firstLineChars="0"/>
        <w:rPr>
          <w:rFonts w:ascii="仿宋" w:hAnsi="仿宋" w:eastAsia="仿宋" w:cs="仿宋"/>
        </w:rPr>
      </w:pPr>
      <w:r>
        <w:rPr>
          <w:rFonts w:hint="eastAsia" w:ascii="仿宋" w:hAnsi="仿宋" w:eastAsia="仿宋" w:cs="仿宋"/>
        </w:rPr>
        <w:t>3.2</w:t>
      </w:r>
      <w:r>
        <w:rPr>
          <w:rFonts w:hint="eastAsia" w:ascii="仿宋" w:hAnsi="仿宋" w:eastAsia="仿宋" w:cs="仿宋"/>
          <w:lang w:val="en-US" w:eastAsia="zh-CN"/>
        </w:rPr>
        <w:t xml:space="preserve"> </w:t>
      </w:r>
      <w:r>
        <w:rPr>
          <w:rFonts w:hint="eastAsia" w:ascii="仿宋" w:hAnsi="仿宋" w:eastAsia="仿宋" w:cs="仿宋"/>
        </w:rPr>
        <w:t>PLC编程手册和使用手册；</w:t>
      </w:r>
    </w:p>
    <w:p w14:paraId="00DA9DF0">
      <w:pPr>
        <w:pStyle w:val="16"/>
        <w:snapToGrid w:val="0"/>
        <w:spacing w:line="360" w:lineRule="auto"/>
        <w:ind w:left="6" w:firstLine="474" w:firstLineChars="0"/>
        <w:rPr>
          <w:rFonts w:ascii="仿宋" w:hAnsi="仿宋" w:eastAsia="仿宋" w:cs="仿宋"/>
        </w:rPr>
      </w:pPr>
      <w:r>
        <w:rPr>
          <w:rFonts w:hint="eastAsia" w:ascii="仿宋" w:hAnsi="仿宋" w:eastAsia="仿宋" w:cs="仿宋"/>
        </w:rPr>
        <w:t>3.3</w:t>
      </w:r>
      <w:r>
        <w:rPr>
          <w:rFonts w:hint="eastAsia" w:ascii="仿宋" w:hAnsi="仿宋" w:eastAsia="仿宋" w:cs="仿宋"/>
          <w:lang w:val="en-US" w:eastAsia="zh-CN"/>
        </w:rPr>
        <w:t xml:space="preserve"> </w:t>
      </w:r>
      <w:r>
        <w:rPr>
          <w:rFonts w:hint="eastAsia" w:ascii="仿宋" w:hAnsi="仿宋" w:eastAsia="仿宋" w:cs="仿宋"/>
        </w:rPr>
        <w:t>维修手册及保养手册；</w:t>
      </w:r>
    </w:p>
    <w:p w14:paraId="27D233BA">
      <w:pPr>
        <w:pStyle w:val="16"/>
        <w:snapToGrid w:val="0"/>
        <w:spacing w:line="360" w:lineRule="auto"/>
        <w:ind w:left="6" w:firstLine="474" w:firstLineChars="0"/>
        <w:rPr>
          <w:rFonts w:ascii="仿宋" w:hAnsi="仿宋" w:eastAsia="仿宋" w:cs="仿宋"/>
        </w:rPr>
      </w:pPr>
      <w:r>
        <w:rPr>
          <w:rFonts w:hint="eastAsia" w:ascii="仿宋" w:hAnsi="仿宋" w:eastAsia="仿宋" w:cs="仿宋"/>
        </w:rPr>
        <w:t>3.4</w:t>
      </w:r>
      <w:r>
        <w:rPr>
          <w:rFonts w:hint="eastAsia" w:ascii="仿宋" w:hAnsi="仿宋" w:eastAsia="仿宋" w:cs="仿宋"/>
          <w:lang w:val="en-US" w:eastAsia="zh-CN"/>
        </w:rPr>
        <w:t xml:space="preserve"> </w:t>
      </w:r>
      <w:r>
        <w:rPr>
          <w:rFonts w:hint="eastAsia" w:ascii="仿宋" w:hAnsi="仿宋" w:eastAsia="仿宋" w:cs="仿宋"/>
        </w:rPr>
        <w:t>液压原理图（含动作顺序表）、气动原理图（含动作顺序表）、润滑原理图、电气原理图、电器接线图、电气元件分布图、梯形图（带中文注释）；</w:t>
      </w:r>
    </w:p>
    <w:p w14:paraId="67B28C0B">
      <w:pPr>
        <w:pStyle w:val="16"/>
        <w:snapToGrid w:val="0"/>
        <w:spacing w:line="360" w:lineRule="auto"/>
        <w:ind w:left="6" w:firstLine="474" w:firstLineChars="0"/>
        <w:rPr>
          <w:rFonts w:ascii="仿宋" w:hAnsi="仿宋" w:eastAsia="仿宋" w:cs="仿宋"/>
        </w:rPr>
      </w:pPr>
      <w:r>
        <w:rPr>
          <w:rFonts w:hint="eastAsia" w:ascii="仿宋" w:hAnsi="仿宋" w:eastAsia="仿宋" w:cs="仿宋"/>
        </w:rPr>
        <w:t>3.5</w:t>
      </w:r>
      <w:r>
        <w:rPr>
          <w:rFonts w:hint="eastAsia" w:ascii="仿宋" w:hAnsi="仿宋" w:eastAsia="仿宋" w:cs="仿宋"/>
          <w:lang w:val="en-US" w:eastAsia="zh-CN"/>
        </w:rPr>
        <w:t xml:space="preserve"> </w:t>
      </w:r>
      <w:r>
        <w:rPr>
          <w:rFonts w:hint="eastAsia" w:ascii="仿宋" w:hAnsi="仿宋" w:eastAsia="仿宋" w:cs="仿宋"/>
        </w:rPr>
        <w:t>总装配图和主要部件的装配图，全部自制零件正规图纸，提供机床所有零件的明细表，零件号与装配图应一一对应，且能方便地查找零件在装配图上的位置。提供关键件、易损件零件图。</w:t>
      </w:r>
    </w:p>
    <w:p w14:paraId="6ED58777">
      <w:pPr>
        <w:pStyle w:val="16"/>
        <w:snapToGrid w:val="0"/>
        <w:spacing w:line="360" w:lineRule="auto"/>
        <w:ind w:left="6" w:firstLine="474" w:firstLineChars="0"/>
        <w:rPr>
          <w:rFonts w:ascii="仿宋" w:hAnsi="仿宋" w:eastAsia="仿宋" w:cs="仿宋"/>
        </w:rPr>
      </w:pPr>
      <w:r>
        <w:rPr>
          <w:rFonts w:hint="eastAsia" w:ascii="仿宋" w:hAnsi="仿宋" w:eastAsia="仿宋" w:cs="仿宋"/>
        </w:rPr>
        <w:t>3.6</w:t>
      </w:r>
      <w:r>
        <w:rPr>
          <w:rFonts w:hint="eastAsia" w:ascii="仿宋" w:hAnsi="仿宋" w:eastAsia="仿宋" w:cs="仿宋"/>
          <w:lang w:val="en-US" w:eastAsia="zh-CN"/>
        </w:rPr>
        <w:t xml:space="preserve"> </w:t>
      </w:r>
      <w:r>
        <w:rPr>
          <w:rFonts w:hint="eastAsia" w:ascii="仿宋" w:hAnsi="仿宋" w:eastAsia="仿宋" w:cs="仿宋"/>
        </w:rPr>
        <w:t>采购部件提供正规装配图及零件明细;标准件提供明细（包括型号、规格、部位、数量、制造厂家）并与装配图一一对应；提供关键件，易损件明细。</w:t>
      </w:r>
    </w:p>
    <w:p w14:paraId="4CEDC5A4">
      <w:pPr>
        <w:pStyle w:val="16"/>
        <w:snapToGrid w:val="0"/>
        <w:spacing w:line="360" w:lineRule="auto"/>
        <w:ind w:left="6" w:firstLine="474" w:firstLineChars="0"/>
        <w:rPr>
          <w:rFonts w:ascii="仿宋" w:hAnsi="仿宋" w:eastAsia="仿宋" w:cs="仿宋"/>
        </w:rPr>
      </w:pPr>
      <w:r>
        <w:rPr>
          <w:rFonts w:hint="eastAsia" w:ascii="仿宋" w:hAnsi="仿宋" w:eastAsia="仿宋" w:cs="仿宋"/>
        </w:rPr>
        <w:t>3.7</w:t>
      </w:r>
      <w:r>
        <w:rPr>
          <w:rFonts w:hint="eastAsia" w:ascii="仿宋" w:hAnsi="仿宋" w:eastAsia="仿宋" w:cs="仿宋"/>
          <w:lang w:val="en-US" w:eastAsia="zh-CN"/>
        </w:rPr>
        <w:t xml:space="preserve"> </w:t>
      </w:r>
      <w:r>
        <w:rPr>
          <w:rFonts w:hint="eastAsia" w:ascii="仿宋" w:hAnsi="仿宋" w:eastAsia="仿宋" w:cs="仿宋"/>
        </w:rPr>
        <w:t>提供所有电气元件，液压元件，气动元件，润滑元件明细表（包括型号、规格、部位、数量、制造厂家）。</w:t>
      </w:r>
    </w:p>
    <w:p w14:paraId="6B6524C1">
      <w:pPr>
        <w:pStyle w:val="16"/>
        <w:snapToGrid w:val="0"/>
        <w:spacing w:line="360" w:lineRule="auto"/>
        <w:ind w:left="6" w:firstLine="474" w:firstLineChars="0"/>
        <w:rPr>
          <w:rFonts w:ascii="仿宋" w:hAnsi="仿宋" w:eastAsia="仿宋" w:cs="仿宋"/>
        </w:rPr>
      </w:pPr>
      <w:r>
        <w:rPr>
          <w:rFonts w:hint="eastAsia" w:ascii="仿宋" w:hAnsi="仿宋" w:eastAsia="仿宋" w:cs="仿宋"/>
        </w:rPr>
        <w:t>3.8 主要外购装置、外购件的使用指导说明书。</w:t>
      </w:r>
    </w:p>
    <w:p w14:paraId="658D117B">
      <w:pPr>
        <w:snapToGrid w:val="0"/>
        <w:spacing w:line="360" w:lineRule="auto"/>
        <w:ind w:left="6" w:firstLine="474"/>
        <w:rPr>
          <w:rFonts w:hint="eastAsia" w:ascii="仿宋" w:hAnsi="仿宋" w:eastAsia="仿宋" w:cs="仿宋"/>
        </w:rPr>
      </w:pPr>
      <w:r>
        <w:rPr>
          <w:rFonts w:hint="eastAsia" w:ascii="仿宋" w:hAnsi="仿宋" w:eastAsia="仿宋" w:cs="仿宋"/>
        </w:rPr>
        <w:t>3.9</w:t>
      </w:r>
      <w:r>
        <w:rPr>
          <w:rFonts w:hint="eastAsia" w:ascii="仿宋" w:hAnsi="仿宋" w:eastAsia="仿宋" w:cs="仿宋"/>
          <w:lang w:val="en-US" w:eastAsia="zh-CN"/>
        </w:rPr>
        <w:t xml:space="preserve"> </w:t>
      </w:r>
      <w:r>
        <w:rPr>
          <w:rFonts w:hint="eastAsia" w:ascii="仿宋" w:hAnsi="仿宋" w:eastAsia="仿宋" w:cs="仿宋"/>
        </w:rPr>
        <w:t>主要零部件、元器件，由投标方负责检验，并提供检验报告。</w:t>
      </w:r>
    </w:p>
    <w:p w14:paraId="6CED1E6F">
      <w:pPr>
        <w:snapToGrid w:val="0"/>
        <w:spacing w:line="360" w:lineRule="auto"/>
        <w:ind w:left="6" w:firstLine="474"/>
        <w:rPr>
          <w:rFonts w:hint="eastAsia" w:ascii="仿宋" w:hAnsi="仿宋" w:eastAsia="仿宋" w:cs="仿宋"/>
        </w:rPr>
      </w:pPr>
      <w:r>
        <w:rPr>
          <w:rFonts w:hint="eastAsia" w:ascii="仿宋" w:hAnsi="仿宋" w:eastAsia="仿宋" w:cs="仿宋"/>
        </w:rPr>
        <w:t>3.10 应提供设备出厂所必须的具备国际标准或国内标准规定的具备相关计量检定资质单位精度检验证书、性能测试记录和报告。校准（标定）作业指导书</w:t>
      </w:r>
      <w:r>
        <w:rPr>
          <w:rFonts w:hint="eastAsia" w:ascii="仿宋" w:hAnsi="仿宋" w:eastAsia="仿宋" w:cs="仿宋"/>
          <w:lang w:eastAsia="zh-CN"/>
        </w:rPr>
        <w:t>。</w:t>
      </w:r>
      <w:r>
        <w:rPr>
          <w:rFonts w:hint="eastAsia" w:ascii="仿宋" w:hAnsi="仿宋" w:eastAsia="仿宋" w:cs="仿宋"/>
        </w:rPr>
        <w:t>应提供具有测量、检定、校准等功能设备及具备有压力、温度、流量、位移等计量监控要求的计量器具进行检定/校准/标定所用受控标准器具及作业指导书、检定机构名单。涉及安全、工艺参数的传感器应可拆卸并具备送检条件，</w:t>
      </w:r>
      <w:r>
        <w:rPr>
          <w:rFonts w:hint="eastAsia" w:ascii="仿宋" w:hAnsi="仿宋" w:eastAsia="仿宋" w:cs="仿宋"/>
          <w:lang w:val="en-US" w:eastAsia="zh-CN"/>
        </w:rPr>
        <w:t>并且至少提供一件同型号传感器备件，</w:t>
      </w:r>
      <w:r>
        <w:rPr>
          <w:rFonts w:hint="eastAsia" w:ascii="仿宋" w:hAnsi="仿宋" w:eastAsia="仿宋" w:cs="仿宋"/>
        </w:rPr>
        <w:t>不能</w:t>
      </w:r>
      <w:r>
        <w:rPr>
          <w:rFonts w:hint="eastAsia" w:ascii="仿宋" w:hAnsi="仿宋" w:eastAsia="仿宋" w:cs="仿宋"/>
          <w:lang w:val="en-US" w:eastAsia="zh-CN"/>
        </w:rPr>
        <w:t>因仪表检测</w:t>
      </w:r>
      <w:r>
        <w:rPr>
          <w:rFonts w:hint="eastAsia" w:ascii="仿宋" w:hAnsi="仿宋" w:eastAsia="仿宋" w:cs="仿宋"/>
        </w:rPr>
        <w:t>影响设备正常使用；不可拆卸的传感器应提供可用于校准的标准器及其图纸</w:t>
      </w:r>
      <w:r>
        <w:rPr>
          <w:rFonts w:hint="eastAsia" w:ascii="仿宋" w:hAnsi="仿宋" w:eastAsia="仿宋" w:cs="仿宋"/>
          <w:lang w:eastAsia="zh-CN"/>
        </w:rPr>
        <w:t>，</w:t>
      </w:r>
      <w:r>
        <w:rPr>
          <w:rFonts w:hint="eastAsia" w:ascii="仿宋" w:hAnsi="仿宋" w:eastAsia="仿宋" w:cs="仿宋"/>
          <w:lang w:val="en-US" w:eastAsia="zh-CN"/>
        </w:rPr>
        <w:t>提供标定工装，以便于设备后期传感器精度标定</w:t>
      </w:r>
      <w:r>
        <w:rPr>
          <w:rFonts w:hint="eastAsia" w:ascii="仿宋" w:hAnsi="仿宋" w:eastAsia="仿宋" w:cs="仿宋"/>
          <w:lang w:eastAsia="zh-CN"/>
        </w:rPr>
        <w:t>。</w:t>
      </w:r>
    </w:p>
    <w:p w14:paraId="1E663EF1">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3.11 提供设备消耗水、电、气的详细资料。</w:t>
      </w:r>
    </w:p>
    <w:p w14:paraId="4AF16828">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3.12 保证设备正常运行、维护和保养必需的其他参数和资料。</w:t>
      </w:r>
    </w:p>
    <w:p w14:paraId="23B2CB6B">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3.13</w:t>
      </w:r>
      <w:r>
        <w:rPr>
          <w:rFonts w:hint="eastAsia" w:ascii="仿宋" w:hAnsi="仿宋" w:eastAsia="仿宋" w:cs="仿宋"/>
          <w:lang w:val="en-US" w:eastAsia="zh-CN"/>
        </w:rPr>
        <w:t xml:space="preserve"> </w:t>
      </w:r>
      <w:r>
        <w:rPr>
          <w:rFonts w:hint="eastAsia" w:ascii="仿宋" w:hAnsi="仿宋" w:eastAsia="仿宋" w:cs="仿宋"/>
        </w:rPr>
        <w:t>投标方须负责在合同签订后</w:t>
      </w:r>
      <w:r>
        <w:rPr>
          <w:rFonts w:hint="eastAsia" w:ascii="仿宋" w:hAnsi="仿宋" w:eastAsia="仿宋" w:cs="仿宋"/>
          <w:u w:val="single"/>
          <w:shd w:val="pct10" w:color="auto" w:fill="FFFFFF"/>
        </w:rPr>
        <w:t>30</w:t>
      </w:r>
      <w:r>
        <w:rPr>
          <w:rFonts w:hint="eastAsia" w:ascii="仿宋" w:hAnsi="仿宋" w:eastAsia="仿宋" w:cs="仿宋"/>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5EA3A2A9">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3.14</w:t>
      </w:r>
      <w:r>
        <w:rPr>
          <w:rFonts w:hint="eastAsia" w:ascii="仿宋" w:hAnsi="仿宋" w:eastAsia="仿宋" w:cs="仿宋"/>
          <w:lang w:val="en-US" w:eastAsia="zh-CN"/>
        </w:rPr>
        <w:t xml:space="preserve"> </w:t>
      </w:r>
      <w:r>
        <w:rPr>
          <w:rFonts w:hint="eastAsia" w:ascii="仿宋" w:hAnsi="仿宋" w:eastAsia="仿宋" w:cs="仿宋"/>
        </w:rPr>
        <w:t>投标方须负责在预验收前，提供设备各部分的功能描述文件、图片、影像等资料（进口、设备应有中外文对照）；</w:t>
      </w:r>
    </w:p>
    <w:p w14:paraId="1C7A2644">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3.15</w:t>
      </w:r>
      <w:r>
        <w:rPr>
          <w:rFonts w:hint="eastAsia" w:ascii="仿宋" w:hAnsi="仿宋" w:eastAsia="仿宋" w:cs="仿宋"/>
          <w:lang w:val="en-US" w:eastAsia="zh-CN"/>
        </w:rPr>
        <w:t xml:space="preserve"> </w:t>
      </w:r>
      <w:r>
        <w:rPr>
          <w:rFonts w:hint="eastAsia" w:ascii="仿宋" w:hAnsi="仿宋" w:eastAsia="仿宋" w:cs="仿宋"/>
        </w:rPr>
        <w:t>投标方须负责在终验收前，提供招标方所需全套的工装、模具、吊（挂）具明细及其图纸、具体技术要求等资料；</w:t>
      </w:r>
    </w:p>
    <w:p w14:paraId="50BEA7B2">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3.16</w:t>
      </w:r>
      <w:r>
        <w:rPr>
          <w:rFonts w:hint="eastAsia" w:ascii="仿宋" w:hAnsi="仿宋" w:eastAsia="仿宋" w:cs="仿宋"/>
          <w:lang w:val="en-US" w:eastAsia="zh-CN"/>
        </w:rPr>
        <w:t xml:space="preserve"> </w:t>
      </w:r>
      <w:r>
        <w:rPr>
          <w:rFonts w:hint="eastAsia" w:ascii="仿宋" w:hAnsi="仿宋" w:eastAsia="仿宋" w:cs="仿宋"/>
        </w:rPr>
        <w:t>投标方须负责在终验收前，提供确定的设备的外购件、外协件、电气元件及主要原材料的供货厂家明细表；</w:t>
      </w:r>
    </w:p>
    <w:p w14:paraId="7C0941CD">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3.17</w:t>
      </w:r>
      <w:r>
        <w:rPr>
          <w:rFonts w:hint="eastAsia" w:ascii="仿宋" w:hAnsi="仿宋" w:eastAsia="仿宋" w:cs="仿宋"/>
          <w:lang w:val="en-US" w:eastAsia="zh-CN"/>
        </w:rPr>
        <w:t xml:space="preserve"> </w:t>
      </w:r>
      <w:r>
        <w:rPr>
          <w:rFonts w:hint="eastAsia" w:ascii="仿宋" w:hAnsi="仿宋" w:eastAsia="仿宋" w:cs="仿宋"/>
        </w:rPr>
        <w:t>投标方须负责在设备到达招标方工厂时，与设备一并提供包括设备的备品备件、易损件和专用耗材规定的图纸及技术参数、技术要求等资料；</w:t>
      </w:r>
    </w:p>
    <w:p w14:paraId="160D539A">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3.18</w:t>
      </w:r>
      <w:r>
        <w:rPr>
          <w:rFonts w:hint="eastAsia" w:ascii="仿宋" w:hAnsi="仿宋" w:eastAsia="仿宋" w:cs="仿宋"/>
          <w:lang w:val="en-US" w:eastAsia="zh-CN"/>
        </w:rPr>
        <w:t xml:space="preserve"> </w:t>
      </w:r>
      <w:r>
        <w:rPr>
          <w:rFonts w:hint="eastAsia" w:ascii="仿宋" w:hAnsi="仿宋" w:eastAsia="仿宋" w:cs="仿宋"/>
        </w:rPr>
        <w:t>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1B76A342">
      <w:pPr>
        <w:pStyle w:val="16"/>
        <w:snapToGrid w:val="0"/>
        <w:spacing w:line="360" w:lineRule="auto"/>
        <w:ind w:left="6" w:firstLine="474" w:firstLineChars="0"/>
        <w:rPr>
          <w:rFonts w:hint="eastAsia" w:ascii="仿宋" w:hAnsi="仿宋" w:eastAsia="仿宋" w:cs="仿宋"/>
        </w:rPr>
      </w:pPr>
      <w:r>
        <w:rPr>
          <w:rFonts w:hint="eastAsia" w:ascii="仿宋" w:hAnsi="仿宋" w:eastAsia="仿宋" w:cs="仿宋"/>
        </w:rPr>
        <w:t>3.19</w:t>
      </w:r>
      <w:r>
        <w:rPr>
          <w:rFonts w:hint="eastAsia" w:ascii="仿宋" w:hAnsi="仿宋" w:eastAsia="仿宋" w:cs="仿宋"/>
          <w:lang w:val="en-US" w:eastAsia="zh-CN"/>
        </w:rPr>
        <w:t xml:space="preserve"> </w:t>
      </w:r>
      <w:r>
        <w:rPr>
          <w:rFonts w:hint="eastAsia" w:ascii="仿宋" w:hAnsi="仿宋" w:eastAsia="仿宋" w:cs="仿宋"/>
        </w:rPr>
        <w:t>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0934BFF9">
      <w:pPr>
        <w:pStyle w:val="16"/>
        <w:snapToGrid w:val="0"/>
        <w:spacing w:line="360" w:lineRule="auto"/>
        <w:ind w:left="6" w:firstLine="474" w:firstLineChars="0"/>
        <w:rPr>
          <w:rFonts w:hint="default" w:ascii="仿宋" w:hAnsi="仿宋" w:eastAsia="仿宋" w:cs="仿宋"/>
          <w:lang w:val="en-US" w:eastAsia="zh-CN"/>
        </w:rPr>
      </w:pPr>
      <w:r>
        <w:rPr>
          <w:rFonts w:hint="eastAsia" w:ascii="仿宋" w:hAnsi="仿宋" w:eastAsia="仿宋" w:cs="仿宋"/>
          <w:lang w:val="en-US" w:eastAsia="zh-CN"/>
        </w:rPr>
        <w:t xml:space="preserve">3.20 投标方在设备入场前提供接口的技术文档和参数说明，包括但不限于接口协议、通讯速率、数据格式等。 </w:t>
      </w:r>
    </w:p>
    <w:p w14:paraId="1EBF0530">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rPr>
        <w:t>3.</w:t>
      </w:r>
      <w:r>
        <w:rPr>
          <w:rFonts w:hint="eastAsia" w:ascii="仿宋" w:hAnsi="仿宋" w:eastAsia="仿宋" w:cs="仿宋"/>
          <w:lang w:val="en-US" w:eastAsia="zh-CN"/>
        </w:rPr>
        <w:t xml:space="preserve">21 </w:t>
      </w:r>
      <w:r>
        <w:rPr>
          <w:rFonts w:hint="eastAsia" w:ascii="仿宋" w:hAnsi="仿宋" w:eastAsia="仿宋" w:cs="仿宋"/>
        </w:rPr>
        <w:t>本“技术资料范围”所列的技术资料、图片、影像等，投标方应各提供</w:t>
      </w:r>
      <w:r>
        <w:rPr>
          <w:rFonts w:hint="eastAsia" w:ascii="仿宋" w:hAnsi="仿宋" w:eastAsia="仿宋" w:cs="仿宋"/>
          <w:shd w:val="pct10" w:color="auto" w:fill="FFFFFF"/>
          <w:lang w:val="en-US" w:eastAsia="zh-CN"/>
        </w:rPr>
        <w:t>5</w:t>
      </w:r>
      <w:r>
        <w:rPr>
          <w:rFonts w:hint="eastAsia" w:ascii="仿宋" w:hAnsi="仿宋" w:eastAsia="仿宋" w:cs="仿宋"/>
        </w:rPr>
        <w:t>套，其中</w:t>
      </w:r>
      <w:r>
        <w:rPr>
          <w:rFonts w:hint="eastAsia" w:ascii="仿宋" w:hAnsi="仿宋" w:eastAsia="仿宋" w:cs="仿宋"/>
          <w:shd w:val="pct10" w:color="auto" w:fill="FFFFFF"/>
          <w:lang w:val="en-US" w:eastAsia="zh-CN"/>
        </w:rPr>
        <w:t>3</w:t>
      </w:r>
      <w:r>
        <w:rPr>
          <w:rFonts w:hint="eastAsia" w:ascii="仿宋" w:hAnsi="仿宋" w:eastAsia="仿宋" w:cs="仿宋"/>
        </w:rPr>
        <w:t>套为电子版</w:t>
      </w:r>
      <w:r>
        <w:rPr>
          <w:rFonts w:hint="eastAsia" w:ascii="仿宋" w:hAnsi="仿宋" w:eastAsia="仿宋" w:cs="仿宋"/>
          <w:lang w:val="en-US" w:eastAsia="zh-CN"/>
        </w:rPr>
        <w:t>U</w:t>
      </w:r>
      <w:r>
        <w:rPr>
          <w:rFonts w:hint="eastAsia" w:ascii="仿宋" w:hAnsi="仿宋" w:eastAsia="仿宋" w:cs="仿宋"/>
        </w:rPr>
        <w:t>盘</w:t>
      </w:r>
      <w:r>
        <w:rPr>
          <w:rFonts w:hint="eastAsia" w:ascii="仿宋" w:hAnsi="仿宋" w:eastAsia="仿宋" w:cs="仿宋"/>
          <w:lang w:eastAsia="zh-CN"/>
        </w:rPr>
        <w:t>，</w:t>
      </w:r>
      <w:r>
        <w:rPr>
          <w:rFonts w:hint="eastAsia" w:ascii="仿宋" w:hAnsi="仿宋" w:eastAsia="仿宋" w:cs="仿宋"/>
          <w:lang w:val="en-US" w:eastAsia="zh-CN"/>
        </w:rPr>
        <w:t>2套为装订成册的纸质版</w:t>
      </w:r>
      <w:r>
        <w:rPr>
          <w:rFonts w:hint="eastAsia" w:ascii="仿宋" w:hAnsi="仿宋" w:eastAsia="仿宋" w:cs="仿宋"/>
        </w:rPr>
        <w:t>；每份技术文件应装有目录清单；</w:t>
      </w:r>
    </w:p>
    <w:p w14:paraId="41EAE6C9">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 xml:space="preserve">2 </w:t>
      </w:r>
      <w:r>
        <w:rPr>
          <w:rFonts w:hint="eastAsia" w:ascii="仿宋" w:hAnsi="仿宋" w:eastAsia="仿宋" w:cs="仿宋"/>
          <w:highlight w:val="none"/>
        </w:rPr>
        <w:t>本“技术资料范围”所列要求，如招标方认为投标方提供的资料不能满足要求时，有权要求投标方补充或增加。</w:t>
      </w:r>
    </w:p>
    <w:p w14:paraId="5F8DFAA2">
      <w:pPr>
        <w:adjustRightInd w:val="0"/>
        <w:snapToGrid w:val="0"/>
        <w:spacing w:before="163" w:beforeLines="50" w:after="163" w:afterLines="50" w:line="360" w:lineRule="auto"/>
        <w:jc w:val="center"/>
        <w:outlineLvl w:val="1"/>
        <w:rPr>
          <w:rFonts w:ascii="仿宋" w:hAnsi="仿宋" w:eastAsia="仿宋" w:cs="仿宋"/>
          <w:b w:val="0"/>
          <w:bCs w:val="0"/>
          <w:highlight w:val="none"/>
        </w:rPr>
      </w:pPr>
      <w:bookmarkStart w:id="540" w:name="_Toc21360"/>
      <w:bookmarkStart w:id="541" w:name="_Toc17660"/>
      <w:bookmarkStart w:id="542" w:name="_Toc10692"/>
      <w:bookmarkStart w:id="543" w:name="_Toc16163"/>
      <w:bookmarkStart w:id="544" w:name="_Toc12288"/>
      <w:bookmarkStart w:id="545" w:name="_Toc17572"/>
      <w:bookmarkStart w:id="546" w:name="_Toc4601"/>
      <w:bookmarkStart w:id="547" w:name="_Toc603"/>
      <w:bookmarkStart w:id="548" w:name="_Toc25983"/>
      <w:bookmarkStart w:id="549" w:name="_Toc30635"/>
      <w:bookmarkStart w:id="550" w:name="_Toc18492"/>
      <w:bookmarkStart w:id="551" w:name="_Toc81"/>
      <w:bookmarkStart w:id="552" w:name="_Toc27636"/>
      <w:bookmarkStart w:id="553" w:name="_Toc9917"/>
      <w:bookmarkStart w:id="554" w:name="_Toc4183"/>
      <w:bookmarkStart w:id="555" w:name="_Toc4381"/>
      <w:bookmarkStart w:id="556" w:name="_Toc13201"/>
      <w:bookmarkStart w:id="557" w:name="_Toc23856"/>
      <w:bookmarkStart w:id="558" w:name="_Toc17613"/>
      <w:bookmarkStart w:id="559" w:name="_Toc1998"/>
      <w:bookmarkStart w:id="560" w:name="_Toc24898"/>
      <w:bookmarkStart w:id="561" w:name="_Toc3548"/>
      <w:bookmarkStart w:id="562" w:name="_Toc6313"/>
      <w:bookmarkStart w:id="563" w:name="_Toc1897"/>
      <w:bookmarkStart w:id="564" w:name="_Toc18839"/>
      <w:bookmarkStart w:id="565" w:name="_Toc29792"/>
      <w:bookmarkStart w:id="566" w:name="_Toc23025"/>
      <w:bookmarkStart w:id="567" w:name="_Toc15620"/>
      <w:bookmarkStart w:id="568" w:name="_Toc18118"/>
      <w:bookmarkStart w:id="569" w:name="_Toc22358"/>
      <w:bookmarkStart w:id="570" w:name="_Toc15671"/>
      <w:bookmarkStart w:id="571" w:name="_Toc4676"/>
      <w:bookmarkStart w:id="572" w:name="_Toc29107"/>
      <w:bookmarkStart w:id="573" w:name="_Toc3580"/>
      <w:bookmarkStart w:id="574" w:name="_Toc11851"/>
      <w:bookmarkStart w:id="575" w:name="_Toc73112408"/>
      <w:bookmarkStart w:id="576" w:name="_Toc8309"/>
      <w:bookmarkStart w:id="577" w:name="_Toc11837"/>
      <w:bookmarkStart w:id="578" w:name="_Toc19194"/>
      <w:bookmarkStart w:id="579" w:name="_Toc16689"/>
      <w:bookmarkStart w:id="580" w:name="_Toc20754"/>
      <w:bookmarkStart w:id="581" w:name="_Toc5634"/>
      <w:bookmarkStart w:id="582" w:name="_Toc27960"/>
      <w:r>
        <w:rPr>
          <w:rFonts w:hint="eastAsia" w:ascii="仿宋" w:hAnsi="仿宋" w:eastAsia="仿宋" w:cs="仿宋"/>
          <w:b w:val="0"/>
          <w:bCs w:val="0"/>
          <w:highlight w:val="none"/>
        </w:rPr>
        <w:t>第二节</w:t>
      </w:r>
      <w:r>
        <w:rPr>
          <w:rFonts w:hint="eastAsia" w:ascii="仿宋" w:hAnsi="仿宋" w:eastAsia="仿宋" w:cs="仿宋"/>
          <w:b w:val="0"/>
          <w:bCs w:val="0"/>
          <w:highlight w:val="none"/>
          <w:lang w:val="en-US" w:eastAsia="zh-CN"/>
        </w:rPr>
        <w:t xml:space="preserve"> </w:t>
      </w:r>
      <w:r>
        <w:rPr>
          <w:rFonts w:hint="eastAsia" w:ascii="仿宋" w:hAnsi="仿宋" w:eastAsia="仿宋" w:cs="仿宋"/>
          <w:b w:val="0"/>
          <w:bCs w:val="0"/>
          <w:highlight w:val="none"/>
        </w:rPr>
        <w:t>供货方式</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3A07987">
      <w:pPr>
        <w:snapToGrid w:val="0"/>
        <w:spacing w:line="360" w:lineRule="auto"/>
        <w:ind w:left="480"/>
        <w:outlineLvl w:val="2"/>
        <w:rPr>
          <w:rFonts w:ascii="仿宋" w:hAnsi="仿宋" w:eastAsia="仿宋" w:cs="仿宋"/>
          <w:b/>
          <w:bCs/>
          <w:highlight w:val="none"/>
        </w:rPr>
      </w:pPr>
      <w:bookmarkStart w:id="583" w:name="_Toc24179"/>
      <w:bookmarkStart w:id="584" w:name="_Toc28360"/>
      <w:bookmarkStart w:id="585" w:name="_Toc28962"/>
      <w:bookmarkStart w:id="586" w:name="_Toc1116"/>
      <w:bookmarkStart w:id="587" w:name="_Toc18282"/>
      <w:bookmarkStart w:id="588" w:name="_Toc1474"/>
      <w:bookmarkStart w:id="589" w:name="_Toc28759"/>
      <w:bookmarkStart w:id="590" w:name="_Toc73112409"/>
      <w:bookmarkStart w:id="591" w:name="_Toc32491"/>
      <w:bookmarkStart w:id="592" w:name="_Toc28222"/>
      <w:bookmarkStart w:id="593" w:name="_Toc28534"/>
      <w:bookmarkStart w:id="594" w:name="_Toc10286"/>
      <w:bookmarkStart w:id="595" w:name="_Toc11533"/>
      <w:bookmarkStart w:id="596" w:name="_Toc20263"/>
      <w:bookmarkStart w:id="597" w:name="_Toc22679"/>
      <w:bookmarkStart w:id="598" w:name="_Toc14135"/>
      <w:bookmarkStart w:id="599" w:name="_Toc4344"/>
      <w:bookmarkStart w:id="600" w:name="_Toc19237"/>
      <w:bookmarkStart w:id="601" w:name="_Toc27005"/>
      <w:bookmarkStart w:id="602" w:name="_Toc3032"/>
      <w:r>
        <w:rPr>
          <w:rFonts w:hint="eastAsia" w:ascii="仿宋" w:hAnsi="仿宋" w:eastAsia="仿宋" w:cs="仿宋"/>
          <w:b/>
          <w:bCs/>
          <w:highlight w:val="none"/>
        </w:rPr>
        <w:t>1供货地点</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6852A777">
      <w:pPr>
        <w:pStyle w:val="16"/>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本项目建设工地。</w:t>
      </w:r>
    </w:p>
    <w:p w14:paraId="6D9FD54D">
      <w:pPr>
        <w:snapToGrid w:val="0"/>
        <w:spacing w:line="360" w:lineRule="auto"/>
        <w:ind w:left="480"/>
        <w:outlineLvl w:val="2"/>
        <w:rPr>
          <w:rFonts w:ascii="仿宋" w:hAnsi="仿宋" w:eastAsia="仿宋" w:cs="仿宋"/>
          <w:b/>
          <w:bCs/>
          <w:highlight w:val="none"/>
        </w:rPr>
      </w:pPr>
      <w:bookmarkStart w:id="603" w:name="_Toc27558"/>
      <w:bookmarkStart w:id="604" w:name="_Toc21521"/>
      <w:bookmarkStart w:id="605" w:name="_Toc30858"/>
      <w:bookmarkStart w:id="606" w:name="_Toc8043"/>
      <w:bookmarkStart w:id="607" w:name="_Toc5862"/>
      <w:bookmarkStart w:id="608" w:name="_Toc11152"/>
      <w:bookmarkStart w:id="609" w:name="_Toc27724"/>
      <w:bookmarkStart w:id="610" w:name="_Toc531"/>
      <w:bookmarkStart w:id="611" w:name="_Toc73112410"/>
      <w:bookmarkStart w:id="612" w:name="_Toc6963"/>
      <w:bookmarkStart w:id="613" w:name="_Toc31657"/>
      <w:bookmarkStart w:id="614" w:name="_Toc26611"/>
      <w:bookmarkStart w:id="615" w:name="_Toc26178"/>
      <w:bookmarkStart w:id="616" w:name="_Toc4215"/>
      <w:bookmarkStart w:id="617" w:name="_Toc11086"/>
      <w:bookmarkStart w:id="618" w:name="_Toc22044"/>
      <w:bookmarkStart w:id="619" w:name="_Toc2280"/>
      <w:bookmarkStart w:id="620" w:name="_Toc6707"/>
      <w:bookmarkStart w:id="621" w:name="_Toc9856"/>
      <w:bookmarkStart w:id="622" w:name="_Toc20257"/>
      <w:r>
        <w:rPr>
          <w:rFonts w:hint="eastAsia" w:ascii="仿宋" w:hAnsi="仿宋" w:eastAsia="仿宋" w:cs="仿宋"/>
          <w:b/>
          <w:bCs/>
          <w:highlight w:val="none"/>
        </w:rPr>
        <w:t>2供货时间</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7431AAF4">
      <w:pPr>
        <w:snapToGrid w:val="0"/>
        <w:spacing w:line="360" w:lineRule="auto"/>
        <w:ind w:firstLine="420" w:firstLineChars="200"/>
        <w:jc w:val="left"/>
        <w:rPr>
          <w:rFonts w:ascii="仿宋" w:hAnsi="仿宋" w:eastAsia="仿宋" w:cs="仿宋"/>
          <w:strike/>
          <w:highlight w:val="none"/>
        </w:rPr>
      </w:pPr>
      <w:r>
        <w:rPr>
          <w:rFonts w:hint="eastAsia" w:ascii="仿宋" w:hAnsi="仿宋" w:eastAsia="仿宋" w:cs="仿宋"/>
          <w:highlight w:val="none"/>
        </w:rPr>
        <w:t>2.1投标方应自</w:t>
      </w:r>
      <w:r>
        <w:rPr>
          <w:rFonts w:hint="eastAsia" w:ascii="仿宋" w:hAnsi="仿宋" w:eastAsia="仿宋" w:cs="仿宋"/>
          <w:highlight w:val="none"/>
          <w:lang w:val="en-US" w:eastAsia="zh-CN"/>
        </w:rPr>
        <w:t>合同签定</w:t>
      </w:r>
      <w:r>
        <w:rPr>
          <w:rFonts w:hint="eastAsia" w:ascii="仿宋" w:hAnsi="仿宋" w:eastAsia="仿宋" w:cs="仿宋"/>
          <w:highlight w:val="none"/>
        </w:rPr>
        <w:t>后，</w:t>
      </w:r>
      <w:r>
        <w:rPr>
          <w:rFonts w:hint="eastAsia" w:ascii="仿宋" w:hAnsi="仿宋" w:eastAsia="仿宋" w:cs="仿宋"/>
          <w:highlight w:val="none"/>
          <w:u w:val="single"/>
          <w:shd w:val="pct10" w:color="auto" w:fill="FFFFFF"/>
          <w:lang w:val="en-US" w:eastAsia="zh-CN"/>
        </w:rPr>
        <w:t>25</w:t>
      </w:r>
      <w:r>
        <w:rPr>
          <w:rFonts w:hint="eastAsia" w:ascii="仿宋" w:hAnsi="仿宋" w:eastAsia="仿宋" w:cs="仿宋"/>
          <w:highlight w:val="none"/>
          <w:lang w:val="en-US" w:eastAsia="zh-CN"/>
        </w:rPr>
        <w:t>个</w:t>
      </w:r>
      <w:r>
        <w:rPr>
          <w:rFonts w:hint="eastAsia" w:ascii="仿宋" w:hAnsi="仿宋" w:eastAsia="仿宋" w:cs="仿宋"/>
          <w:highlight w:val="none"/>
        </w:rPr>
        <w:t>日历日之内交货至供货地点。</w:t>
      </w:r>
    </w:p>
    <w:p w14:paraId="20B33542">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2.2连续</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lang w:val="en-US" w:eastAsia="zh-CN"/>
        </w:rPr>
        <w:t>10</w:t>
      </w:r>
      <w:r>
        <w:rPr>
          <w:rFonts w:hint="eastAsia" w:ascii="仿宋" w:hAnsi="仿宋" w:eastAsia="仿宋" w:cs="仿宋"/>
          <w:highlight w:val="none"/>
        </w:rPr>
        <w:t>个日历日之内安装调试完毕；</w:t>
      </w:r>
    </w:p>
    <w:p w14:paraId="4E8AB1A2">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2.3连续</w:t>
      </w:r>
      <w:r>
        <w:rPr>
          <w:rFonts w:hint="eastAsia" w:ascii="仿宋" w:hAnsi="仿宋" w:eastAsia="仿宋" w:cs="仿宋"/>
          <w:highlight w:val="none"/>
          <w:u w:val="single"/>
          <w:shd w:val="pct10" w:color="auto" w:fill="FFFFFF"/>
        </w:rPr>
        <w:t xml:space="preserve"> 30</w:t>
      </w:r>
      <w:r>
        <w:rPr>
          <w:rFonts w:hint="eastAsia" w:ascii="仿宋" w:hAnsi="仿宋" w:eastAsia="仿宋" w:cs="仿宋"/>
          <w:highlight w:val="none"/>
          <w:u w:val="single"/>
        </w:rPr>
        <w:t xml:space="preserve"> </w:t>
      </w:r>
      <w:r>
        <w:rPr>
          <w:rFonts w:hint="eastAsia" w:ascii="仿宋" w:hAnsi="仿宋" w:eastAsia="仿宋" w:cs="仿宋"/>
          <w:highlight w:val="none"/>
        </w:rPr>
        <w:t>个日历日之内完成终验收。</w:t>
      </w:r>
    </w:p>
    <w:p w14:paraId="40E711E6">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2.4必要时，投标方应当提供详细的工期计划。</w:t>
      </w:r>
    </w:p>
    <w:p w14:paraId="787C53E0">
      <w:pPr>
        <w:snapToGrid w:val="0"/>
        <w:spacing w:line="360" w:lineRule="auto"/>
        <w:ind w:left="480"/>
        <w:outlineLvl w:val="2"/>
        <w:rPr>
          <w:rFonts w:ascii="仿宋" w:hAnsi="仿宋" w:eastAsia="仿宋" w:cs="仿宋"/>
          <w:b/>
          <w:bCs/>
          <w:highlight w:val="none"/>
        </w:rPr>
      </w:pPr>
      <w:bookmarkStart w:id="623" w:name="_Toc17489"/>
      <w:bookmarkStart w:id="624" w:name="_Toc5288"/>
      <w:bookmarkStart w:id="625" w:name="_Toc4431"/>
      <w:bookmarkStart w:id="626" w:name="_Toc73112411"/>
      <w:bookmarkStart w:id="627" w:name="_Toc23122"/>
      <w:bookmarkStart w:id="628" w:name="_Toc16960"/>
      <w:bookmarkStart w:id="629" w:name="_Toc8193"/>
      <w:bookmarkStart w:id="630" w:name="_Toc22617"/>
      <w:bookmarkStart w:id="631" w:name="_Toc22394"/>
      <w:bookmarkStart w:id="632" w:name="_Toc29786"/>
      <w:bookmarkStart w:id="633" w:name="_Toc31485"/>
      <w:bookmarkStart w:id="634" w:name="_Toc22968"/>
      <w:bookmarkStart w:id="635" w:name="_Toc18845"/>
      <w:bookmarkStart w:id="636" w:name="_Toc24587"/>
      <w:bookmarkStart w:id="637" w:name="_Toc8419"/>
      <w:bookmarkStart w:id="638" w:name="_Toc17351"/>
      <w:bookmarkStart w:id="639" w:name="_Toc11749"/>
      <w:bookmarkStart w:id="640" w:name="_Toc30983"/>
      <w:bookmarkStart w:id="641" w:name="_Toc9507"/>
      <w:bookmarkStart w:id="642" w:name="_Toc18153"/>
      <w:r>
        <w:rPr>
          <w:rFonts w:hint="eastAsia" w:ascii="仿宋" w:hAnsi="仿宋" w:eastAsia="仿宋" w:cs="仿宋"/>
          <w:b/>
          <w:bCs/>
          <w:highlight w:val="none"/>
        </w:rPr>
        <w:t>3质保期</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6D1F420D">
      <w:pPr>
        <w:snapToGrid w:val="0"/>
        <w:spacing w:line="360" w:lineRule="auto"/>
        <w:ind w:firstLine="420" w:firstLineChars="200"/>
        <w:rPr>
          <w:rFonts w:ascii="仿宋" w:hAnsi="仿宋" w:eastAsia="仿宋" w:cs="仿宋"/>
        </w:rPr>
      </w:pPr>
      <w:r>
        <w:rPr>
          <w:rFonts w:hint="eastAsia" w:ascii="仿宋" w:hAnsi="仿宋" w:eastAsia="仿宋" w:cs="仿宋"/>
          <w:highlight w:val="none"/>
        </w:rPr>
        <w:t>3.1投标方所提供货物（或生产线</w:t>
      </w:r>
      <w:r>
        <w:rPr>
          <w:rFonts w:hint="eastAsia" w:ascii="仿宋" w:hAnsi="仿宋" w:eastAsia="仿宋" w:cs="仿宋"/>
        </w:rPr>
        <w:t>）涉及的全部供货范围内的设备、材料、零配件和工器具等，除合同特别约定外，其质保期均自终验收签字生效之日起</w:t>
      </w:r>
      <w:r>
        <w:rPr>
          <w:rFonts w:hint="eastAsia" w:ascii="仿宋" w:hAnsi="仿宋" w:eastAsia="仿宋" w:cs="仿宋"/>
          <w:u w:val="single"/>
          <w:shd w:val="pct10" w:color="auto" w:fill="FFFFFF"/>
        </w:rPr>
        <w:t>12</w:t>
      </w:r>
      <w:r>
        <w:rPr>
          <w:rFonts w:hint="eastAsia" w:ascii="仿宋" w:hAnsi="仿宋" w:eastAsia="仿宋" w:cs="仿宋"/>
        </w:rPr>
        <w:t>个月。</w:t>
      </w:r>
    </w:p>
    <w:p w14:paraId="172C5476">
      <w:pPr>
        <w:snapToGrid w:val="0"/>
        <w:spacing w:line="360" w:lineRule="auto"/>
        <w:ind w:firstLine="420" w:firstLineChars="200"/>
        <w:jc w:val="left"/>
        <w:rPr>
          <w:rFonts w:ascii="仿宋" w:hAnsi="仿宋" w:eastAsia="仿宋" w:cs="仿宋"/>
        </w:rPr>
      </w:pPr>
      <w:r>
        <w:rPr>
          <w:rFonts w:hint="eastAsia" w:ascii="仿宋" w:hAnsi="仿宋" w:eastAsia="仿宋" w:cs="仿宋"/>
        </w:rPr>
        <w:t>3.2质保期之内，如果货物（或生产线）出现关键设备、总成、零部件或者多处一般设备、总成、零部件的更换或维修行为，则质保期自更换或维修行为结束、货物（或生产线）能够正常运行使用之日起重新计算。</w:t>
      </w:r>
    </w:p>
    <w:p w14:paraId="57DBCF87">
      <w:pPr>
        <w:snapToGrid w:val="0"/>
        <w:spacing w:line="360" w:lineRule="auto"/>
        <w:ind w:left="480"/>
        <w:outlineLvl w:val="2"/>
        <w:rPr>
          <w:rFonts w:ascii="仿宋" w:hAnsi="仿宋" w:eastAsia="仿宋" w:cs="仿宋"/>
          <w:b/>
          <w:bCs/>
        </w:rPr>
      </w:pPr>
      <w:bookmarkStart w:id="643" w:name="_Toc21924"/>
      <w:bookmarkStart w:id="644" w:name="_Toc21555"/>
      <w:bookmarkStart w:id="645" w:name="_Toc29090"/>
      <w:bookmarkStart w:id="646" w:name="_Toc73112412"/>
      <w:bookmarkStart w:id="647" w:name="_Toc426"/>
      <w:bookmarkStart w:id="648" w:name="_Toc16381"/>
      <w:bookmarkStart w:id="649" w:name="_Toc5126"/>
      <w:bookmarkStart w:id="650" w:name="_Toc16664"/>
      <w:bookmarkStart w:id="651" w:name="_Toc12791"/>
      <w:bookmarkStart w:id="652" w:name="_Toc27729"/>
      <w:bookmarkStart w:id="653" w:name="_Toc20400"/>
      <w:bookmarkStart w:id="654" w:name="_Toc17320"/>
      <w:bookmarkStart w:id="655" w:name="_Toc26040"/>
      <w:bookmarkStart w:id="656" w:name="_Toc27377"/>
      <w:bookmarkStart w:id="657" w:name="_Toc20248"/>
      <w:bookmarkStart w:id="658" w:name="_Toc14622"/>
      <w:bookmarkStart w:id="659" w:name="_Toc10272"/>
      <w:bookmarkStart w:id="660" w:name="_Toc27080"/>
      <w:bookmarkStart w:id="661" w:name="_Toc28907"/>
      <w:bookmarkStart w:id="662" w:name="_Toc19011"/>
      <w:r>
        <w:rPr>
          <w:rFonts w:hint="eastAsia" w:ascii="仿宋" w:hAnsi="仿宋" w:eastAsia="仿宋" w:cs="仿宋"/>
          <w:b/>
          <w:bCs/>
        </w:rPr>
        <w:t>4包装</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4419655B">
      <w:pPr>
        <w:pStyle w:val="16"/>
        <w:snapToGrid w:val="0"/>
        <w:spacing w:line="360" w:lineRule="auto"/>
        <w:ind w:firstLine="48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5C67022D">
      <w:pPr>
        <w:pStyle w:val="16"/>
        <w:snapToGrid w:val="0"/>
        <w:spacing w:line="360" w:lineRule="auto"/>
        <w:ind w:firstLine="480" w:firstLineChars="200"/>
        <w:rPr>
          <w:rFonts w:ascii="仿宋" w:hAnsi="仿宋" w:eastAsia="仿宋" w:cs="仿宋"/>
        </w:rPr>
      </w:pPr>
      <w:r>
        <w:rPr>
          <w:rFonts w:hint="eastAsia" w:ascii="仿宋" w:hAnsi="仿宋" w:eastAsia="仿宋" w:cs="仿宋"/>
        </w:rPr>
        <w:t>4.2包装应能满足所需要采取的运输方式（船运、汽运或铁路运输）、多次吊装卸装、卸货以及长期露天堆放要求，应能防止雨淋、受潮、生锈、腐蚀、受振、受磁以及机械和化学因素等引起的损坏。</w:t>
      </w:r>
    </w:p>
    <w:p w14:paraId="0B040CAE">
      <w:pPr>
        <w:pStyle w:val="16"/>
        <w:snapToGrid w:val="0"/>
        <w:spacing w:line="360" w:lineRule="auto"/>
        <w:ind w:firstLine="480" w:firstLineChars="200"/>
        <w:rPr>
          <w:rFonts w:ascii="仿宋" w:hAnsi="仿宋" w:eastAsia="仿宋" w:cs="仿宋"/>
        </w:rPr>
      </w:pPr>
      <w:r>
        <w:rPr>
          <w:rFonts w:hint="eastAsia" w:ascii="仿宋" w:hAnsi="仿宋" w:eastAsia="仿宋" w:cs="仿宋"/>
        </w:rPr>
        <w:t>4.3投标方所提供货物（或设备）的包装，应能防止其一般性被窃或受外力破坏；一般不得采用有大缝隙的板条包装。</w:t>
      </w:r>
    </w:p>
    <w:p w14:paraId="3836B0EE">
      <w:pPr>
        <w:pStyle w:val="16"/>
        <w:snapToGrid w:val="0"/>
        <w:spacing w:line="360" w:lineRule="auto"/>
        <w:ind w:firstLine="48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7C32AD40">
      <w:pPr>
        <w:pStyle w:val="16"/>
        <w:snapToGrid w:val="0"/>
        <w:spacing w:line="360" w:lineRule="auto"/>
        <w:ind w:firstLine="48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147FC6CF">
      <w:pPr>
        <w:pStyle w:val="16"/>
        <w:snapToGrid w:val="0"/>
        <w:spacing w:line="360" w:lineRule="auto"/>
        <w:ind w:firstLine="48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4.6每个包装箱应有明显标志，并具有中文书写的合同号、装运标志、发货和到货地点名称、发货人和收货人名称、货物（或生产线）名称和项目号、箱号和外型尺寸等内容。</w:t>
      </w:r>
    </w:p>
    <w:p w14:paraId="595EEF40">
      <w:pPr>
        <w:pStyle w:val="16"/>
        <w:snapToGrid w:val="0"/>
        <w:spacing w:line="360" w:lineRule="auto"/>
        <w:ind w:firstLine="48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489AD6D3">
      <w:pPr>
        <w:pStyle w:val="16"/>
        <w:snapToGrid w:val="0"/>
        <w:spacing w:line="360" w:lineRule="auto"/>
        <w:ind w:firstLine="480" w:firstLineChars="200"/>
        <w:rPr>
          <w:rFonts w:ascii="仿宋" w:hAnsi="仿宋" w:eastAsia="仿宋" w:cs="仿宋"/>
        </w:rPr>
      </w:pPr>
      <w:r>
        <w:rPr>
          <w:rFonts w:hint="eastAsia" w:ascii="仿宋" w:hAnsi="仿宋" w:eastAsia="仿宋" w:cs="仿宋"/>
        </w:rPr>
        <w:t>4.8包装箱应连续编号，不应出现重复编号。</w:t>
      </w:r>
    </w:p>
    <w:p w14:paraId="320DEBE0">
      <w:pPr>
        <w:pStyle w:val="16"/>
        <w:snapToGrid w:val="0"/>
        <w:spacing w:line="360" w:lineRule="auto"/>
        <w:ind w:firstLine="48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399EB101">
      <w:pPr>
        <w:snapToGrid w:val="0"/>
        <w:spacing w:line="360" w:lineRule="auto"/>
        <w:ind w:left="480"/>
        <w:outlineLvl w:val="2"/>
        <w:rPr>
          <w:rFonts w:ascii="仿宋" w:hAnsi="仿宋" w:eastAsia="仿宋" w:cs="仿宋"/>
          <w:b/>
          <w:bCs/>
        </w:rPr>
      </w:pPr>
      <w:bookmarkStart w:id="663" w:name="_Toc17881"/>
      <w:bookmarkStart w:id="664" w:name="_Toc25305"/>
      <w:bookmarkStart w:id="665" w:name="_Toc21308"/>
      <w:bookmarkStart w:id="666" w:name="_Toc21886"/>
      <w:bookmarkStart w:id="667" w:name="_Toc17990"/>
      <w:bookmarkStart w:id="668" w:name="_Toc31538"/>
      <w:bookmarkStart w:id="669" w:name="_Toc73112413"/>
      <w:bookmarkStart w:id="670" w:name="_Toc7046"/>
      <w:bookmarkStart w:id="671" w:name="_Toc26302"/>
      <w:bookmarkStart w:id="672" w:name="_Toc23221"/>
      <w:bookmarkStart w:id="673" w:name="_Toc32266"/>
      <w:bookmarkStart w:id="674" w:name="_Toc22949"/>
      <w:bookmarkStart w:id="675" w:name="_Toc1857"/>
      <w:bookmarkStart w:id="676" w:name="_Toc5373"/>
      <w:bookmarkStart w:id="677" w:name="_Toc22792"/>
      <w:bookmarkStart w:id="678" w:name="_Toc4346"/>
      <w:bookmarkStart w:id="679" w:name="_Toc7889"/>
      <w:bookmarkStart w:id="680" w:name="_Toc22992"/>
      <w:bookmarkStart w:id="681" w:name="_Toc20536"/>
      <w:bookmarkStart w:id="682" w:name="_Toc8"/>
      <w:r>
        <w:rPr>
          <w:rFonts w:hint="eastAsia" w:ascii="仿宋" w:hAnsi="仿宋" w:eastAsia="仿宋" w:cs="仿宋"/>
          <w:b/>
          <w:bCs/>
        </w:rPr>
        <w:t>5运输</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06A2A510">
      <w:pPr>
        <w:pStyle w:val="16"/>
        <w:snapToGrid w:val="0"/>
        <w:spacing w:line="360" w:lineRule="auto"/>
        <w:ind w:firstLine="48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30DB219F">
      <w:pPr>
        <w:pStyle w:val="16"/>
        <w:snapToGrid w:val="0"/>
        <w:spacing w:line="360" w:lineRule="auto"/>
        <w:ind w:firstLine="480" w:firstLineChars="200"/>
        <w:rPr>
          <w:rFonts w:ascii="仿宋" w:hAnsi="仿宋" w:eastAsia="仿宋" w:cs="仿宋"/>
        </w:rPr>
      </w:pPr>
      <w:r>
        <w:rPr>
          <w:rFonts w:hint="eastAsia" w:ascii="仿宋" w:hAnsi="仿宋" w:eastAsia="仿宋" w:cs="仿宋"/>
        </w:rPr>
        <w:t>5.2同批货物（或设备）应统一包装、编号运输。</w:t>
      </w:r>
    </w:p>
    <w:p w14:paraId="5D574DC8">
      <w:pPr>
        <w:pStyle w:val="16"/>
        <w:snapToGrid w:val="0"/>
        <w:spacing w:line="360" w:lineRule="auto"/>
        <w:ind w:firstLine="48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2E492A09">
      <w:pPr>
        <w:pStyle w:val="16"/>
        <w:snapToGrid w:val="0"/>
        <w:spacing w:line="360" w:lineRule="auto"/>
        <w:ind w:firstLine="48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6C6B3897">
      <w:pPr>
        <w:pStyle w:val="16"/>
        <w:snapToGrid w:val="0"/>
        <w:spacing w:line="360" w:lineRule="auto"/>
        <w:ind w:firstLine="48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683" w:name="_Toc133783973"/>
    </w:p>
    <w:p w14:paraId="55BD1E37">
      <w:pPr>
        <w:adjustRightInd w:val="0"/>
        <w:snapToGrid w:val="0"/>
        <w:spacing w:before="163" w:beforeLines="50" w:after="163" w:afterLines="50" w:line="360" w:lineRule="auto"/>
        <w:jc w:val="center"/>
        <w:outlineLvl w:val="0"/>
        <w:rPr>
          <w:rFonts w:ascii="仿宋" w:hAnsi="仿宋" w:eastAsia="仿宋" w:cs="仿宋"/>
          <w:b/>
          <w:bCs/>
        </w:rPr>
      </w:pPr>
      <w:bookmarkStart w:id="684" w:name="_Toc26671"/>
      <w:bookmarkStart w:id="685" w:name="_Toc27169"/>
      <w:bookmarkStart w:id="686" w:name="_Toc12021"/>
      <w:bookmarkStart w:id="687" w:name="_Toc32280"/>
      <w:bookmarkStart w:id="688" w:name="_Toc14171"/>
      <w:bookmarkStart w:id="689" w:name="_Toc14229"/>
      <w:bookmarkStart w:id="690" w:name="_Toc7672"/>
      <w:bookmarkStart w:id="691" w:name="_Toc14023"/>
      <w:bookmarkStart w:id="692" w:name="_Toc19133"/>
      <w:bookmarkStart w:id="693" w:name="_Toc2668"/>
      <w:bookmarkStart w:id="694" w:name="_Toc31301"/>
      <w:bookmarkStart w:id="695" w:name="_Toc10275"/>
      <w:bookmarkStart w:id="696" w:name="_Toc15153"/>
      <w:bookmarkStart w:id="697" w:name="_Toc25044"/>
      <w:bookmarkStart w:id="698" w:name="_Toc14862"/>
      <w:bookmarkStart w:id="699" w:name="_Toc25780"/>
      <w:bookmarkStart w:id="700" w:name="_Toc24397"/>
      <w:bookmarkStart w:id="701" w:name="_Toc73112414"/>
      <w:bookmarkStart w:id="702" w:name="_Toc23255"/>
      <w:bookmarkStart w:id="703" w:name="_Toc27085"/>
      <w:bookmarkStart w:id="704" w:name="_Toc8515"/>
      <w:bookmarkStart w:id="705" w:name="_Toc28211"/>
      <w:bookmarkStart w:id="706" w:name="_Toc9059"/>
      <w:bookmarkStart w:id="707" w:name="_Toc19986"/>
      <w:bookmarkStart w:id="708" w:name="_Toc28164"/>
      <w:bookmarkStart w:id="709" w:name="_Toc25292"/>
      <w:bookmarkStart w:id="710" w:name="_Toc10894"/>
      <w:bookmarkStart w:id="711" w:name="_Toc24978"/>
      <w:bookmarkStart w:id="712" w:name="_Toc14916"/>
      <w:bookmarkStart w:id="713" w:name="_Toc29063"/>
      <w:bookmarkStart w:id="714" w:name="_Toc18423"/>
      <w:bookmarkStart w:id="715" w:name="_Toc10676"/>
      <w:bookmarkStart w:id="716" w:name="_Toc16036"/>
      <w:bookmarkStart w:id="717" w:name="_Toc13927"/>
      <w:bookmarkStart w:id="718" w:name="_Toc11027"/>
      <w:bookmarkStart w:id="719" w:name="_Toc1740"/>
      <w:bookmarkStart w:id="720" w:name="_Toc30422"/>
      <w:bookmarkStart w:id="721" w:name="_Toc22680"/>
      <w:bookmarkStart w:id="722" w:name="_Toc26651"/>
      <w:bookmarkStart w:id="723" w:name="_Toc3739"/>
      <w:bookmarkStart w:id="724" w:name="_Toc24415"/>
      <w:bookmarkStart w:id="725" w:name="_Toc7501"/>
      <w:bookmarkStart w:id="726" w:name="_Toc12478"/>
      <w:bookmarkStart w:id="727" w:name="_Toc14414"/>
      <w:r>
        <w:rPr>
          <w:rFonts w:hint="eastAsia" w:ascii="仿宋" w:hAnsi="仿宋" w:eastAsia="仿宋" w:cs="仿宋"/>
          <w:b/>
          <w:bCs/>
        </w:rPr>
        <w:t>第四章售中售后服务</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A033DE4">
      <w:pPr>
        <w:snapToGrid w:val="0"/>
        <w:spacing w:line="360" w:lineRule="auto"/>
        <w:ind w:left="480"/>
        <w:outlineLvl w:val="1"/>
        <w:rPr>
          <w:rFonts w:ascii="仿宋" w:hAnsi="仿宋" w:eastAsia="仿宋" w:cs="仿宋"/>
          <w:b/>
          <w:bCs/>
        </w:rPr>
      </w:pPr>
      <w:bookmarkStart w:id="728" w:name="_Toc18522"/>
      <w:bookmarkStart w:id="729" w:name="_Toc17645"/>
      <w:bookmarkStart w:id="730" w:name="_Toc344"/>
      <w:bookmarkStart w:id="731" w:name="_Toc24654"/>
      <w:bookmarkStart w:id="732" w:name="_Toc12793"/>
      <w:bookmarkStart w:id="733" w:name="_Toc20514"/>
      <w:bookmarkStart w:id="734" w:name="_Toc4952"/>
      <w:bookmarkStart w:id="735" w:name="_Toc19576"/>
      <w:bookmarkStart w:id="736" w:name="_Toc4682"/>
      <w:bookmarkStart w:id="737" w:name="_Toc4180"/>
      <w:bookmarkStart w:id="738" w:name="_Toc29262"/>
      <w:bookmarkStart w:id="739" w:name="_Toc8910"/>
      <w:bookmarkStart w:id="740" w:name="_Toc27811"/>
      <w:bookmarkStart w:id="741" w:name="_Toc23493"/>
      <w:bookmarkStart w:id="742" w:name="_Toc29321"/>
      <w:bookmarkStart w:id="743" w:name="_Toc414"/>
      <w:bookmarkStart w:id="744" w:name="_Toc2661"/>
      <w:bookmarkStart w:id="745" w:name="_Toc19735"/>
      <w:bookmarkStart w:id="746" w:name="_Toc10787"/>
      <w:bookmarkStart w:id="747" w:name="_Toc13551"/>
      <w:bookmarkStart w:id="748" w:name="_Toc25505"/>
      <w:bookmarkStart w:id="749" w:name="_Toc7723"/>
      <w:bookmarkStart w:id="750" w:name="_Toc24344"/>
      <w:bookmarkStart w:id="751" w:name="_Toc2564"/>
      <w:bookmarkStart w:id="752" w:name="_Toc3697"/>
      <w:bookmarkStart w:id="753" w:name="_Toc7036"/>
      <w:bookmarkStart w:id="754" w:name="_Toc17832"/>
      <w:bookmarkStart w:id="755" w:name="_Toc73112415"/>
      <w:bookmarkStart w:id="756" w:name="_Toc20772"/>
      <w:bookmarkStart w:id="757" w:name="_Toc8465"/>
      <w:bookmarkStart w:id="758" w:name="_Toc9079"/>
      <w:bookmarkStart w:id="759" w:name="_Toc10791"/>
      <w:bookmarkStart w:id="760" w:name="_Toc16066"/>
      <w:bookmarkStart w:id="761" w:name="_Toc23892"/>
      <w:bookmarkStart w:id="762" w:name="_Toc13786"/>
      <w:bookmarkStart w:id="763" w:name="_Toc23541"/>
      <w:bookmarkStart w:id="764" w:name="_Toc3722"/>
      <w:bookmarkStart w:id="765" w:name="_Toc14199"/>
      <w:bookmarkStart w:id="766" w:name="_Toc788"/>
      <w:bookmarkStart w:id="767" w:name="_Toc9919"/>
      <w:bookmarkStart w:id="768" w:name="_Toc28487"/>
      <w:bookmarkStart w:id="769" w:name="_Toc217"/>
      <w:bookmarkStart w:id="770" w:name="_Toc9825"/>
      <w:r>
        <w:rPr>
          <w:rFonts w:hint="eastAsia" w:ascii="仿宋" w:hAnsi="仿宋" w:eastAsia="仿宋" w:cs="仿宋"/>
          <w:b/>
          <w:bCs/>
        </w:rPr>
        <w:t>1技术及培训服务</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673E0490">
      <w:pPr>
        <w:pStyle w:val="16"/>
        <w:snapToGrid w:val="0"/>
        <w:spacing w:line="360" w:lineRule="auto"/>
        <w:ind w:firstLine="48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lang w:val="en-US" w:eastAsia="zh-CN"/>
        </w:rPr>
        <w:t>不少于</w:t>
      </w:r>
      <w:r>
        <w:rPr>
          <w:rFonts w:hint="eastAsia" w:ascii="仿宋" w:hAnsi="仿宋" w:eastAsia="仿宋" w:cs="仿宋"/>
          <w:u w:val="single"/>
          <w:shd w:val="pct10" w:color="auto" w:fill="FFFFFF"/>
        </w:rPr>
        <w:t xml:space="preserve"> 5</w:t>
      </w:r>
      <w:r>
        <w:rPr>
          <w:rFonts w:hint="eastAsia" w:ascii="仿宋" w:hAnsi="仿宋" w:eastAsia="仿宋" w:cs="仿宋"/>
          <w:u w:val="single"/>
        </w:rPr>
        <w:t xml:space="preserve"> </w:t>
      </w:r>
      <w:r>
        <w:rPr>
          <w:rFonts w:hint="eastAsia" w:ascii="仿宋" w:hAnsi="仿宋" w:eastAsia="仿宋" w:cs="仿宋"/>
        </w:rPr>
        <w:t>名工程技术人员、维修人员和操作人员提供不少于</w:t>
      </w:r>
      <w:r>
        <w:rPr>
          <w:rFonts w:hint="eastAsia" w:ascii="仿宋" w:hAnsi="仿宋" w:eastAsia="仿宋" w:cs="仿宋"/>
          <w:u w:val="single"/>
          <w:shd w:val="pct10" w:color="auto" w:fill="FFFFFF"/>
        </w:rPr>
        <w:t xml:space="preserve"> 10</w:t>
      </w:r>
      <w:r>
        <w:rPr>
          <w:rFonts w:hint="eastAsia" w:ascii="仿宋" w:hAnsi="仿宋" w:eastAsia="仿宋" w:cs="仿宋"/>
          <w:u w:val="single"/>
        </w:rPr>
        <w:t xml:space="preserve"> </w:t>
      </w:r>
      <w:r>
        <w:rPr>
          <w:rFonts w:hint="eastAsia" w:ascii="仿宋" w:hAnsi="仿宋" w:eastAsia="仿宋" w:cs="仿宋"/>
        </w:rPr>
        <w:t>个日历日的免费的、生产制造现场的理论、技术和操作、维修、安全等方面的指导和培训，并为招标方受培训人员提供免费的培训地交通、食宿条件。</w:t>
      </w:r>
    </w:p>
    <w:p w14:paraId="11130BF4">
      <w:pPr>
        <w:pStyle w:val="16"/>
        <w:snapToGrid w:val="0"/>
        <w:spacing w:line="360" w:lineRule="auto"/>
        <w:ind w:firstLine="480" w:firstLineChars="200"/>
        <w:rPr>
          <w:rFonts w:ascii="仿宋" w:hAnsi="仿宋" w:eastAsia="仿宋" w:cs="仿宋"/>
        </w:rPr>
      </w:pPr>
      <w:r>
        <w:rPr>
          <w:rFonts w:hint="eastAsia" w:ascii="仿宋" w:hAnsi="仿宋" w:eastAsia="仿宋" w:cs="仿宋"/>
        </w:rPr>
        <w:t>1.2投标方应负责在招标方货物（或生产线）使用现场，进行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0867A287">
      <w:pPr>
        <w:pStyle w:val="16"/>
        <w:snapToGrid w:val="0"/>
        <w:spacing w:line="360" w:lineRule="auto"/>
        <w:ind w:firstLine="48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1EFAD26B">
      <w:pPr>
        <w:pStyle w:val="16"/>
        <w:snapToGrid w:val="0"/>
        <w:spacing w:line="360" w:lineRule="auto"/>
        <w:ind w:firstLine="48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1.4投标方应按要求，免费积极协助和提供招标方以及招标方所委托的工程设计单位有关人员所需要的、与货物（或生产线）有关的工程设计资料、技术咨询等。</w:t>
      </w:r>
    </w:p>
    <w:p w14:paraId="7E7AD4F5">
      <w:pPr>
        <w:pStyle w:val="16"/>
        <w:snapToGrid w:val="0"/>
        <w:spacing w:line="360" w:lineRule="auto"/>
        <w:ind w:firstLine="480" w:firstLineChars="200"/>
        <w:rPr>
          <w:rFonts w:ascii="仿宋" w:hAnsi="仿宋" w:eastAsia="仿宋" w:cs="仿宋"/>
        </w:rPr>
      </w:pPr>
      <w:r>
        <w:rPr>
          <w:rFonts w:hint="eastAsia" w:ascii="仿宋" w:hAnsi="仿宋" w:eastAsia="仿宋" w:cs="仿宋"/>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7ECB9CD7">
      <w:pPr>
        <w:pStyle w:val="16"/>
        <w:snapToGrid w:val="0"/>
        <w:spacing w:line="360" w:lineRule="auto"/>
        <w:ind w:firstLine="480" w:firstLineChars="200"/>
        <w:rPr>
          <w:rFonts w:ascii="仿宋" w:hAnsi="仿宋" w:eastAsia="仿宋" w:cs="仿宋"/>
        </w:rPr>
      </w:pPr>
      <w:r>
        <w:rPr>
          <w:rFonts w:hint="eastAsia" w:ascii="仿宋" w:hAnsi="仿宋" w:eastAsia="仿宋" w:cs="仿宋"/>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73BA6986">
      <w:pPr>
        <w:snapToGrid w:val="0"/>
        <w:spacing w:line="360" w:lineRule="auto"/>
        <w:ind w:left="480"/>
        <w:outlineLvl w:val="1"/>
        <w:rPr>
          <w:rFonts w:ascii="仿宋" w:hAnsi="仿宋" w:eastAsia="仿宋" w:cs="仿宋"/>
          <w:b/>
          <w:bCs/>
        </w:rPr>
      </w:pPr>
      <w:bookmarkStart w:id="771" w:name="_Toc22880"/>
      <w:bookmarkStart w:id="772" w:name="_Toc25721"/>
      <w:bookmarkStart w:id="773" w:name="_Toc29413"/>
      <w:bookmarkStart w:id="774" w:name="_Toc1420"/>
      <w:bookmarkStart w:id="775" w:name="_Toc3907"/>
      <w:bookmarkStart w:id="776" w:name="_Toc11060"/>
      <w:bookmarkStart w:id="777" w:name="_Toc16259"/>
      <w:bookmarkStart w:id="778" w:name="_Toc1176"/>
      <w:bookmarkStart w:id="779" w:name="_Toc29981"/>
      <w:bookmarkStart w:id="780" w:name="_Toc29691"/>
      <w:bookmarkStart w:id="781" w:name="_Toc15028"/>
      <w:bookmarkStart w:id="782" w:name="_Toc19800"/>
      <w:bookmarkStart w:id="783" w:name="_Toc5703"/>
      <w:bookmarkStart w:id="784" w:name="_Toc22693"/>
      <w:bookmarkStart w:id="785" w:name="_Toc13235"/>
      <w:bookmarkStart w:id="786" w:name="_Toc21693"/>
      <w:bookmarkStart w:id="787" w:name="_Toc9824"/>
      <w:bookmarkStart w:id="788" w:name="_Toc3892"/>
      <w:bookmarkStart w:id="789" w:name="_Toc31039"/>
      <w:bookmarkStart w:id="790" w:name="_Toc13970"/>
      <w:bookmarkStart w:id="791" w:name="_Toc16867"/>
      <w:bookmarkStart w:id="792" w:name="_Toc3976"/>
      <w:bookmarkStart w:id="793" w:name="_Toc19866"/>
      <w:bookmarkStart w:id="794" w:name="_Toc6394"/>
      <w:bookmarkStart w:id="795" w:name="_Toc11516"/>
      <w:bookmarkStart w:id="796" w:name="_Toc13864"/>
      <w:bookmarkStart w:id="797" w:name="_Toc25347"/>
      <w:bookmarkStart w:id="798" w:name="_Toc22719"/>
      <w:bookmarkStart w:id="799" w:name="_Toc17516"/>
      <w:bookmarkStart w:id="800" w:name="_Toc17849"/>
      <w:bookmarkStart w:id="801" w:name="_Toc30271"/>
      <w:bookmarkStart w:id="802" w:name="_Toc16207"/>
      <w:bookmarkStart w:id="803" w:name="_Toc73112416"/>
      <w:bookmarkStart w:id="804" w:name="_Toc3042"/>
      <w:bookmarkStart w:id="805" w:name="_Toc26880"/>
      <w:bookmarkStart w:id="806" w:name="_Toc15460"/>
      <w:bookmarkStart w:id="807" w:name="_Toc32690"/>
      <w:bookmarkStart w:id="808" w:name="_Toc16493"/>
      <w:bookmarkStart w:id="809" w:name="_Toc26430"/>
      <w:bookmarkStart w:id="810" w:name="_Toc17865"/>
      <w:bookmarkStart w:id="811" w:name="_Toc14504"/>
      <w:bookmarkStart w:id="812" w:name="_Toc28265"/>
      <w:bookmarkStart w:id="813" w:name="_Toc10782"/>
      <w:r>
        <w:rPr>
          <w:rFonts w:hint="eastAsia" w:ascii="仿宋" w:hAnsi="仿宋" w:eastAsia="仿宋" w:cs="仿宋"/>
          <w:b/>
          <w:bCs/>
        </w:rPr>
        <w:t>2安装调试服务</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03294246">
      <w:pPr>
        <w:pStyle w:val="16"/>
        <w:snapToGrid w:val="0"/>
        <w:spacing w:line="360" w:lineRule="auto"/>
        <w:ind w:firstLine="480" w:firstLineChars="200"/>
        <w:rPr>
          <w:rFonts w:ascii="仿宋" w:hAnsi="仿宋" w:eastAsia="仿宋" w:cs="仿宋"/>
        </w:rPr>
      </w:pPr>
      <w:r>
        <w:rPr>
          <w:rFonts w:hint="eastAsia" w:ascii="仿宋" w:hAnsi="仿宋" w:eastAsia="仿宋" w:cs="仿宋"/>
        </w:rPr>
        <w:t>2.1根据货物（或生产线）的要求，调试可分空载和负载两个阶段进行；招标方将予以积极配合，协助投标方达到货物（或生产线）的各项技术指标和性能要求。</w:t>
      </w:r>
    </w:p>
    <w:p w14:paraId="50AF0D88">
      <w:pPr>
        <w:pStyle w:val="16"/>
        <w:snapToGrid w:val="0"/>
        <w:spacing w:line="360" w:lineRule="auto"/>
        <w:ind w:firstLine="480" w:firstLineChars="200"/>
        <w:rPr>
          <w:rFonts w:ascii="仿宋" w:hAnsi="仿宋" w:eastAsia="仿宋" w:cs="仿宋"/>
        </w:rPr>
      </w:pPr>
      <w:r>
        <w:rPr>
          <w:rFonts w:hint="eastAsia" w:ascii="仿宋" w:hAnsi="仿宋" w:eastAsia="仿宋" w:cs="仿宋"/>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052F3831">
      <w:pPr>
        <w:pStyle w:val="16"/>
        <w:snapToGrid w:val="0"/>
        <w:spacing w:line="360" w:lineRule="auto"/>
        <w:ind w:firstLine="48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414F2398">
      <w:pPr>
        <w:snapToGrid w:val="0"/>
        <w:spacing w:line="360" w:lineRule="auto"/>
        <w:ind w:left="480"/>
        <w:outlineLvl w:val="1"/>
        <w:rPr>
          <w:rFonts w:ascii="仿宋" w:hAnsi="仿宋" w:eastAsia="仿宋" w:cs="仿宋"/>
          <w:b/>
          <w:bCs/>
        </w:rPr>
      </w:pPr>
      <w:bookmarkStart w:id="814" w:name="_Toc1585"/>
      <w:bookmarkStart w:id="815" w:name="_Toc16706"/>
      <w:bookmarkStart w:id="816" w:name="_Toc17427"/>
      <w:bookmarkStart w:id="817" w:name="_Toc30193"/>
      <w:bookmarkStart w:id="818" w:name="_Toc29245"/>
      <w:bookmarkStart w:id="819" w:name="_Toc18269"/>
      <w:bookmarkStart w:id="820" w:name="_Toc7956"/>
      <w:bookmarkStart w:id="821" w:name="_Toc11229"/>
      <w:bookmarkStart w:id="822" w:name="_Toc24615"/>
      <w:bookmarkStart w:id="823" w:name="_Toc17284"/>
      <w:bookmarkStart w:id="824" w:name="_Toc13921"/>
      <w:bookmarkStart w:id="825" w:name="_Toc16435"/>
      <w:bookmarkStart w:id="826" w:name="_Toc10635"/>
      <w:bookmarkStart w:id="827" w:name="_Toc1565"/>
      <w:bookmarkStart w:id="828" w:name="_Toc4751"/>
      <w:bookmarkStart w:id="829" w:name="_Toc13443"/>
      <w:bookmarkStart w:id="830" w:name="_Toc3170"/>
      <w:bookmarkStart w:id="831" w:name="_Toc628"/>
      <w:bookmarkStart w:id="832" w:name="_Toc2097"/>
      <w:bookmarkStart w:id="833" w:name="_Toc32488"/>
      <w:bookmarkStart w:id="834" w:name="_Toc7783"/>
      <w:bookmarkStart w:id="835" w:name="_Toc29126"/>
      <w:bookmarkStart w:id="836" w:name="_Toc2510"/>
      <w:bookmarkStart w:id="837" w:name="_Toc9329"/>
      <w:bookmarkStart w:id="838" w:name="_Toc16337"/>
      <w:bookmarkStart w:id="839" w:name="_Toc19674"/>
      <w:bookmarkStart w:id="840" w:name="_Toc218"/>
      <w:bookmarkStart w:id="841" w:name="_Toc29125"/>
      <w:bookmarkStart w:id="842" w:name="_Toc8975"/>
      <w:bookmarkStart w:id="843" w:name="_Toc2657"/>
      <w:bookmarkStart w:id="844" w:name="_Toc12232"/>
      <w:bookmarkStart w:id="845" w:name="_Toc25079"/>
      <w:bookmarkStart w:id="846" w:name="_Toc4076"/>
      <w:bookmarkStart w:id="847" w:name="_Toc22871"/>
      <w:bookmarkStart w:id="848" w:name="_Toc16916"/>
      <w:bookmarkStart w:id="849" w:name="_Toc9269"/>
      <w:bookmarkStart w:id="850" w:name="_Toc73112417"/>
      <w:bookmarkStart w:id="851" w:name="_Toc12739"/>
      <w:bookmarkStart w:id="852" w:name="_Toc9878"/>
      <w:bookmarkStart w:id="853" w:name="_Toc30398"/>
      <w:bookmarkStart w:id="854" w:name="_Toc32442"/>
      <w:bookmarkStart w:id="855" w:name="_Toc19810"/>
      <w:bookmarkStart w:id="856" w:name="_Toc16373"/>
      <w:r>
        <w:rPr>
          <w:rFonts w:hint="eastAsia" w:ascii="仿宋" w:hAnsi="仿宋" w:eastAsia="仿宋" w:cs="仿宋"/>
          <w:b/>
          <w:bCs/>
        </w:rPr>
        <w:t>3验收服务</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7C59B0B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3.1投标方在招标方现场进行的货物（或生产线）的预验收和终验收配合或指导，应当是免费的。</w:t>
      </w:r>
    </w:p>
    <w:p w14:paraId="190A8AB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15F19AA7">
      <w:pPr>
        <w:tabs>
          <w:tab w:val="left" w:pos="-1800"/>
          <w:tab w:val="left" w:pos="720"/>
        </w:tabs>
        <w:snapToGrid w:val="0"/>
        <w:spacing w:line="360" w:lineRule="auto"/>
        <w:ind w:firstLine="420" w:firstLineChars="200"/>
        <w:rPr>
          <w:rFonts w:ascii="仿宋" w:hAnsi="仿宋" w:eastAsia="仿宋" w:cs="仿宋"/>
        </w:rPr>
      </w:pPr>
      <w:r>
        <w:rPr>
          <w:rFonts w:hint="eastAsia" w:ascii="仿宋" w:hAnsi="仿宋" w:eastAsia="仿宋" w:cs="仿宋"/>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03F0C51">
      <w:pPr>
        <w:snapToGrid w:val="0"/>
        <w:spacing w:line="360" w:lineRule="auto"/>
        <w:ind w:firstLine="420" w:firstLineChars="200"/>
        <w:rPr>
          <w:rFonts w:ascii="仿宋" w:hAnsi="仿宋" w:eastAsia="仿宋" w:cs="仿宋"/>
        </w:rPr>
      </w:pPr>
      <w:r>
        <w:rPr>
          <w:rFonts w:hint="eastAsia" w:ascii="仿宋" w:hAnsi="仿宋" w:eastAsia="仿宋" w:cs="仿宋"/>
        </w:rPr>
        <w:t>3.4合格验收时，投标方提供测量功能设备及计量器具资质合格证书，招标方根据实际情况进行相关复检，复检合格视为合格。</w:t>
      </w:r>
    </w:p>
    <w:p w14:paraId="1C386445">
      <w:pPr>
        <w:snapToGrid w:val="0"/>
        <w:spacing w:line="360" w:lineRule="auto"/>
        <w:ind w:left="480"/>
        <w:outlineLvl w:val="1"/>
        <w:rPr>
          <w:rFonts w:ascii="仿宋" w:hAnsi="仿宋" w:eastAsia="仿宋" w:cs="仿宋"/>
          <w:b/>
          <w:bCs/>
        </w:rPr>
      </w:pPr>
      <w:bookmarkStart w:id="857" w:name="_Toc2093"/>
      <w:bookmarkStart w:id="858" w:name="_Toc9592"/>
      <w:bookmarkStart w:id="859" w:name="_Toc20717"/>
      <w:bookmarkStart w:id="860" w:name="_Toc29300"/>
      <w:bookmarkStart w:id="861" w:name="_Toc6099"/>
      <w:bookmarkStart w:id="862" w:name="_Toc10808"/>
      <w:bookmarkStart w:id="863" w:name="_Toc32079"/>
      <w:bookmarkStart w:id="864" w:name="_Toc4417"/>
      <w:bookmarkStart w:id="865" w:name="_Toc20426"/>
      <w:bookmarkStart w:id="866" w:name="_Toc27224"/>
      <w:bookmarkStart w:id="867" w:name="_Toc21987"/>
      <w:bookmarkStart w:id="868" w:name="_Toc1454"/>
      <w:bookmarkStart w:id="869" w:name="_Toc1199"/>
      <w:bookmarkStart w:id="870" w:name="_Toc10014"/>
      <w:bookmarkStart w:id="871" w:name="_Toc22965"/>
      <w:bookmarkStart w:id="872" w:name="_Toc7782"/>
      <w:bookmarkStart w:id="873" w:name="_Toc14739"/>
      <w:bookmarkStart w:id="874" w:name="_Toc32682"/>
      <w:bookmarkStart w:id="875" w:name="_Toc542"/>
      <w:bookmarkStart w:id="876" w:name="_Toc20081"/>
      <w:bookmarkStart w:id="877" w:name="_Toc22392"/>
      <w:bookmarkStart w:id="878" w:name="_Toc17895"/>
      <w:bookmarkStart w:id="879" w:name="_Toc73112418"/>
      <w:bookmarkStart w:id="880" w:name="_Toc18836"/>
      <w:bookmarkStart w:id="881" w:name="_Toc7478"/>
      <w:bookmarkStart w:id="882" w:name="_Toc8078"/>
      <w:bookmarkStart w:id="883" w:name="_Toc1784"/>
      <w:bookmarkStart w:id="884" w:name="_Toc11213"/>
      <w:bookmarkStart w:id="885" w:name="_Toc19397"/>
      <w:bookmarkStart w:id="886" w:name="_Toc19441"/>
      <w:bookmarkStart w:id="887" w:name="_Toc18968"/>
      <w:bookmarkStart w:id="888" w:name="_Toc29778"/>
      <w:bookmarkStart w:id="889" w:name="_Toc17056"/>
      <w:bookmarkStart w:id="890" w:name="_Toc11699"/>
      <w:bookmarkStart w:id="891" w:name="_Toc20916"/>
      <w:bookmarkStart w:id="892" w:name="_Toc1311"/>
      <w:bookmarkStart w:id="893" w:name="_Toc29633"/>
      <w:bookmarkStart w:id="894" w:name="_Toc3798"/>
      <w:bookmarkStart w:id="895" w:name="_Toc30412"/>
      <w:bookmarkStart w:id="896" w:name="_Toc26554"/>
      <w:bookmarkStart w:id="897" w:name="_Toc26773"/>
      <w:bookmarkStart w:id="898" w:name="_Toc6232"/>
      <w:bookmarkStart w:id="899" w:name="_Toc28635"/>
      <w:r>
        <w:rPr>
          <w:rFonts w:hint="eastAsia" w:ascii="仿宋" w:hAnsi="仿宋" w:eastAsia="仿宋" w:cs="仿宋"/>
          <w:b/>
          <w:bCs/>
        </w:rPr>
        <w:t>4售后服务</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13835DF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45E5DC6F">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4.2如发现所提供的货物（或生产线）存在问题，需要投标方解决或配合解决时：在质保期</w:t>
      </w:r>
      <w:r>
        <w:rPr>
          <w:rFonts w:hint="eastAsia" w:ascii="仿宋" w:hAnsi="仿宋" w:eastAsia="仿宋" w:cs="仿宋"/>
          <w:highlight w:val="none"/>
        </w:rPr>
        <w:t>之内，应在接到通知后</w:t>
      </w:r>
      <w:r>
        <w:rPr>
          <w:rFonts w:hint="eastAsia" w:ascii="仿宋" w:hAnsi="仿宋" w:eastAsia="仿宋" w:cs="仿宋"/>
          <w:highlight w:val="none"/>
          <w:u w:val="single"/>
          <w:shd w:val="pct10" w:color="auto" w:fill="FFFFFF"/>
        </w:rPr>
        <w:t>24</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小时内派有关人员到达现场；在质保期之外，应在接到通知后</w:t>
      </w:r>
      <w:r>
        <w:rPr>
          <w:rFonts w:hint="eastAsia" w:ascii="仿宋" w:hAnsi="仿宋" w:eastAsia="仿宋" w:cs="仿宋"/>
          <w:highlight w:val="none"/>
          <w:u w:val="single"/>
          <w:shd w:val="pct10" w:color="auto" w:fill="FFFFFF"/>
        </w:rPr>
        <w:t>48</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w:t>
      </w:r>
    </w:p>
    <w:p w14:paraId="4F62EFDD">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4.3投标方派往招标方使用现场的人员，应具有较高的业务素质；现场解决问题时，不得无故拖延或推迟，应为招标方提供最佳的服务。</w:t>
      </w:r>
    </w:p>
    <w:p w14:paraId="218E8B96">
      <w:pPr>
        <w:adjustRightInd w:val="0"/>
        <w:snapToGrid w:val="0"/>
        <w:spacing w:line="360" w:lineRule="auto"/>
        <w:ind w:firstLine="420" w:firstLineChars="200"/>
        <w:rPr>
          <w:rFonts w:hint="eastAsia" w:eastAsia="仿宋"/>
          <w:highlight w:val="none"/>
          <w:lang w:eastAsia="zh-CN"/>
        </w:rPr>
      </w:pPr>
      <w:r>
        <w:rPr>
          <w:rFonts w:hint="eastAsia" w:ascii="仿宋" w:hAnsi="仿宋" w:eastAsia="仿宋" w:cs="仿宋"/>
          <w:highlight w:val="none"/>
        </w:rPr>
        <w:t>4.</w:t>
      </w:r>
      <w:r>
        <w:rPr>
          <w:rFonts w:hint="eastAsia" w:ascii="仿宋" w:hAnsi="仿宋" w:eastAsia="仿宋" w:cs="仿宋"/>
          <w:highlight w:val="none"/>
          <w:lang w:val="en-US" w:eastAsia="zh-CN"/>
        </w:rPr>
        <w:t>4设备（或生产线）在使用周期内，投标方免费派遣技术人员与甲方调试团队共同进行设备通讯接口的调试工作。</w:t>
      </w:r>
    </w:p>
    <w:p w14:paraId="417D1E52">
      <w:pPr>
        <w:snapToGrid w:val="0"/>
        <w:spacing w:line="360" w:lineRule="auto"/>
        <w:ind w:left="480"/>
        <w:outlineLvl w:val="1"/>
        <w:rPr>
          <w:rFonts w:ascii="仿宋" w:hAnsi="仿宋" w:eastAsia="仿宋" w:cs="仿宋"/>
          <w:b/>
          <w:bCs/>
          <w:highlight w:val="none"/>
        </w:rPr>
      </w:pPr>
      <w:bookmarkStart w:id="900" w:name="_Toc25994"/>
      <w:bookmarkStart w:id="901" w:name="_Toc21895"/>
      <w:bookmarkStart w:id="902" w:name="_Toc20936"/>
      <w:bookmarkStart w:id="903" w:name="_Toc32502"/>
      <w:bookmarkStart w:id="904" w:name="_Toc18148"/>
      <w:bookmarkStart w:id="905" w:name="_Toc19301"/>
      <w:bookmarkStart w:id="906" w:name="_Toc73112419"/>
      <w:bookmarkStart w:id="907" w:name="_Toc6354"/>
      <w:bookmarkStart w:id="908" w:name="_Toc30999"/>
      <w:bookmarkStart w:id="909" w:name="_Toc17891"/>
      <w:bookmarkStart w:id="910" w:name="_Toc12294"/>
      <w:bookmarkStart w:id="911" w:name="_Toc28927"/>
      <w:bookmarkStart w:id="912" w:name="_Toc27505"/>
      <w:bookmarkStart w:id="913" w:name="_Toc30887"/>
      <w:bookmarkStart w:id="914" w:name="_Toc7130"/>
      <w:bookmarkStart w:id="915" w:name="_Toc9982"/>
      <w:bookmarkStart w:id="916" w:name="_Toc10752"/>
      <w:bookmarkStart w:id="917" w:name="_Toc31498"/>
      <w:bookmarkStart w:id="918" w:name="_Toc26287"/>
      <w:bookmarkStart w:id="919" w:name="_Toc26623"/>
      <w:bookmarkStart w:id="920" w:name="_Toc20327"/>
      <w:bookmarkStart w:id="921" w:name="_Toc1118"/>
      <w:bookmarkStart w:id="922" w:name="_Toc3819"/>
      <w:bookmarkStart w:id="923" w:name="_Toc6107"/>
      <w:bookmarkStart w:id="924" w:name="_Toc32366"/>
      <w:bookmarkStart w:id="925" w:name="_Toc27733"/>
      <w:bookmarkStart w:id="926" w:name="_Toc4793"/>
      <w:bookmarkStart w:id="927" w:name="_Toc14349"/>
      <w:bookmarkStart w:id="928" w:name="_Toc913"/>
      <w:bookmarkStart w:id="929" w:name="_Toc6730"/>
      <w:bookmarkStart w:id="930" w:name="_Toc26976"/>
      <w:bookmarkStart w:id="931" w:name="_Toc115"/>
      <w:bookmarkStart w:id="932" w:name="_Toc27285"/>
      <w:bookmarkStart w:id="933" w:name="_Toc22732"/>
      <w:bookmarkStart w:id="934" w:name="_Toc25242"/>
      <w:bookmarkStart w:id="935" w:name="_Toc1573"/>
      <w:bookmarkStart w:id="936" w:name="_Toc13974"/>
      <w:bookmarkStart w:id="937" w:name="_Toc22593"/>
      <w:bookmarkStart w:id="938" w:name="_Toc25693"/>
      <w:bookmarkStart w:id="939" w:name="_Toc6984"/>
      <w:bookmarkStart w:id="940" w:name="_Toc16849"/>
      <w:bookmarkStart w:id="941" w:name="_Toc9688"/>
      <w:bookmarkStart w:id="942" w:name="_Toc14447"/>
      <w:r>
        <w:rPr>
          <w:rFonts w:hint="eastAsia" w:ascii="仿宋" w:hAnsi="仿宋" w:eastAsia="仿宋" w:cs="仿宋"/>
          <w:b/>
          <w:bCs/>
          <w:highlight w:val="none"/>
        </w:rPr>
        <w:t>5其它服务</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60FD428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5.1若投标方所提供货物（或生产线）有需要进口的，投标方一般应自行、自费办理；必要时，招标方和投标方共同办理。</w:t>
      </w:r>
    </w:p>
    <w:p w14:paraId="7F05F77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5.2除招标文件、投标文件、答疑文件、技术协议、合同等约定之外，投标方应免费负责必要的或强制性的货物（或生产线）的检验、试验、化验等直接费用。</w:t>
      </w:r>
      <w:bookmarkStart w:id="943" w:name="_Toc133783974"/>
    </w:p>
    <w:p w14:paraId="4220FCF7">
      <w:pPr>
        <w:adjustRightInd w:val="0"/>
        <w:snapToGrid w:val="0"/>
        <w:spacing w:before="163" w:beforeLines="50" w:after="163" w:afterLines="50" w:line="360" w:lineRule="auto"/>
        <w:jc w:val="center"/>
        <w:outlineLvl w:val="0"/>
        <w:rPr>
          <w:rFonts w:ascii="仿宋" w:hAnsi="仿宋" w:eastAsia="仿宋" w:cs="仿宋"/>
          <w:b/>
          <w:bCs/>
        </w:rPr>
      </w:pPr>
      <w:bookmarkStart w:id="944" w:name="_Toc19208"/>
      <w:bookmarkStart w:id="945" w:name="_Toc2800"/>
      <w:bookmarkStart w:id="946" w:name="_Toc10438"/>
      <w:bookmarkStart w:id="947" w:name="_Toc18621"/>
      <w:bookmarkStart w:id="948" w:name="_Toc19942"/>
      <w:bookmarkStart w:id="949" w:name="_Toc27484"/>
      <w:bookmarkStart w:id="950" w:name="_Toc12454"/>
      <w:bookmarkStart w:id="951" w:name="_Toc11150"/>
      <w:bookmarkStart w:id="952" w:name="_Toc32409"/>
      <w:bookmarkStart w:id="953" w:name="_Toc5013"/>
      <w:bookmarkStart w:id="954" w:name="_Toc25825"/>
      <w:bookmarkStart w:id="955" w:name="_Toc19017"/>
      <w:bookmarkStart w:id="956" w:name="_Toc13250"/>
      <w:bookmarkStart w:id="957" w:name="_Toc18030"/>
      <w:bookmarkStart w:id="958" w:name="_Toc5996"/>
      <w:bookmarkStart w:id="959" w:name="_Toc25057"/>
      <w:bookmarkStart w:id="960" w:name="_Toc29777"/>
      <w:bookmarkStart w:id="961" w:name="_Toc14411"/>
      <w:bookmarkStart w:id="962" w:name="_Toc30293"/>
      <w:bookmarkStart w:id="963" w:name="_Toc24752"/>
      <w:bookmarkStart w:id="964" w:name="_Toc9482"/>
      <w:bookmarkStart w:id="965" w:name="_Toc32483"/>
      <w:bookmarkStart w:id="966" w:name="_Toc9251"/>
      <w:bookmarkStart w:id="967" w:name="_Toc9498"/>
      <w:bookmarkStart w:id="968" w:name="_Toc15356"/>
      <w:bookmarkStart w:id="969" w:name="_Toc73112420"/>
      <w:bookmarkStart w:id="970" w:name="_Toc2140"/>
      <w:bookmarkStart w:id="971" w:name="_Toc7461"/>
      <w:bookmarkStart w:id="972" w:name="_Toc8076"/>
      <w:bookmarkStart w:id="973" w:name="_Toc23730"/>
      <w:bookmarkStart w:id="974" w:name="_Toc9121"/>
      <w:bookmarkStart w:id="975" w:name="_Toc10873"/>
      <w:bookmarkStart w:id="976" w:name="_Toc10492"/>
      <w:bookmarkStart w:id="977" w:name="_Toc22725"/>
      <w:bookmarkStart w:id="978" w:name="_Toc16312"/>
      <w:bookmarkStart w:id="979" w:name="_Toc8547"/>
      <w:bookmarkStart w:id="980" w:name="_Toc16355"/>
      <w:bookmarkStart w:id="981" w:name="_Toc4011"/>
      <w:bookmarkStart w:id="982" w:name="_Toc21122"/>
      <w:bookmarkStart w:id="983" w:name="_Toc6228"/>
      <w:bookmarkStart w:id="984" w:name="_Toc29269"/>
      <w:bookmarkStart w:id="985" w:name="_Toc12013"/>
      <w:bookmarkStart w:id="986" w:name="_Toc26489"/>
      <w:bookmarkStart w:id="987" w:name="_Toc13895"/>
      <w:r>
        <w:rPr>
          <w:rFonts w:hint="eastAsia" w:ascii="仿宋" w:hAnsi="仿宋" w:eastAsia="仿宋" w:cs="仿宋"/>
          <w:b/>
          <w:bCs/>
        </w:rPr>
        <w:t>第五章</w:t>
      </w:r>
      <w:r>
        <w:rPr>
          <w:rFonts w:hint="eastAsia" w:ascii="仿宋" w:hAnsi="仿宋" w:eastAsia="仿宋" w:cs="仿宋"/>
          <w:b/>
          <w:bCs/>
          <w:lang w:val="en-US" w:eastAsia="zh-CN"/>
        </w:rPr>
        <w:t xml:space="preserve"> </w:t>
      </w:r>
      <w:r>
        <w:rPr>
          <w:rFonts w:hint="eastAsia" w:ascii="仿宋" w:hAnsi="仿宋" w:eastAsia="仿宋" w:cs="仿宋"/>
          <w:b/>
          <w:bCs/>
        </w:rPr>
        <w:t>预验收和终验收</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00028EA4">
      <w:pPr>
        <w:snapToGrid w:val="0"/>
        <w:spacing w:line="360" w:lineRule="auto"/>
        <w:ind w:left="482"/>
        <w:outlineLvl w:val="1"/>
        <w:rPr>
          <w:rFonts w:ascii="仿宋" w:hAnsi="仿宋" w:eastAsia="仿宋" w:cs="仿宋"/>
          <w:b/>
          <w:bCs/>
        </w:rPr>
      </w:pPr>
      <w:bookmarkStart w:id="988" w:name="_Toc1286"/>
      <w:bookmarkStart w:id="989" w:name="_Toc17620"/>
      <w:bookmarkStart w:id="990" w:name="_Toc25574"/>
      <w:bookmarkStart w:id="991" w:name="_Toc3676"/>
      <w:bookmarkStart w:id="992" w:name="_Toc23191"/>
      <w:bookmarkStart w:id="993" w:name="_Toc12676"/>
      <w:bookmarkStart w:id="994" w:name="_Toc21557"/>
      <w:bookmarkStart w:id="995" w:name="_Toc14965"/>
      <w:bookmarkStart w:id="996" w:name="_Toc29608"/>
      <w:bookmarkStart w:id="997" w:name="_Toc27951"/>
      <w:bookmarkStart w:id="998" w:name="_Toc24809"/>
      <w:bookmarkStart w:id="999" w:name="_Toc24517"/>
      <w:bookmarkStart w:id="1000" w:name="_Toc23231"/>
      <w:bookmarkStart w:id="1001" w:name="_Toc27448"/>
      <w:bookmarkStart w:id="1002" w:name="_Toc6924"/>
      <w:bookmarkStart w:id="1003" w:name="_Toc242"/>
      <w:bookmarkStart w:id="1004" w:name="_Toc15025"/>
      <w:bookmarkStart w:id="1005" w:name="_Toc4070"/>
      <w:bookmarkStart w:id="1006" w:name="_Toc7191"/>
      <w:bookmarkStart w:id="1007" w:name="_Toc14541"/>
      <w:bookmarkStart w:id="1008" w:name="_Toc13718"/>
      <w:bookmarkStart w:id="1009" w:name="_Toc7184"/>
      <w:bookmarkStart w:id="1010" w:name="_Toc12587"/>
      <w:bookmarkStart w:id="1011" w:name="_Toc22140"/>
      <w:bookmarkStart w:id="1012" w:name="_Toc6378"/>
      <w:bookmarkStart w:id="1013" w:name="_Toc29611"/>
      <w:bookmarkStart w:id="1014" w:name="_Toc10033"/>
      <w:bookmarkStart w:id="1015" w:name="_Toc12239"/>
      <w:bookmarkStart w:id="1016" w:name="_Toc5401"/>
      <w:bookmarkStart w:id="1017" w:name="_Toc31478"/>
      <w:bookmarkStart w:id="1018" w:name="_Toc22981"/>
      <w:bookmarkStart w:id="1019" w:name="_Toc27225"/>
      <w:bookmarkStart w:id="1020" w:name="_Toc73112421"/>
      <w:bookmarkStart w:id="1021" w:name="_Toc29964"/>
      <w:bookmarkStart w:id="1022" w:name="_Toc28506"/>
      <w:bookmarkStart w:id="1023" w:name="_Toc2326"/>
      <w:bookmarkStart w:id="1024" w:name="_Toc22207"/>
      <w:bookmarkStart w:id="1025" w:name="_Toc9902"/>
      <w:bookmarkStart w:id="1026" w:name="_Toc11331"/>
      <w:bookmarkStart w:id="1027" w:name="_Toc29287"/>
      <w:bookmarkStart w:id="1028" w:name="_Toc28073"/>
      <w:bookmarkStart w:id="1029" w:name="_Toc21206"/>
      <w:bookmarkStart w:id="1030" w:name="_Toc7463"/>
      <w:r>
        <w:rPr>
          <w:rFonts w:hint="eastAsia" w:ascii="仿宋" w:hAnsi="仿宋" w:eastAsia="仿宋" w:cs="仿宋"/>
          <w:b/>
          <w:bCs/>
        </w:rPr>
        <w:t>1验收的一般约定</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44106B38">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1.</w:t>
      </w:r>
      <w:r>
        <w:rPr>
          <w:rFonts w:hint="eastAsia" w:ascii="仿宋" w:hAnsi="仿宋" w:eastAsia="仿宋" w:cs="仿宋"/>
          <w:highlight w:val="none"/>
        </w:rPr>
        <w:t>1验收标准一般以技术协议书和合同规定验收。</w:t>
      </w:r>
    </w:p>
    <w:p w14:paraId="105A4408">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1.2如果验收过程中，发现招标文件、投标文件、答疑文件、技术交流文件等与技术协议书、合同存在差异，原则上以涉及条款中对买方最有利条款为验收依据。</w:t>
      </w:r>
    </w:p>
    <w:p w14:paraId="3FCE6F94">
      <w:pPr>
        <w:snapToGrid w:val="0"/>
        <w:spacing w:line="360" w:lineRule="auto"/>
        <w:ind w:left="482"/>
        <w:outlineLvl w:val="1"/>
        <w:rPr>
          <w:rFonts w:ascii="仿宋" w:hAnsi="仿宋" w:eastAsia="仿宋" w:cs="仿宋"/>
          <w:b/>
          <w:bCs/>
          <w:highlight w:val="none"/>
        </w:rPr>
      </w:pPr>
      <w:bookmarkStart w:id="1031" w:name="_Toc17720"/>
      <w:bookmarkStart w:id="1032" w:name="_Toc17335"/>
      <w:bookmarkStart w:id="1033" w:name="_Toc513"/>
      <w:bookmarkStart w:id="1034" w:name="_Toc23133"/>
      <w:bookmarkStart w:id="1035" w:name="_Toc31116"/>
      <w:bookmarkStart w:id="1036" w:name="_Toc21722"/>
      <w:bookmarkStart w:id="1037" w:name="_Toc13173"/>
      <w:bookmarkStart w:id="1038" w:name="_Toc22558"/>
      <w:bookmarkStart w:id="1039" w:name="_Toc26712"/>
      <w:bookmarkStart w:id="1040" w:name="_Toc8093"/>
      <w:bookmarkStart w:id="1041" w:name="_Toc11248"/>
      <w:bookmarkStart w:id="1042" w:name="_Toc10568"/>
      <w:bookmarkStart w:id="1043" w:name="_Toc21568"/>
      <w:bookmarkStart w:id="1044" w:name="_Toc32581"/>
      <w:bookmarkStart w:id="1045" w:name="_Toc13736"/>
      <w:bookmarkStart w:id="1046" w:name="_Toc7457"/>
      <w:bookmarkStart w:id="1047" w:name="_Toc15379"/>
      <w:bookmarkStart w:id="1048" w:name="_Toc30274"/>
      <w:bookmarkStart w:id="1049" w:name="_Toc6206"/>
      <w:bookmarkStart w:id="1050" w:name="_Toc23919"/>
      <w:bookmarkStart w:id="1051" w:name="_Toc25951"/>
      <w:bookmarkStart w:id="1052" w:name="_Toc6471"/>
      <w:bookmarkStart w:id="1053" w:name="_Toc1155"/>
      <w:bookmarkStart w:id="1054" w:name="_Toc8916"/>
      <w:bookmarkStart w:id="1055" w:name="_Toc16943"/>
      <w:bookmarkStart w:id="1056" w:name="_Toc21414"/>
      <w:bookmarkStart w:id="1057" w:name="_Toc11335"/>
      <w:bookmarkStart w:id="1058" w:name="_Toc73112422"/>
      <w:bookmarkStart w:id="1059" w:name="_Toc19505"/>
      <w:bookmarkStart w:id="1060" w:name="_Toc2310"/>
      <w:bookmarkStart w:id="1061" w:name="_Toc8742"/>
      <w:bookmarkStart w:id="1062" w:name="_Toc27467"/>
      <w:bookmarkStart w:id="1063" w:name="_Toc28873"/>
      <w:bookmarkStart w:id="1064" w:name="_Toc22158"/>
      <w:bookmarkStart w:id="1065" w:name="_Toc18517"/>
      <w:bookmarkStart w:id="1066" w:name="_Toc9729"/>
      <w:bookmarkStart w:id="1067" w:name="_Toc27120"/>
      <w:bookmarkStart w:id="1068" w:name="_Toc20876"/>
      <w:bookmarkStart w:id="1069" w:name="_Toc29669"/>
      <w:bookmarkStart w:id="1070" w:name="_Toc28925"/>
      <w:bookmarkStart w:id="1071" w:name="_Toc10200"/>
      <w:bookmarkStart w:id="1072" w:name="_Toc8338"/>
      <w:bookmarkStart w:id="1073" w:name="_Toc7863"/>
      <w:r>
        <w:rPr>
          <w:rFonts w:hint="eastAsia" w:ascii="仿宋" w:hAnsi="仿宋" w:eastAsia="仿宋" w:cs="仿宋"/>
          <w:b/>
          <w:bCs/>
          <w:highlight w:val="none"/>
        </w:rPr>
        <w:t>2检验</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36956CF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2.1国产货物（或生产线）的检验由卖买双方按照合同要求或在制造现场进行。</w:t>
      </w:r>
    </w:p>
    <w:p w14:paraId="053FA46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2.2进口货物（或生产线）的检验按照下述要求进行：</w:t>
      </w:r>
    </w:p>
    <w:p w14:paraId="05E387F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2.1.1进口货物（或生产线）发货前，卖方应对货物（或生产线）的质量、型号、规格、性能和数量/重量作精密、全面的检验，并出具证明书，证明所供货物（或生产线）符合合同规定。</w:t>
      </w:r>
    </w:p>
    <w:p w14:paraId="4888584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2.1.2卖方应依据合同规定的要求，提供买卖双方达成一致的货物（或生产线）的验收标准和装箱单，作为买方检验的依据。</w:t>
      </w:r>
    </w:p>
    <w:p w14:paraId="2C49849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3F76D061">
      <w:pPr>
        <w:snapToGrid w:val="0"/>
        <w:spacing w:line="360" w:lineRule="auto"/>
        <w:ind w:left="482"/>
        <w:outlineLvl w:val="1"/>
        <w:rPr>
          <w:rFonts w:ascii="仿宋" w:hAnsi="仿宋" w:eastAsia="仿宋" w:cs="仿宋"/>
          <w:b/>
          <w:bCs/>
        </w:rPr>
      </w:pPr>
      <w:bookmarkStart w:id="1074" w:name="_Toc32111"/>
      <w:bookmarkStart w:id="1075" w:name="_Toc16665"/>
      <w:bookmarkStart w:id="1076" w:name="_Toc1041"/>
      <w:bookmarkStart w:id="1077" w:name="_Toc8477"/>
      <w:bookmarkStart w:id="1078" w:name="_Toc5604"/>
      <w:bookmarkStart w:id="1079" w:name="_Toc11780"/>
      <w:bookmarkStart w:id="1080" w:name="_Toc8128"/>
      <w:bookmarkStart w:id="1081" w:name="_Toc31780"/>
      <w:bookmarkStart w:id="1082" w:name="_Toc30797"/>
      <w:bookmarkStart w:id="1083" w:name="_Toc8664"/>
      <w:bookmarkStart w:id="1084" w:name="_Toc27594"/>
      <w:bookmarkStart w:id="1085" w:name="_Toc14993"/>
      <w:bookmarkStart w:id="1086" w:name="_Toc17499"/>
      <w:bookmarkStart w:id="1087" w:name="_Toc21757"/>
      <w:bookmarkStart w:id="1088" w:name="_Toc27538"/>
      <w:bookmarkStart w:id="1089" w:name="_Toc23252"/>
      <w:bookmarkStart w:id="1090" w:name="_Toc21487"/>
      <w:bookmarkStart w:id="1091" w:name="_Toc27310"/>
      <w:bookmarkStart w:id="1092" w:name="_Toc11846"/>
      <w:bookmarkStart w:id="1093" w:name="_Toc23250"/>
      <w:bookmarkStart w:id="1094" w:name="_Toc10879"/>
      <w:bookmarkStart w:id="1095" w:name="_Toc1969"/>
      <w:bookmarkStart w:id="1096" w:name="_Toc31733"/>
      <w:bookmarkStart w:id="1097" w:name="_Toc25654"/>
      <w:bookmarkStart w:id="1098" w:name="_Toc14844"/>
      <w:bookmarkStart w:id="1099" w:name="_Toc22379"/>
      <w:bookmarkStart w:id="1100" w:name="_Toc14587"/>
      <w:bookmarkStart w:id="1101" w:name="_Toc29497"/>
      <w:bookmarkStart w:id="1102" w:name="_Toc228"/>
      <w:bookmarkStart w:id="1103" w:name="_Toc27145"/>
      <w:bookmarkStart w:id="1104" w:name="_Toc5653"/>
      <w:bookmarkStart w:id="1105" w:name="_Toc15488"/>
      <w:bookmarkStart w:id="1106" w:name="_Toc6506"/>
      <w:bookmarkStart w:id="1107" w:name="_Toc1461"/>
      <w:bookmarkStart w:id="1108" w:name="_Toc18595"/>
      <w:bookmarkStart w:id="1109" w:name="_Toc28225"/>
      <w:bookmarkStart w:id="1110" w:name="_Toc73112423"/>
      <w:bookmarkStart w:id="1111" w:name="_Toc19311"/>
      <w:bookmarkStart w:id="1112" w:name="_Toc14904"/>
      <w:bookmarkStart w:id="1113" w:name="_Toc27629"/>
      <w:bookmarkStart w:id="1114" w:name="_Toc18036"/>
      <w:bookmarkStart w:id="1115" w:name="_Toc16878"/>
      <w:bookmarkStart w:id="1116" w:name="_Toc8214"/>
      <w:r>
        <w:rPr>
          <w:rFonts w:hint="eastAsia" w:ascii="仿宋" w:hAnsi="仿宋" w:eastAsia="仿宋" w:cs="仿宋"/>
          <w:b/>
          <w:bCs/>
        </w:rPr>
        <w:t>3验收条件</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5987F69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BDA3AD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买卖双方按照合同约定执行了合同，同时货物（或生产线）完成了试运行并经检验合格，则具备验收条件。</w:t>
      </w:r>
    </w:p>
    <w:p w14:paraId="147104B2">
      <w:pPr>
        <w:adjustRightInd w:val="0"/>
        <w:snapToGrid w:val="0"/>
        <w:spacing w:line="360" w:lineRule="auto"/>
        <w:ind w:firstLine="420" w:firstLineChars="200"/>
        <w:rPr>
          <w:rFonts w:ascii="仿宋" w:hAnsi="仿宋" w:eastAsia="仿宋" w:cs="仿宋"/>
        </w:rPr>
      </w:pPr>
      <w:bookmarkStart w:id="1117" w:name="_Toc4157"/>
      <w:bookmarkStart w:id="1118" w:name="_Toc16622"/>
      <w:bookmarkStart w:id="1119" w:name="_Toc5473"/>
      <w:bookmarkStart w:id="1120" w:name="_Toc20087"/>
      <w:bookmarkStart w:id="1121" w:name="_Toc23170"/>
      <w:bookmarkStart w:id="1122" w:name="_Toc10389"/>
      <w:bookmarkStart w:id="1123" w:name="_Toc32498"/>
      <w:bookmarkStart w:id="1124" w:name="_Toc27856"/>
      <w:bookmarkStart w:id="1125" w:name="_Toc6731"/>
      <w:bookmarkStart w:id="1126" w:name="_Toc21811"/>
      <w:bookmarkStart w:id="1127" w:name="_Toc5952"/>
      <w:bookmarkStart w:id="1128" w:name="_Toc1849"/>
      <w:bookmarkStart w:id="1129" w:name="_Toc18903"/>
      <w:bookmarkStart w:id="1130" w:name="_Toc22247"/>
      <w:bookmarkStart w:id="1131" w:name="_Toc362"/>
      <w:bookmarkStart w:id="1132" w:name="_Toc771"/>
      <w:bookmarkStart w:id="1133" w:name="_Toc7303"/>
      <w:bookmarkStart w:id="1134" w:name="_Toc11412"/>
      <w:bookmarkStart w:id="1135" w:name="_Toc19344"/>
      <w:bookmarkStart w:id="1136" w:name="_Toc9015"/>
      <w:bookmarkStart w:id="1137" w:name="_Toc17709"/>
      <w:bookmarkStart w:id="1138" w:name="_Toc11902"/>
      <w:bookmarkStart w:id="1139" w:name="_Toc11234"/>
      <w:bookmarkStart w:id="1140" w:name="_Toc10052"/>
      <w:bookmarkStart w:id="1141" w:name="_Toc16974"/>
      <w:bookmarkStart w:id="1142" w:name="_Toc18963"/>
      <w:bookmarkStart w:id="1143" w:name="_Toc20504"/>
      <w:bookmarkStart w:id="1144" w:name="_Toc25547"/>
      <w:bookmarkStart w:id="1145" w:name="_Toc10586"/>
      <w:bookmarkStart w:id="1146" w:name="_Toc24377"/>
      <w:bookmarkStart w:id="1147" w:name="_Toc23548"/>
      <w:bookmarkStart w:id="1148" w:name="_Toc24921"/>
      <w:bookmarkStart w:id="1149" w:name="_Toc3034"/>
      <w:bookmarkStart w:id="1150" w:name="_Toc6977"/>
      <w:bookmarkStart w:id="1151" w:name="_Toc31328"/>
      <w:bookmarkStart w:id="1152" w:name="_Toc4741"/>
      <w:bookmarkStart w:id="1153" w:name="_Toc18487"/>
      <w:bookmarkStart w:id="1154" w:name="_Toc30563"/>
      <w:bookmarkStart w:id="1155" w:name="_Toc31639"/>
      <w:bookmarkStart w:id="1156" w:name="_Toc24814"/>
      <w:bookmarkStart w:id="1157" w:name="_Toc27848"/>
      <w:r>
        <w:rPr>
          <w:rFonts w:hint="eastAsia" w:ascii="仿宋" w:hAnsi="仿宋" w:eastAsia="仿宋" w:cs="仿宋"/>
        </w:rPr>
        <w:t>3.1预验收一般条件</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14745A8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5B303C7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或生产线）应运行稳定、可靠、安全，无非正常变形，非正常振动，无异常声音；无漏水、漏液、漏气（汽）、漏电等现象。运动的零部件（如链条、联轴器、离合器、主轴、工作台等）动作平稳、灵活运动准确。</w:t>
      </w:r>
    </w:p>
    <w:p w14:paraId="020B176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3.1.3货物（或生产线）应完整且所有的零部件应该安装安全、牢固，外观无损伤，所有的焊缝饱满、无残渣等缺陷。</w:t>
      </w:r>
    </w:p>
    <w:p w14:paraId="2026CBB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3.1.4一般情况下，所有的管路和线缆等，接头应完全正确、可靠地联接；应排列有序（正确、牢固、整齐），有必要的防护，无皱褶、收缩和裂缝等不良现象。</w:t>
      </w:r>
    </w:p>
    <w:p w14:paraId="0328E21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3.1.5货物（或生产线）的润滑系统工作正常、可靠，润滑点易于到达。</w:t>
      </w:r>
    </w:p>
    <w:p w14:paraId="2C85986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3.1.6使用的压力容器、电气等应具备合格证（如果有压力容器），</w:t>
      </w:r>
    </w:p>
    <w:p w14:paraId="3E93E8E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3.1.7货物（或生产线）的油漆质量应饱满、有光泽，无掉漆、无色差、无“桔皮”等不良现象（特殊标志除外）。</w:t>
      </w:r>
    </w:p>
    <w:p w14:paraId="2A776F4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3.1.8货物（或生产线）标牌完整、清晰、明确。</w:t>
      </w:r>
    </w:p>
    <w:p w14:paraId="4B118B9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3.1.9地线联接和地极符合国际（ISO/IEC）标准规范。</w:t>
      </w:r>
    </w:p>
    <w:p w14:paraId="5D69BE8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3.1.10货物（或生产线）的安全要求符合中国最新的相关法律、法规、标准和规范以及合同要求。</w:t>
      </w:r>
    </w:p>
    <w:p w14:paraId="71654E3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3.1.11预验收试件的发放：试件品种及数量由技术协议约定，试件由招标方发到中标方所产生的一切费用（或损失）由中标方承担。</w:t>
      </w:r>
    </w:p>
    <w:p w14:paraId="2D671FDF">
      <w:pPr>
        <w:adjustRightInd w:val="0"/>
        <w:snapToGrid w:val="0"/>
        <w:spacing w:line="360" w:lineRule="auto"/>
        <w:ind w:firstLine="420" w:firstLineChars="200"/>
        <w:rPr>
          <w:rFonts w:ascii="仿宋" w:hAnsi="仿宋" w:eastAsia="仿宋" w:cs="仿宋"/>
        </w:rPr>
      </w:pPr>
      <w:bookmarkStart w:id="1158" w:name="_Toc28390"/>
      <w:bookmarkStart w:id="1159" w:name="_Toc5422"/>
      <w:bookmarkStart w:id="1160" w:name="_Toc8879"/>
      <w:bookmarkStart w:id="1161" w:name="_Toc17924"/>
      <w:bookmarkStart w:id="1162" w:name="_Toc17523"/>
      <w:bookmarkStart w:id="1163" w:name="_Toc18823"/>
      <w:bookmarkStart w:id="1164" w:name="_Toc24874"/>
      <w:bookmarkStart w:id="1165" w:name="_Toc8320"/>
      <w:bookmarkStart w:id="1166" w:name="_Toc17491"/>
      <w:bookmarkStart w:id="1167" w:name="_Toc24950"/>
      <w:bookmarkStart w:id="1168" w:name="_Toc22891"/>
      <w:bookmarkStart w:id="1169" w:name="_Toc12987"/>
      <w:bookmarkStart w:id="1170" w:name="_Toc19887"/>
      <w:bookmarkStart w:id="1171" w:name="_Toc23596"/>
      <w:bookmarkStart w:id="1172" w:name="_Toc20374"/>
      <w:bookmarkStart w:id="1173" w:name="_Toc8938"/>
      <w:bookmarkStart w:id="1174" w:name="_Toc2134"/>
      <w:bookmarkStart w:id="1175" w:name="_Toc15751"/>
      <w:bookmarkStart w:id="1176" w:name="_Toc27491"/>
      <w:bookmarkStart w:id="1177" w:name="_Toc11537"/>
      <w:bookmarkStart w:id="1178" w:name="_Toc21671"/>
      <w:bookmarkStart w:id="1179" w:name="_Toc16821"/>
      <w:bookmarkStart w:id="1180" w:name="_Toc2362"/>
      <w:bookmarkStart w:id="1181" w:name="_Toc1293"/>
      <w:bookmarkStart w:id="1182" w:name="_Toc12439"/>
      <w:bookmarkStart w:id="1183" w:name="_Toc26496"/>
      <w:bookmarkStart w:id="1184" w:name="_Toc21953"/>
      <w:bookmarkStart w:id="1185" w:name="_Toc9105"/>
      <w:bookmarkStart w:id="1186" w:name="_Toc21629"/>
      <w:bookmarkStart w:id="1187" w:name="_Toc30498"/>
      <w:bookmarkStart w:id="1188" w:name="_Toc29661"/>
      <w:bookmarkStart w:id="1189" w:name="_Toc29327"/>
      <w:bookmarkStart w:id="1190" w:name="_Toc931"/>
      <w:bookmarkStart w:id="1191" w:name="_Toc3329"/>
      <w:bookmarkStart w:id="1192" w:name="_Toc14552"/>
      <w:bookmarkStart w:id="1193" w:name="_Toc7060"/>
      <w:bookmarkStart w:id="1194" w:name="_Toc4643"/>
      <w:bookmarkStart w:id="1195" w:name="_Toc19728"/>
      <w:bookmarkStart w:id="1196" w:name="_Toc4108"/>
      <w:bookmarkStart w:id="1197" w:name="_Toc4066"/>
      <w:bookmarkStart w:id="1198" w:name="_Toc6062"/>
      <w:r>
        <w:rPr>
          <w:rFonts w:hint="eastAsia" w:ascii="仿宋" w:hAnsi="仿宋" w:eastAsia="仿宋" w:cs="仿宋"/>
        </w:rPr>
        <w:t>3.2终验收一般条件</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3B96442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w:t>
      </w:r>
      <w:r>
        <w:rPr>
          <w:rFonts w:hint="eastAsia" w:ascii="仿宋" w:hAnsi="仿宋" w:eastAsia="仿宋" w:cs="仿宋"/>
          <w:lang w:val="en-US" w:eastAsia="zh-CN"/>
        </w:rPr>
        <w:t xml:space="preserve"> </w:t>
      </w:r>
      <w:r>
        <w:rPr>
          <w:rFonts w:hint="eastAsia" w:ascii="仿宋" w:hAnsi="仿宋" w:eastAsia="仿宋" w:cs="仿宋"/>
        </w:rPr>
        <w:t>经过预验收而且没有出现新的质量问题，或者满足预验收条款。</w:t>
      </w:r>
    </w:p>
    <w:p w14:paraId="4272121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w:t>
      </w:r>
      <w:r>
        <w:rPr>
          <w:rFonts w:hint="eastAsia" w:ascii="仿宋" w:hAnsi="仿宋" w:eastAsia="仿宋" w:cs="仿宋"/>
          <w:lang w:val="en-US" w:eastAsia="zh-CN"/>
        </w:rPr>
        <w:t xml:space="preserve"> </w:t>
      </w:r>
      <w:r>
        <w:rPr>
          <w:rFonts w:hint="eastAsia" w:ascii="仿宋" w:hAnsi="仿宋" w:eastAsia="仿宋" w:cs="仿宋"/>
        </w:rPr>
        <w:t>货物（或生产线）安装调试完毕，并至少经过了验收要求的负荷试运行。</w:t>
      </w:r>
    </w:p>
    <w:p w14:paraId="2DAA8A5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w:t>
      </w:r>
      <w:r>
        <w:rPr>
          <w:rFonts w:hint="eastAsia" w:ascii="仿宋" w:hAnsi="仿宋" w:eastAsia="仿宋" w:cs="仿宋"/>
          <w:lang w:val="en-US" w:eastAsia="zh-CN"/>
        </w:rPr>
        <w:t xml:space="preserve">3 </w:t>
      </w:r>
      <w:r>
        <w:rPr>
          <w:rFonts w:hint="eastAsia" w:ascii="仿宋" w:hAnsi="仿宋" w:eastAsia="仿宋" w:cs="仿宋"/>
        </w:rPr>
        <w:t>计量仪器、仪表配套合理，采用中国的法定计量单位，计量准确、灵敏可靠。保证设计指标和仪器说明书的参数的实现。</w:t>
      </w:r>
    </w:p>
    <w:p w14:paraId="1D290B3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rPr>
        <w:t>3.2.</w:t>
      </w:r>
      <w:r>
        <w:rPr>
          <w:rFonts w:hint="eastAsia" w:ascii="仿宋" w:hAnsi="仿宋" w:eastAsia="仿宋" w:cs="仿宋"/>
          <w:lang w:val="en-US" w:eastAsia="zh-CN"/>
        </w:rPr>
        <w:t xml:space="preserve">4 </w:t>
      </w:r>
      <w:r>
        <w:rPr>
          <w:rFonts w:hint="eastAsia" w:ascii="仿宋" w:hAnsi="仿宋" w:eastAsia="仿宋" w:cs="仿宋"/>
          <w:highlight w:val="none"/>
        </w:rPr>
        <w:t>试运行期间或之后无维修、调整等行为（特殊情况除外）。</w:t>
      </w:r>
    </w:p>
    <w:p w14:paraId="32C5C528">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 xml:space="preserve">5 </w:t>
      </w:r>
      <w:r>
        <w:rPr>
          <w:rFonts w:hint="eastAsia" w:ascii="仿宋" w:hAnsi="仿宋" w:eastAsia="仿宋" w:cs="仿宋"/>
          <w:highlight w:val="none"/>
        </w:rPr>
        <w:t>货物（或生产线）质量、技术性能等，达到签定的技术协议书和合同规定的终验收标准。</w:t>
      </w:r>
    </w:p>
    <w:p w14:paraId="6D34A5BC">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 xml:space="preserve">3.2.6 </w:t>
      </w:r>
      <w:r>
        <w:rPr>
          <w:rFonts w:hint="eastAsia" w:ascii="仿宋" w:hAnsi="仿宋" w:eastAsia="仿宋" w:cs="仿宋"/>
          <w:highlight w:val="none"/>
        </w:rPr>
        <w:t>试件:终验收完成前的所有试件</w:t>
      </w:r>
      <w:r>
        <w:rPr>
          <w:rFonts w:hint="eastAsia" w:ascii="仿宋" w:hAnsi="仿宋" w:eastAsia="仿宋" w:cs="仿宋"/>
          <w:highlight w:val="none"/>
          <w:lang w:eastAsia="zh-CN"/>
        </w:rPr>
        <w:t>，</w:t>
      </w:r>
      <w:r>
        <w:rPr>
          <w:rFonts w:hint="eastAsia" w:ascii="仿宋" w:hAnsi="仿宋" w:eastAsia="仿宋" w:cs="仿宋"/>
          <w:highlight w:val="none"/>
          <w:lang w:val="en-US" w:eastAsia="zh-CN"/>
        </w:rPr>
        <w:t>主减速器壳、主被动锥齿轮等</w:t>
      </w:r>
      <w:r>
        <w:rPr>
          <w:rFonts w:hint="eastAsia" w:ascii="仿宋" w:hAnsi="仿宋" w:eastAsia="仿宋" w:cs="仿宋"/>
          <w:highlight w:val="none"/>
        </w:rPr>
        <w:t>大件可允许报废5件，</w:t>
      </w:r>
      <w:r>
        <w:rPr>
          <w:rFonts w:hint="eastAsia" w:ascii="仿宋" w:hAnsi="仿宋" w:eastAsia="仿宋" w:cs="仿宋"/>
          <w:highlight w:val="none"/>
          <w:lang w:val="en-US" w:eastAsia="zh-CN"/>
        </w:rPr>
        <w:t>法兰或同等体积之下的</w:t>
      </w:r>
      <w:r>
        <w:rPr>
          <w:rFonts w:hint="eastAsia" w:ascii="仿宋" w:hAnsi="仿宋" w:eastAsia="仿宋" w:cs="仿宋"/>
          <w:highlight w:val="none"/>
        </w:rPr>
        <w:t>中小件可允许报废 10 件，超过此数量的产品损失费用由中标方承担。</w:t>
      </w:r>
    </w:p>
    <w:p w14:paraId="0128025D">
      <w:pPr>
        <w:adjustRightInd w:val="0"/>
        <w:snapToGrid w:val="0"/>
        <w:spacing w:line="360" w:lineRule="auto"/>
        <w:ind w:firstLine="420" w:firstLineChars="200"/>
        <w:rPr>
          <w:rFonts w:hint="eastAsia" w:ascii="仿宋" w:hAnsi="仿宋" w:eastAsia="仿宋" w:cs="仿宋"/>
          <w:highlight w:val="none"/>
          <w:lang w:val="en-US" w:eastAsia="zh-CN"/>
        </w:rPr>
      </w:pPr>
      <w:bookmarkStart w:id="1199" w:name="_Toc25411"/>
      <w:bookmarkStart w:id="1200" w:name="_Toc1804"/>
      <w:bookmarkStart w:id="1201" w:name="_Toc193"/>
      <w:r>
        <w:rPr>
          <w:rFonts w:hint="eastAsia" w:ascii="仿宋" w:hAnsi="仿宋" w:eastAsia="仿宋" w:cs="仿宋"/>
          <w:highlight w:val="none"/>
        </w:rPr>
        <w:t>3.2.</w:t>
      </w:r>
      <w:r>
        <w:rPr>
          <w:rFonts w:hint="eastAsia" w:ascii="仿宋" w:hAnsi="仿宋" w:eastAsia="仿宋" w:cs="仿宋"/>
          <w:highlight w:val="none"/>
          <w:lang w:val="en-US" w:eastAsia="zh-CN"/>
        </w:rPr>
        <w:t>7 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72439618">
      <w:pPr>
        <w:adjustRightInd w:val="0"/>
        <w:snapToGrid w:val="0"/>
        <w:spacing w:line="360" w:lineRule="auto"/>
        <w:ind w:firstLine="420" w:firstLineChars="200"/>
        <w:rPr>
          <w:rFonts w:hint="eastAsia"/>
          <w:highlight w:val="none"/>
          <w:lang w:val="en-US" w:eastAsia="zh-CN"/>
        </w:rPr>
      </w:pPr>
      <w:r>
        <w:rPr>
          <w:rFonts w:hint="eastAsia" w:ascii="仿宋" w:hAnsi="仿宋" w:eastAsia="仿宋" w:cs="仿宋"/>
          <w:highlight w:val="none"/>
        </w:rPr>
        <w:t>3.2.</w:t>
      </w:r>
      <w:r>
        <w:rPr>
          <w:rFonts w:hint="eastAsia" w:ascii="仿宋" w:hAnsi="仿宋" w:eastAsia="仿宋" w:cs="仿宋"/>
          <w:highlight w:val="none"/>
          <w:lang w:val="en-US" w:eastAsia="zh-CN"/>
        </w:rPr>
        <w:t>8 在终验收之前:提供设备全生命周期内的备品备件、易损件和专用耗材的明细清单并全部移交完成。</w:t>
      </w:r>
    </w:p>
    <w:p w14:paraId="3D9676C2">
      <w:pPr>
        <w:snapToGrid w:val="0"/>
        <w:spacing w:line="360" w:lineRule="auto"/>
        <w:ind w:left="482"/>
        <w:outlineLvl w:val="1"/>
        <w:rPr>
          <w:rFonts w:ascii="仿宋" w:hAnsi="仿宋" w:eastAsia="仿宋" w:cs="仿宋"/>
          <w:b/>
          <w:bCs/>
          <w:highlight w:val="none"/>
        </w:rPr>
      </w:pPr>
      <w:bookmarkStart w:id="1202" w:name="_Toc1961"/>
      <w:bookmarkStart w:id="1203" w:name="_Toc1885"/>
      <w:bookmarkStart w:id="1204" w:name="_Toc22500"/>
      <w:bookmarkStart w:id="1205" w:name="_Toc20983"/>
      <w:bookmarkStart w:id="1206" w:name="_Toc11114"/>
      <w:bookmarkStart w:id="1207" w:name="_Toc32661"/>
      <w:bookmarkStart w:id="1208" w:name="_Toc6573"/>
      <w:bookmarkStart w:id="1209" w:name="_Toc23010"/>
      <w:bookmarkStart w:id="1210" w:name="_Toc1469"/>
      <w:bookmarkStart w:id="1211" w:name="_Toc17549"/>
      <w:bookmarkStart w:id="1212" w:name="_Toc7243"/>
      <w:bookmarkStart w:id="1213" w:name="_Toc21291"/>
      <w:bookmarkStart w:id="1214" w:name="_Toc73112424"/>
      <w:bookmarkStart w:id="1215" w:name="_Toc26083"/>
      <w:bookmarkStart w:id="1216" w:name="_Toc9027"/>
      <w:bookmarkStart w:id="1217" w:name="_Toc21504"/>
      <w:bookmarkStart w:id="1218" w:name="_Toc1761"/>
      <w:bookmarkStart w:id="1219" w:name="_Toc17223"/>
      <w:bookmarkStart w:id="1220" w:name="_Toc10673"/>
      <w:r>
        <w:rPr>
          <w:rFonts w:hint="eastAsia" w:ascii="仿宋" w:hAnsi="仿宋" w:eastAsia="仿宋" w:cs="仿宋"/>
          <w:b/>
          <w:bCs/>
          <w:highlight w:val="none"/>
        </w:rPr>
        <w:t>4终验收基本要求</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379276C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4.1货物（或生产线）允许情况下，一般先连续空运转</w:t>
      </w:r>
      <w:r>
        <w:rPr>
          <w:rFonts w:hint="eastAsia" w:ascii="仿宋" w:hAnsi="仿宋" w:eastAsia="仿宋" w:cs="仿宋"/>
          <w:u w:val="single"/>
          <w:shd w:val="pct10" w:color="auto" w:fill="FFFFFF"/>
        </w:rPr>
        <w:t>8</w:t>
      </w:r>
      <w:r>
        <w:rPr>
          <w:rFonts w:hint="eastAsia" w:ascii="仿宋" w:hAnsi="仿宋" w:eastAsia="仿宋" w:cs="仿宋"/>
        </w:rPr>
        <w:t>小时，然后再进行负荷运行。</w:t>
      </w:r>
    </w:p>
    <w:p w14:paraId="29A8160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4.2负荷运行时，货物（或生产线）应连续运行</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5 </w:t>
      </w:r>
      <w:r>
        <w:rPr>
          <w:rFonts w:hint="eastAsia" w:ascii="仿宋" w:hAnsi="仿宋" w:eastAsia="仿宋" w:cs="仿宋"/>
        </w:rPr>
        <w:t>天，每天连续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8 </w:t>
      </w:r>
      <w:r>
        <w:rPr>
          <w:rFonts w:hint="eastAsia" w:ascii="仿宋" w:hAnsi="仿宋" w:eastAsia="仿宋" w:cs="仿宋"/>
        </w:rPr>
        <w:t>小时，除用户方面因素外，必须达到以下要求：</w:t>
      </w:r>
    </w:p>
    <w:p w14:paraId="47499E5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4.2.1在整个验收过程中没有维修、更换零部件或元件行为；</w:t>
      </w:r>
    </w:p>
    <w:p w14:paraId="0CF7039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4.2.2所有出现的调整，每次调整时间均不超过</w:t>
      </w:r>
      <w:r>
        <w:rPr>
          <w:rFonts w:hint="eastAsia" w:ascii="仿宋" w:hAnsi="仿宋" w:eastAsia="仿宋" w:cs="仿宋"/>
          <w:u w:val="single"/>
          <w:shd w:val="pct10" w:color="auto" w:fill="FFFFFF"/>
        </w:rPr>
        <w:t>120</w:t>
      </w:r>
      <w:r>
        <w:rPr>
          <w:rFonts w:hint="eastAsia" w:ascii="仿宋" w:hAnsi="仿宋" w:eastAsia="仿宋" w:cs="仿宋"/>
        </w:rPr>
        <w:t>分钟；</w:t>
      </w:r>
    </w:p>
    <w:p w14:paraId="2237AF9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4.2.3所有调整时间的总和不超过总运行时间的</w:t>
      </w:r>
      <w:r>
        <w:rPr>
          <w:rFonts w:hint="eastAsia" w:ascii="仿宋" w:hAnsi="仿宋" w:eastAsia="仿宋" w:cs="仿宋"/>
          <w:u w:val="single"/>
          <w:shd w:val="pct10" w:color="auto" w:fill="FFFFFF"/>
        </w:rPr>
        <w:t>10</w:t>
      </w:r>
      <w:r>
        <w:rPr>
          <w:rFonts w:hint="eastAsia" w:ascii="仿宋" w:hAnsi="仿宋" w:eastAsia="仿宋" w:cs="仿宋"/>
        </w:rPr>
        <w:t>%；</w:t>
      </w:r>
    </w:p>
    <w:p w14:paraId="6E01D6E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4.2.4累计负载运行实际性能（或生产率）达到合同规定；</w:t>
      </w:r>
    </w:p>
    <w:p w14:paraId="2B728C3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4.2.5终验收原则上要求一次完成。若一次验收不成功，最多允许两次；</w:t>
      </w:r>
    </w:p>
    <w:p w14:paraId="70C42B4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1221" w:name="_Toc133783975"/>
    </w:p>
    <w:p w14:paraId="5905F524">
      <w:pPr>
        <w:adjustRightInd w:val="0"/>
        <w:snapToGrid w:val="0"/>
        <w:spacing w:before="163" w:beforeLines="50" w:after="163" w:afterLines="50" w:line="360" w:lineRule="auto"/>
        <w:jc w:val="center"/>
        <w:outlineLvl w:val="0"/>
        <w:rPr>
          <w:rFonts w:ascii="仿宋" w:hAnsi="仿宋" w:eastAsia="仿宋" w:cs="仿宋"/>
          <w:b/>
          <w:bCs/>
        </w:rPr>
      </w:pPr>
      <w:bookmarkStart w:id="1222" w:name="_Toc2957"/>
      <w:bookmarkStart w:id="1223" w:name="_Toc25348"/>
      <w:bookmarkStart w:id="1224" w:name="_Toc1705"/>
      <w:bookmarkStart w:id="1225" w:name="_Toc20836"/>
      <w:bookmarkStart w:id="1226" w:name="_Toc73112425"/>
      <w:bookmarkStart w:id="1227" w:name="_Toc2249"/>
      <w:bookmarkStart w:id="1228" w:name="_Toc28136"/>
      <w:bookmarkStart w:id="1229" w:name="_Toc22179"/>
      <w:bookmarkStart w:id="1230" w:name="_Toc23616"/>
      <w:bookmarkStart w:id="1231" w:name="_Toc27525"/>
      <w:bookmarkStart w:id="1232" w:name="_Toc663"/>
      <w:bookmarkStart w:id="1233" w:name="_Toc4953"/>
      <w:bookmarkStart w:id="1234" w:name="_Toc23268"/>
      <w:bookmarkStart w:id="1235" w:name="_Toc30125"/>
      <w:bookmarkStart w:id="1236" w:name="_Toc27346"/>
      <w:bookmarkStart w:id="1237" w:name="_Toc1195"/>
      <w:bookmarkStart w:id="1238" w:name="_Toc14217"/>
      <w:bookmarkStart w:id="1239" w:name="_Toc8435"/>
      <w:bookmarkStart w:id="1240" w:name="_Toc18510"/>
      <w:bookmarkStart w:id="1241" w:name="_Toc28594"/>
      <w:bookmarkStart w:id="1242" w:name="_Toc8015"/>
      <w:bookmarkStart w:id="1243" w:name="_Toc19911"/>
      <w:bookmarkStart w:id="1244" w:name="_Toc17110"/>
      <w:bookmarkStart w:id="1245" w:name="_Toc18146"/>
      <w:bookmarkStart w:id="1246" w:name="_Toc26248"/>
      <w:bookmarkStart w:id="1247" w:name="_Toc30187"/>
      <w:bookmarkStart w:id="1248" w:name="_Toc1228"/>
      <w:bookmarkStart w:id="1249" w:name="_Toc23397"/>
      <w:bookmarkStart w:id="1250" w:name="_Toc7458"/>
      <w:bookmarkStart w:id="1251" w:name="_Toc22488"/>
      <w:bookmarkStart w:id="1252" w:name="_Toc15351"/>
      <w:bookmarkStart w:id="1253" w:name="_Toc30219"/>
      <w:bookmarkStart w:id="1254" w:name="_Toc10830"/>
      <w:bookmarkStart w:id="1255" w:name="_Toc14133"/>
      <w:bookmarkStart w:id="1256" w:name="_Toc15914"/>
      <w:bookmarkStart w:id="1257" w:name="_Toc29322"/>
      <w:bookmarkStart w:id="1258" w:name="_Toc25401"/>
      <w:bookmarkStart w:id="1259" w:name="_Toc1683"/>
      <w:bookmarkStart w:id="1260" w:name="_Toc32074"/>
      <w:bookmarkStart w:id="1261" w:name="_Toc24925"/>
      <w:bookmarkStart w:id="1262" w:name="_Toc1673"/>
      <w:bookmarkStart w:id="1263" w:name="_Toc2612"/>
      <w:bookmarkStart w:id="1264" w:name="_Toc12636"/>
      <w:bookmarkStart w:id="1265" w:name="_Toc26938"/>
      <w:r>
        <w:rPr>
          <w:rFonts w:hint="eastAsia" w:ascii="仿宋" w:hAnsi="仿宋" w:eastAsia="仿宋" w:cs="仿宋"/>
          <w:b/>
          <w:bCs/>
        </w:rPr>
        <w:t>第六章投标技术文件一般要求</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37EBAE6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577944B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2投标技术文件至少应对投标货物（或生产线）的“技术偏离”、“商务偏离”作出有无说明；若有，应予以详细填写和说明。</w:t>
      </w:r>
    </w:p>
    <w:p w14:paraId="3717119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3投标技术文件至少应对投标货物（或生产线）的功能用途、技术性能、质量标准、技术参数等作出详细说明。</w:t>
      </w:r>
    </w:p>
    <w:p w14:paraId="05F93EC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4投标技术文件至少应根据投标货物（或生产线）的关键设备、总成、零部件或系统作出优越性说明。</w:t>
      </w:r>
    </w:p>
    <w:p w14:paraId="0673276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5投标技术文件至少应根据投标货物（或生产线）的配置，按照备品备件、易损件和专用耗材明细表要求以及投标货物（或生产线）主要配置一览表要求（见下表），认真全面填写。</w:t>
      </w:r>
    </w:p>
    <w:p w14:paraId="0310F1E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投标货物（或生产线）主要配置一览表单位：元</w:t>
      </w:r>
    </w:p>
    <w:tbl>
      <w:tblPr>
        <w:tblStyle w:val="30"/>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3798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558383A5">
            <w:pPr>
              <w:adjustRightInd w:val="0"/>
              <w:snapToGrid w:val="0"/>
              <w:spacing w:line="360" w:lineRule="auto"/>
              <w:jc w:val="center"/>
              <w:rPr>
                <w:rFonts w:ascii="仿宋" w:hAnsi="仿宋" w:eastAsia="仿宋" w:cs="仿宋"/>
              </w:rPr>
            </w:pPr>
            <w:r>
              <w:rPr>
                <w:rFonts w:hint="eastAsia" w:ascii="仿宋" w:hAnsi="仿宋" w:eastAsia="仿宋" w:cs="仿宋"/>
              </w:rPr>
              <w:t>名称</w:t>
            </w:r>
          </w:p>
        </w:tc>
        <w:tc>
          <w:tcPr>
            <w:tcW w:w="1940" w:type="dxa"/>
          </w:tcPr>
          <w:p w14:paraId="2128C5CD">
            <w:pPr>
              <w:adjustRightInd w:val="0"/>
              <w:snapToGrid w:val="0"/>
              <w:spacing w:line="360" w:lineRule="auto"/>
              <w:jc w:val="center"/>
              <w:rPr>
                <w:rFonts w:ascii="仿宋" w:hAnsi="仿宋" w:eastAsia="仿宋" w:cs="仿宋"/>
              </w:rPr>
            </w:pPr>
            <w:r>
              <w:rPr>
                <w:rFonts w:hint="eastAsia" w:ascii="仿宋" w:hAnsi="仿宋" w:eastAsia="仿宋" w:cs="仿宋"/>
              </w:rPr>
              <w:t>型号规格</w:t>
            </w:r>
          </w:p>
        </w:tc>
        <w:tc>
          <w:tcPr>
            <w:tcW w:w="697" w:type="dxa"/>
          </w:tcPr>
          <w:p w14:paraId="1EB04D43">
            <w:pPr>
              <w:adjustRightInd w:val="0"/>
              <w:snapToGrid w:val="0"/>
              <w:spacing w:line="360" w:lineRule="auto"/>
              <w:jc w:val="center"/>
              <w:rPr>
                <w:rFonts w:ascii="仿宋" w:hAnsi="仿宋" w:eastAsia="仿宋" w:cs="仿宋"/>
              </w:rPr>
            </w:pPr>
            <w:r>
              <w:rPr>
                <w:rFonts w:hint="eastAsia" w:ascii="仿宋" w:hAnsi="仿宋" w:eastAsia="仿宋" w:cs="仿宋"/>
              </w:rPr>
              <w:t>单位</w:t>
            </w:r>
          </w:p>
        </w:tc>
        <w:tc>
          <w:tcPr>
            <w:tcW w:w="697" w:type="dxa"/>
          </w:tcPr>
          <w:p w14:paraId="39F93AD3">
            <w:pPr>
              <w:adjustRightInd w:val="0"/>
              <w:snapToGrid w:val="0"/>
              <w:spacing w:line="360" w:lineRule="auto"/>
              <w:jc w:val="center"/>
              <w:rPr>
                <w:rFonts w:ascii="仿宋" w:hAnsi="仿宋" w:eastAsia="仿宋" w:cs="仿宋"/>
              </w:rPr>
            </w:pPr>
            <w:r>
              <w:rPr>
                <w:rFonts w:hint="eastAsia" w:ascii="仿宋" w:hAnsi="仿宋" w:eastAsia="仿宋" w:cs="仿宋"/>
              </w:rPr>
              <w:t>数量</w:t>
            </w:r>
          </w:p>
        </w:tc>
        <w:tc>
          <w:tcPr>
            <w:tcW w:w="697" w:type="dxa"/>
          </w:tcPr>
          <w:p w14:paraId="60671054">
            <w:pPr>
              <w:adjustRightInd w:val="0"/>
              <w:snapToGrid w:val="0"/>
              <w:spacing w:line="360" w:lineRule="auto"/>
              <w:jc w:val="center"/>
              <w:rPr>
                <w:rFonts w:ascii="仿宋" w:hAnsi="仿宋" w:eastAsia="仿宋" w:cs="仿宋"/>
              </w:rPr>
            </w:pPr>
            <w:r>
              <w:rPr>
                <w:rFonts w:hint="eastAsia" w:ascii="仿宋" w:hAnsi="仿宋" w:eastAsia="仿宋" w:cs="仿宋"/>
              </w:rPr>
              <w:t>单价</w:t>
            </w:r>
          </w:p>
        </w:tc>
        <w:tc>
          <w:tcPr>
            <w:tcW w:w="697" w:type="dxa"/>
          </w:tcPr>
          <w:p w14:paraId="4829004B">
            <w:pPr>
              <w:adjustRightInd w:val="0"/>
              <w:snapToGrid w:val="0"/>
              <w:spacing w:line="360" w:lineRule="auto"/>
              <w:jc w:val="center"/>
              <w:rPr>
                <w:rFonts w:ascii="仿宋" w:hAnsi="仿宋" w:eastAsia="仿宋" w:cs="仿宋"/>
              </w:rPr>
            </w:pPr>
            <w:r>
              <w:rPr>
                <w:rFonts w:hint="eastAsia" w:ascii="仿宋" w:hAnsi="仿宋" w:eastAsia="仿宋" w:cs="仿宋"/>
              </w:rPr>
              <w:t>总价</w:t>
            </w:r>
          </w:p>
        </w:tc>
        <w:tc>
          <w:tcPr>
            <w:tcW w:w="1665" w:type="dxa"/>
          </w:tcPr>
          <w:p w14:paraId="436FEA5C">
            <w:pPr>
              <w:adjustRightInd w:val="0"/>
              <w:snapToGrid w:val="0"/>
              <w:spacing w:line="360" w:lineRule="auto"/>
              <w:jc w:val="center"/>
              <w:rPr>
                <w:rFonts w:ascii="仿宋" w:hAnsi="仿宋" w:eastAsia="仿宋" w:cs="仿宋"/>
              </w:rPr>
            </w:pPr>
            <w:r>
              <w:rPr>
                <w:rFonts w:hint="eastAsia" w:ascii="仿宋" w:hAnsi="仿宋" w:eastAsia="仿宋" w:cs="仿宋"/>
              </w:rPr>
              <w:t>制造商</w:t>
            </w:r>
          </w:p>
        </w:tc>
      </w:tr>
      <w:tr w14:paraId="6CB1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4717DB90">
            <w:pPr>
              <w:adjustRightInd w:val="0"/>
              <w:snapToGrid w:val="0"/>
              <w:spacing w:line="360" w:lineRule="auto"/>
              <w:rPr>
                <w:rFonts w:ascii="仿宋" w:hAnsi="仿宋" w:eastAsia="仿宋" w:cs="仿宋"/>
              </w:rPr>
            </w:pPr>
          </w:p>
        </w:tc>
        <w:tc>
          <w:tcPr>
            <w:tcW w:w="1940" w:type="dxa"/>
          </w:tcPr>
          <w:p w14:paraId="46B4C7CF">
            <w:pPr>
              <w:adjustRightInd w:val="0"/>
              <w:snapToGrid w:val="0"/>
              <w:spacing w:line="360" w:lineRule="auto"/>
              <w:rPr>
                <w:rFonts w:ascii="仿宋" w:hAnsi="仿宋" w:eastAsia="仿宋" w:cs="仿宋"/>
              </w:rPr>
            </w:pPr>
          </w:p>
        </w:tc>
        <w:tc>
          <w:tcPr>
            <w:tcW w:w="697" w:type="dxa"/>
          </w:tcPr>
          <w:p w14:paraId="69696658">
            <w:pPr>
              <w:adjustRightInd w:val="0"/>
              <w:snapToGrid w:val="0"/>
              <w:spacing w:line="360" w:lineRule="auto"/>
              <w:rPr>
                <w:rFonts w:ascii="仿宋" w:hAnsi="仿宋" w:eastAsia="仿宋" w:cs="仿宋"/>
              </w:rPr>
            </w:pPr>
          </w:p>
        </w:tc>
        <w:tc>
          <w:tcPr>
            <w:tcW w:w="697" w:type="dxa"/>
          </w:tcPr>
          <w:p w14:paraId="142C484C">
            <w:pPr>
              <w:adjustRightInd w:val="0"/>
              <w:snapToGrid w:val="0"/>
              <w:spacing w:line="360" w:lineRule="auto"/>
              <w:rPr>
                <w:rFonts w:ascii="仿宋" w:hAnsi="仿宋" w:eastAsia="仿宋" w:cs="仿宋"/>
              </w:rPr>
            </w:pPr>
          </w:p>
        </w:tc>
        <w:tc>
          <w:tcPr>
            <w:tcW w:w="697" w:type="dxa"/>
          </w:tcPr>
          <w:p w14:paraId="7FAB0B06">
            <w:pPr>
              <w:adjustRightInd w:val="0"/>
              <w:snapToGrid w:val="0"/>
              <w:spacing w:line="360" w:lineRule="auto"/>
              <w:rPr>
                <w:rFonts w:ascii="仿宋" w:hAnsi="仿宋" w:eastAsia="仿宋" w:cs="仿宋"/>
              </w:rPr>
            </w:pPr>
          </w:p>
        </w:tc>
        <w:tc>
          <w:tcPr>
            <w:tcW w:w="697" w:type="dxa"/>
          </w:tcPr>
          <w:p w14:paraId="3A2809B1">
            <w:pPr>
              <w:adjustRightInd w:val="0"/>
              <w:snapToGrid w:val="0"/>
              <w:spacing w:line="360" w:lineRule="auto"/>
              <w:rPr>
                <w:rFonts w:ascii="仿宋" w:hAnsi="仿宋" w:eastAsia="仿宋" w:cs="仿宋"/>
              </w:rPr>
            </w:pPr>
          </w:p>
        </w:tc>
        <w:tc>
          <w:tcPr>
            <w:tcW w:w="1665" w:type="dxa"/>
          </w:tcPr>
          <w:p w14:paraId="39D7BA00">
            <w:pPr>
              <w:adjustRightInd w:val="0"/>
              <w:snapToGrid w:val="0"/>
              <w:spacing w:line="360" w:lineRule="auto"/>
              <w:rPr>
                <w:rFonts w:ascii="仿宋" w:hAnsi="仿宋" w:eastAsia="仿宋" w:cs="仿宋"/>
              </w:rPr>
            </w:pPr>
          </w:p>
        </w:tc>
      </w:tr>
      <w:tr w14:paraId="0A68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4C9E6DB8">
            <w:pPr>
              <w:adjustRightInd w:val="0"/>
              <w:snapToGrid w:val="0"/>
              <w:spacing w:line="360" w:lineRule="auto"/>
              <w:rPr>
                <w:rFonts w:ascii="仿宋" w:hAnsi="仿宋" w:eastAsia="仿宋" w:cs="仿宋"/>
              </w:rPr>
            </w:pPr>
          </w:p>
        </w:tc>
        <w:tc>
          <w:tcPr>
            <w:tcW w:w="1940" w:type="dxa"/>
          </w:tcPr>
          <w:p w14:paraId="3C4F268F">
            <w:pPr>
              <w:adjustRightInd w:val="0"/>
              <w:snapToGrid w:val="0"/>
              <w:spacing w:line="360" w:lineRule="auto"/>
              <w:rPr>
                <w:rFonts w:ascii="仿宋" w:hAnsi="仿宋" w:eastAsia="仿宋" w:cs="仿宋"/>
              </w:rPr>
            </w:pPr>
          </w:p>
        </w:tc>
        <w:tc>
          <w:tcPr>
            <w:tcW w:w="697" w:type="dxa"/>
          </w:tcPr>
          <w:p w14:paraId="49EC1FD5">
            <w:pPr>
              <w:adjustRightInd w:val="0"/>
              <w:snapToGrid w:val="0"/>
              <w:spacing w:line="360" w:lineRule="auto"/>
              <w:rPr>
                <w:rFonts w:ascii="仿宋" w:hAnsi="仿宋" w:eastAsia="仿宋" w:cs="仿宋"/>
              </w:rPr>
            </w:pPr>
          </w:p>
        </w:tc>
        <w:tc>
          <w:tcPr>
            <w:tcW w:w="697" w:type="dxa"/>
          </w:tcPr>
          <w:p w14:paraId="3374CE58">
            <w:pPr>
              <w:adjustRightInd w:val="0"/>
              <w:snapToGrid w:val="0"/>
              <w:spacing w:line="360" w:lineRule="auto"/>
              <w:rPr>
                <w:rFonts w:ascii="仿宋" w:hAnsi="仿宋" w:eastAsia="仿宋" w:cs="仿宋"/>
              </w:rPr>
            </w:pPr>
          </w:p>
        </w:tc>
        <w:tc>
          <w:tcPr>
            <w:tcW w:w="697" w:type="dxa"/>
          </w:tcPr>
          <w:p w14:paraId="7E339EB5">
            <w:pPr>
              <w:adjustRightInd w:val="0"/>
              <w:snapToGrid w:val="0"/>
              <w:spacing w:line="360" w:lineRule="auto"/>
              <w:rPr>
                <w:rFonts w:ascii="仿宋" w:hAnsi="仿宋" w:eastAsia="仿宋" w:cs="仿宋"/>
              </w:rPr>
            </w:pPr>
          </w:p>
        </w:tc>
        <w:tc>
          <w:tcPr>
            <w:tcW w:w="697" w:type="dxa"/>
          </w:tcPr>
          <w:p w14:paraId="7F902349">
            <w:pPr>
              <w:adjustRightInd w:val="0"/>
              <w:snapToGrid w:val="0"/>
              <w:spacing w:line="360" w:lineRule="auto"/>
              <w:rPr>
                <w:rFonts w:ascii="仿宋" w:hAnsi="仿宋" w:eastAsia="仿宋" w:cs="仿宋"/>
              </w:rPr>
            </w:pPr>
          </w:p>
        </w:tc>
        <w:tc>
          <w:tcPr>
            <w:tcW w:w="1665" w:type="dxa"/>
          </w:tcPr>
          <w:p w14:paraId="0B77DA36">
            <w:pPr>
              <w:adjustRightInd w:val="0"/>
              <w:snapToGrid w:val="0"/>
              <w:spacing w:line="360" w:lineRule="auto"/>
              <w:rPr>
                <w:rFonts w:ascii="仿宋" w:hAnsi="仿宋" w:eastAsia="仿宋" w:cs="仿宋"/>
              </w:rPr>
            </w:pPr>
          </w:p>
        </w:tc>
      </w:tr>
      <w:tr w14:paraId="087E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4C8C6AE9">
            <w:pPr>
              <w:adjustRightInd w:val="0"/>
              <w:snapToGrid w:val="0"/>
              <w:spacing w:line="360" w:lineRule="auto"/>
              <w:rPr>
                <w:rFonts w:ascii="仿宋" w:hAnsi="仿宋" w:eastAsia="仿宋" w:cs="仿宋"/>
              </w:rPr>
            </w:pPr>
          </w:p>
        </w:tc>
        <w:tc>
          <w:tcPr>
            <w:tcW w:w="1940" w:type="dxa"/>
          </w:tcPr>
          <w:p w14:paraId="54CCA3BA">
            <w:pPr>
              <w:adjustRightInd w:val="0"/>
              <w:snapToGrid w:val="0"/>
              <w:spacing w:line="360" w:lineRule="auto"/>
              <w:rPr>
                <w:rFonts w:ascii="仿宋" w:hAnsi="仿宋" w:eastAsia="仿宋" w:cs="仿宋"/>
              </w:rPr>
            </w:pPr>
          </w:p>
        </w:tc>
        <w:tc>
          <w:tcPr>
            <w:tcW w:w="697" w:type="dxa"/>
          </w:tcPr>
          <w:p w14:paraId="3AC46432">
            <w:pPr>
              <w:adjustRightInd w:val="0"/>
              <w:snapToGrid w:val="0"/>
              <w:spacing w:line="360" w:lineRule="auto"/>
              <w:rPr>
                <w:rFonts w:ascii="仿宋" w:hAnsi="仿宋" w:eastAsia="仿宋" w:cs="仿宋"/>
              </w:rPr>
            </w:pPr>
          </w:p>
        </w:tc>
        <w:tc>
          <w:tcPr>
            <w:tcW w:w="697" w:type="dxa"/>
          </w:tcPr>
          <w:p w14:paraId="2EE78746">
            <w:pPr>
              <w:adjustRightInd w:val="0"/>
              <w:snapToGrid w:val="0"/>
              <w:spacing w:line="360" w:lineRule="auto"/>
              <w:rPr>
                <w:rFonts w:ascii="仿宋" w:hAnsi="仿宋" w:eastAsia="仿宋" w:cs="仿宋"/>
              </w:rPr>
            </w:pPr>
          </w:p>
        </w:tc>
        <w:tc>
          <w:tcPr>
            <w:tcW w:w="697" w:type="dxa"/>
          </w:tcPr>
          <w:p w14:paraId="75056BFD">
            <w:pPr>
              <w:adjustRightInd w:val="0"/>
              <w:snapToGrid w:val="0"/>
              <w:spacing w:line="360" w:lineRule="auto"/>
              <w:rPr>
                <w:rFonts w:ascii="仿宋" w:hAnsi="仿宋" w:eastAsia="仿宋" w:cs="仿宋"/>
              </w:rPr>
            </w:pPr>
          </w:p>
        </w:tc>
        <w:tc>
          <w:tcPr>
            <w:tcW w:w="697" w:type="dxa"/>
          </w:tcPr>
          <w:p w14:paraId="2C6710E8">
            <w:pPr>
              <w:adjustRightInd w:val="0"/>
              <w:snapToGrid w:val="0"/>
              <w:spacing w:line="360" w:lineRule="auto"/>
              <w:rPr>
                <w:rFonts w:ascii="仿宋" w:hAnsi="仿宋" w:eastAsia="仿宋" w:cs="仿宋"/>
              </w:rPr>
            </w:pPr>
          </w:p>
        </w:tc>
        <w:tc>
          <w:tcPr>
            <w:tcW w:w="1665" w:type="dxa"/>
          </w:tcPr>
          <w:p w14:paraId="63F0997C">
            <w:pPr>
              <w:adjustRightInd w:val="0"/>
              <w:snapToGrid w:val="0"/>
              <w:spacing w:line="360" w:lineRule="auto"/>
              <w:rPr>
                <w:rFonts w:ascii="仿宋" w:hAnsi="仿宋" w:eastAsia="仿宋" w:cs="仿宋"/>
              </w:rPr>
            </w:pPr>
          </w:p>
        </w:tc>
      </w:tr>
      <w:tr w14:paraId="464E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6FAA214">
            <w:pPr>
              <w:adjustRightInd w:val="0"/>
              <w:snapToGrid w:val="0"/>
              <w:spacing w:line="360" w:lineRule="auto"/>
              <w:rPr>
                <w:rFonts w:ascii="仿宋" w:hAnsi="仿宋" w:eastAsia="仿宋" w:cs="仿宋"/>
              </w:rPr>
            </w:pPr>
          </w:p>
        </w:tc>
        <w:tc>
          <w:tcPr>
            <w:tcW w:w="1940" w:type="dxa"/>
          </w:tcPr>
          <w:p w14:paraId="13BD2E89">
            <w:pPr>
              <w:adjustRightInd w:val="0"/>
              <w:snapToGrid w:val="0"/>
              <w:spacing w:line="360" w:lineRule="auto"/>
              <w:rPr>
                <w:rFonts w:ascii="仿宋" w:hAnsi="仿宋" w:eastAsia="仿宋" w:cs="仿宋"/>
              </w:rPr>
            </w:pPr>
          </w:p>
        </w:tc>
        <w:tc>
          <w:tcPr>
            <w:tcW w:w="697" w:type="dxa"/>
          </w:tcPr>
          <w:p w14:paraId="5155BA87">
            <w:pPr>
              <w:adjustRightInd w:val="0"/>
              <w:snapToGrid w:val="0"/>
              <w:spacing w:line="360" w:lineRule="auto"/>
              <w:rPr>
                <w:rFonts w:ascii="仿宋" w:hAnsi="仿宋" w:eastAsia="仿宋" w:cs="仿宋"/>
              </w:rPr>
            </w:pPr>
          </w:p>
        </w:tc>
        <w:tc>
          <w:tcPr>
            <w:tcW w:w="697" w:type="dxa"/>
          </w:tcPr>
          <w:p w14:paraId="30B7B968">
            <w:pPr>
              <w:adjustRightInd w:val="0"/>
              <w:snapToGrid w:val="0"/>
              <w:spacing w:line="360" w:lineRule="auto"/>
              <w:rPr>
                <w:rFonts w:ascii="仿宋" w:hAnsi="仿宋" w:eastAsia="仿宋" w:cs="仿宋"/>
              </w:rPr>
            </w:pPr>
          </w:p>
        </w:tc>
        <w:tc>
          <w:tcPr>
            <w:tcW w:w="697" w:type="dxa"/>
          </w:tcPr>
          <w:p w14:paraId="1BFCCEFB">
            <w:pPr>
              <w:adjustRightInd w:val="0"/>
              <w:snapToGrid w:val="0"/>
              <w:spacing w:line="360" w:lineRule="auto"/>
              <w:rPr>
                <w:rFonts w:ascii="仿宋" w:hAnsi="仿宋" w:eastAsia="仿宋" w:cs="仿宋"/>
              </w:rPr>
            </w:pPr>
          </w:p>
        </w:tc>
        <w:tc>
          <w:tcPr>
            <w:tcW w:w="697" w:type="dxa"/>
          </w:tcPr>
          <w:p w14:paraId="458F15E4">
            <w:pPr>
              <w:adjustRightInd w:val="0"/>
              <w:snapToGrid w:val="0"/>
              <w:spacing w:line="360" w:lineRule="auto"/>
              <w:rPr>
                <w:rFonts w:ascii="仿宋" w:hAnsi="仿宋" w:eastAsia="仿宋" w:cs="仿宋"/>
              </w:rPr>
            </w:pPr>
          </w:p>
        </w:tc>
        <w:tc>
          <w:tcPr>
            <w:tcW w:w="1665" w:type="dxa"/>
          </w:tcPr>
          <w:p w14:paraId="391EC2A8">
            <w:pPr>
              <w:adjustRightInd w:val="0"/>
              <w:snapToGrid w:val="0"/>
              <w:spacing w:line="360" w:lineRule="auto"/>
              <w:rPr>
                <w:rFonts w:ascii="仿宋" w:hAnsi="仿宋" w:eastAsia="仿宋" w:cs="仿宋"/>
              </w:rPr>
            </w:pPr>
          </w:p>
        </w:tc>
      </w:tr>
      <w:tr w14:paraId="42C8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9B68B9F">
            <w:pPr>
              <w:adjustRightInd w:val="0"/>
              <w:snapToGrid w:val="0"/>
              <w:spacing w:line="360" w:lineRule="auto"/>
              <w:rPr>
                <w:rFonts w:ascii="仿宋" w:hAnsi="仿宋" w:eastAsia="仿宋" w:cs="仿宋"/>
              </w:rPr>
            </w:pPr>
          </w:p>
        </w:tc>
        <w:tc>
          <w:tcPr>
            <w:tcW w:w="1940" w:type="dxa"/>
          </w:tcPr>
          <w:p w14:paraId="00423BEF">
            <w:pPr>
              <w:adjustRightInd w:val="0"/>
              <w:snapToGrid w:val="0"/>
              <w:spacing w:line="360" w:lineRule="auto"/>
              <w:rPr>
                <w:rFonts w:ascii="仿宋" w:hAnsi="仿宋" w:eastAsia="仿宋" w:cs="仿宋"/>
              </w:rPr>
            </w:pPr>
          </w:p>
        </w:tc>
        <w:tc>
          <w:tcPr>
            <w:tcW w:w="697" w:type="dxa"/>
          </w:tcPr>
          <w:p w14:paraId="7F7618E5">
            <w:pPr>
              <w:adjustRightInd w:val="0"/>
              <w:snapToGrid w:val="0"/>
              <w:spacing w:line="360" w:lineRule="auto"/>
              <w:rPr>
                <w:rFonts w:ascii="仿宋" w:hAnsi="仿宋" w:eastAsia="仿宋" w:cs="仿宋"/>
              </w:rPr>
            </w:pPr>
          </w:p>
        </w:tc>
        <w:tc>
          <w:tcPr>
            <w:tcW w:w="697" w:type="dxa"/>
          </w:tcPr>
          <w:p w14:paraId="379F7F6C">
            <w:pPr>
              <w:adjustRightInd w:val="0"/>
              <w:snapToGrid w:val="0"/>
              <w:spacing w:line="360" w:lineRule="auto"/>
              <w:rPr>
                <w:rFonts w:ascii="仿宋" w:hAnsi="仿宋" w:eastAsia="仿宋" w:cs="仿宋"/>
              </w:rPr>
            </w:pPr>
          </w:p>
        </w:tc>
        <w:tc>
          <w:tcPr>
            <w:tcW w:w="697" w:type="dxa"/>
          </w:tcPr>
          <w:p w14:paraId="00B7FD12">
            <w:pPr>
              <w:adjustRightInd w:val="0"/>
              <w:snapToGrid w:val="0"/>
              <w:spacing w:line="360" w:lineRule="auto"/>
              <w:rPr>
                <w:rFonts w:ascii="仿宋" w:hAnsi="仿宋" w:eastAsia="仿宋" w:cs="仿宋"/>
              </w:rPr>
            </w:pPr>
          </w:p>
        </w:tc>
        <w:tc>
          <w:tcPr>
            <w:tcW w:w="697" w:type="dxa"/>
          </w:tcPr>
          <w:p w14:paraId="355A73DF">
            <w:pPr>
              <w:adjustRightInd w:val="0"/>
              <w:snapToGrid w:val="0"/>
              <w:spacing w:line="360" w:lineRule="auto"/>
              <w:rPr>
                <w:rFonts w:ascii="仿宋" w:hAnsi="仿宋" w:eastAsia="仿宋" w:cs="仿宋"/>
              </w:rPr>
            </w:pPr>
          </w:p>
        </w:tc>
        <w:tc>
          <w:tcPr>
            <w:tcW w:w="1665" w:type="dxa"/>
          </w:tcPr>
          <w:p w14:paraId="51B0D4E4">
            <w:pPr>
              <w:adjustRightInd w:val="0"/>
              <w:snapToGrid w:val="0"/>
              <w:spacing w:line="360" w:lineRule="auto"/>
              <w:rPr>
                <w:rFonts w:ascii="仿宋" w:hAnsi="仿宋" w:eastAsia="仿宋" w:cs="仿宋"/>
              </w:rPr>
            </w:pPr>
          </w:p>
        </w:tc>
      </w:tr>
    </w:tbl>
    <w:p w14:paraId="49E33B2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0ACB211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4DCBE19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1DAA2FD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5D4F58E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2CA37A6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266" w:name="_Toc133783976"/>
    </w:p>
    <w:p w14:paraId="3BF38200">
      <w:pPr>
        <w:adjustRightInd w:val="0"/>
        <w:snapToGrid w:val="0"/>
        <w:spacing w:before="163" w:beforeLines="50" w:after="163" w:afterLines="50" w:line="360" w:lineRule="auto"/>
        <w:jc w:val="center"/>
        <w:outlineLvl w:val="0"/>
        <w:rPr>
          <w:rFonts w:ascii="仿宋" w:hAnsi="仿宋" w:eastAsia="仿宋" w:cs="仿宋"/>
          <w:b/>
          <w:bCs/>
        </w:rPr>
      </w:pPr>
      <w:bookmarkStart w:id="1267" w:name="_Toc10484"/>
      <w:bookmarkStart w:id="1268" w:name="_Toc13350"/>
      <w:bookmarkStart w:id="1269" w:name="_Toc2341"/>
      <w:bookmarkStart w:id="1270" w:name="_Toc9608"/>
      <w:bookmarkStart w:id="1271" w:name="_Toc16301"/>
      <w:bookmarkStart w:id="1272" w:name="_Toc147"/>
      <w:bookmarkStart w:id="1273" w:name="_Toc5380"/>
      <w:bookmarkStart w:id="1274" w:name="_Toc17463"/>
      <w:bookmarkStart w:id="1275" w:name="_Toc23538"/>
      <w:bookmarkStart w:id="1276" w:name="_Toc1126"/>
      <w:bookmarkStart w:id="1277" w:name="_Toc2177"/>
      <w:bookmarkStart w:id="1278" w:name="_Toc26559"/>
      <w:bookmarkStart w:id="1279" w:name="_Toc623"/>
      <w:bookmarkStart w:id="1280" w:name="_Toc17045"/>
      <w:bookmarkStart w:id="1281" w:name="_Toc32403"/>
      <w:bookmarkStart w:id="1282" w:name="_Toc13666"/>
      <w:bookmarkStart w:id="1283" w:name="_Toc4563"/>
      <w:bookmarkStart w:id="1284" w:name="_Toc19444"/>
      <w:bookmarkStart w:id="1285" w:name="_Toc17174"/>
      <w:bookmarkStart w:id="1286" w:name="_Toc29369"/>
      <w:bookmarkStart w:id="1287" w:name="_Toc2783"/>
      <w:bookmarkStart w:id="1288" w:name="_Toc31830"/>
      <w:bookmarkStart w:id="1289" w:name="_Toc19821"/>
      <w:bookmarkStart w:id="1290" w:name="_Toc19119"/>
      <w:bookmarkStart w:id="1291" w:name="_Toc10081"/>
      <w:bookmarkStart w:id="1292" w:name="_Toc3744"/>
      <w:bookmarkStart w:id="1293" w:name="_Toc22743"/>
      <w:bookmarkStart w:id="1294" w:name="_Toc7423"/>
      <w:bookmarkStart w:id="1295" w:name="_Toc3256"/>
      <w:bookmarkStart w:id="1296" w:name="_Toc919"/>
      <w:bookmarkStart w:id="1297" w:name="_Toc15684"/>
      <w:bookmarkStart w:id="1298" w:name="_Toc25823"/>
      <w:bookmarkStart w:id="1299" w:name="_Toc15645"/>
      <w:bookmarkStart w:id="1300" w:name="_Toc5153"/>
      <w:bookmarkStart w:id="1301" w:name="_Toc73112426"/>
      <w:bookmarkStart w:id="1302" w:name="_Toc9954"/>
      <w:bookmarkStart w:id="1303" w:name="_Toc11155"/>
      <w:bookmarkStart w:id="1304" w:name="_Toc671"/>
      <w:bookmarkStart w:id="1305" w:name="_Toc11416"/>
      <w:bookmarkStart w:id="1306" w:name="_Toc7541"/>
      <w:bookmarkStart w:id="1307" w:name="_Toc24401"/>
      <w:bookmarkStart w:id="1308" w:name="_Toc26481"/>
      <w:bookmarkStart w:id="1309" w:name="_Toc29655"/>
      <w:bookmarkStart w:id="1310" w:name="_Toc2151"/>
      <w:r>
        <w:rPr>
          <w:rFonts w:hint="eastAsia" w:ascii="仿宋" w:hAnsi="仿宋" w:eastAsia="仿宋" w:cs="仿宋"/>
          <w:b/>
          <w:bCs/>
        </w:rPr>
        <w:t>第七章其它要求</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750923AB">
      <w:pPr>
        <w:snapToGrid w:val="0"/>
        <w:spacing w:line="360" w:lineRule="auto"/>
        <w:ind w:left="480"/>
        <w:outlineLvl w:val="1"/>
        <w:rPr>
          <w:rFonts w:ascii="仿宋" w:hAnsi="仿宋" w:eastAsia="仿宋" w:cs="仿宋"/>
          <w:b/>
          <w:bCs/>
        </w:rPr>
      </w:pPr>
      <w:bookmarkStart w:id="1311" w:name="_Toc16614"/>
      <w:bookmarkStart w:id="1312" w:name="_Toc27273"/>
      <w:bookmarkStart w:id="1313" w:name="_Toc15205"/>
      <w:bookmarkStart w:id="1314" w:name="_Toc16802"/>
      <w:bookmarkStart w:id="1315" w:name="_Toc11058"/>
      <w:bookmarkStart w:id="1316" w:name="_Toc24669"/>
      <w:bookmarkStart w:id="1317" w:name="_Toc22010"/>
      <w:bookmarkStart w:id="1318" w:name="_Toc17357"/>
      <w:bookmarkStart w:id="1319" w:name="_Toc13820"/>
      <w:bookmarkStart w:id="1320" w:name="_Toc4997"/>
      <w:bookmarkStart w:id="1321" w:name="_Toc18469"/>
      <w:bookmarkStart w:id="1322" w:name="_Toc21465"/>
      <w:bookmarkStart w:id="1323" w:name="_Toc24680"/>
      <w:bookmarkStart w:id="1324" w:name="_Toc17702"/>
      <w:bookmarkStart w:id="1325" w:name="_Toc32012"/>
      <w:bookmarkStart w:id="1326" w:name="_Toc5514"/>
      <w:bookmarkStart w:id="1327" w:name="_Toc14484"/>
      <w:bookmarkStart w:id="1328" w:name="_Toc32525"/>
      <w:bookmarkStart w:id="1329" w:name="_Toc30535"/>
      <w:bookmarkStart w:id="1330" w:name="_Toc14684"/>
      <w:bookmarkStart w:id="1331" w:name="_Toc12406"/>
      <w:bookmarkStart w:id="1332" w:name="_Toc17727"/>
      <w:bookmarkStart w:id="1333" w:name="_Toc26831"/>
      <w:bookmarkStart w:id="1334" w:name="_Toc12542"/>
      <w:bookmarkStart w:id="1335" w:name="_Toc28364"/>
      <w:bookmarkStart w:id="1336" w:name="_Toc20262"/>
      <w:bookmarkStart w:id="1337" w:name="_Toc25903"/>
      <w:bookmarkStart w:id="1338" w:name="_Toc15541"/>
      <w:bookmarkStart w:id="1339" w:name="_Toc24782"/>
      <w:bookmarkStart w:id="1340" w:name="_Toc24181"/>
      <w:bookmarkStart w:id="1341" w:name="_Toc15256"/>
      <w:bookmarkStart w:id="1342" w:name="_Toc16521"/>
      <w:bookmarkStart w:id="1343" w:name="_Toc73112427"/>
      <w:bookmarkStart w:id="1344" w:name="_Toc29015"/>
      <w:bookmarkStart w:id="1345" w:name="_Toc17435"/>
      <w:bookmarkStart w:id="1346" w:name="_Toc16829"/>
      <w:bookmarkStart w:id="1347" w:name="_Toc29679"/>
      <w:bookmarkStart w:id="1348" w:name="_Toc32470"/>
      <w:bookmarkStart w:id="1349" w:name="_Toc31105"/>
      <w:bookmarkStart w:id="1350" w:name="_Toc32544"/>
      <w:bookmarkStart w:id="1351" w:name="_Toc2497"/>
      <w:bookmarkStart w:id="1352" w:name="_Toc11901"/>
      <w:bookmarkStart w:id="1353" w:name="_Toc22430"/>
      <w:r>
        <w:rPr>
          <w:rFonts w:hint="eastAsia" w:ascii="仿宋" w:hAnsi="仿宋" w:eastAsia="仿宋" w:cs="仿宋"/>
          <w:b/>
          <w:bCs/>
        </w:rPr>
        <w:t>1特殊要求</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4C754DC2">
      <w:pPr>
        <w:pStyle w:val="16"/>
        <w:snapToGrid w:val="0"/>
        <w:spacing w:line="360" w:lineRule="auto"/>
        <w:ind w:firstLine="480" w:firstLineChars="200"/>
        <w:rPr>
          <w:rFonts w:ascii="仿宋" w:hAnsi="仿宋" w:eastAsia="仿宋" w:cs="仿宋"/>
        </w:rPr>
      </w:pPr>
      <w:r>
        <w:rPr>
          <w:rFonts w:hint="eastAsia" w:ascii="仿宋" w:hAnsi="仿宋" w:eastAsia="仿宋" w:cs="仿宋"/>
        </w:rPr>
        <w:t>为保证本技术标书所列采购货物（或生产线）的质量以及先进性、可靠性、经济性和实用性，要求投标方在投标文件中，至少应具备以下资格证明文件或资料：</w:t>
      </w:r>
    </w:p>
    <w:p w14:paraId="32754580">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14:paraId="3974B6FE">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58BA59FA">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012A644D">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1.4应附有其它与投标单位、采购货物（或生产线）有关的荣誉证书或资料。</w:t>
      </w:r>
    </w:p>
    <w:p w14:paraId="40C8939F">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16DF45B9">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0E74EF96">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14:paraId="053AEC0D">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42BF2BA5">
      <w:pPr>
        <w:snapToGrid w:val="0"/>
        <w:spacing w:line="360" w:lineRule="auto"/>
        <w:ind w:left="480"/>
        <w:outlineLvl w:val="1"/>
        <w:rPr>
          <w:rFonts w:ascii="仿宋" w:hAnsi="仿宋" w:eastAsia="仿宋" w:cs="仿宋"/>
          <w:b/>
          <w:bCs/>
        </w:rPr>
      </w:pPr>
      <w:bookmarkStart w:id="1354" w:name="_Toc22893"/>
      <w:bookmarkStart w:id="1355" w:name="_Toc16457"/>
      <w:bookmarkStart w:id="1356" w:name="_Toc21942"/>
      <w:bookmarkStart w:id="1357" w:name="_Toc29233"/>
      <w:bookmarkStart w:id="1358" w:name="_Toc28559"/>
      <w:bookmarkStart w:id="1359" w:name="_Toc13497"/>
      <w:bookmarkStart w:id="1360" w:name="_Toc3658"/>
      <w:bookmarkStart w:id="1361" w:name="_Toc24482"/>
      <w:bookmarkStart w:id="1362" w:name="_Toc11255"/>
      <w:bookmarkStart w:id="1363" w:name="_Toc20370"/>
      <w:bookmarkStart w:id="1364" w:name="_Toc29954"/>
      <w:bookmarkStart w:id="1365" w:name="_Toc3821"/>
      <w:bookmarkStart w:id="1366" w:name="_Toc25028"/>
      <w:bookmarkStart w:id="1367" w:name="_Toc22763"/>
      <w:bookmarkStart w:id="1368" w:name="_Toc19315"/>
      <w:bookmarkStart w:id="1369" w:name="_Toc28380"/>
      <w:bookmarkStart w:id="1370" w:name="_Toc28267"/>
      <w:bookmarkStart w:id="1371" w:name="_Toc18674"/>
      <w:bookmarkStart w:id="1372" w:name="_Toc73112429"/>
      <w:bookmarkStart w:id="1373" w:name="_Toc8864"/>
      <w:bookmarkStart w:id="1374" w:name="_Toc4278"/>
      <w:bookmarkStart w:id="1375" w:name="_Toc26724"/>
      <w:bookmarkStart w:id="1376" w:name="_Toc26307"/>
      <w:bookmarkStart w:id="1377" w:name="_Toc18745"/>
      <w:bookmarkStart w:id="1378" w:name="_Toc24176"/>
      <w:bookmarkStart w:id="1379" w:name="_Toc3323"/>
      <w:bookmarkStart w:id="1380" w:name="_Toc20830"/>
      <w:bookmarkStart w:id="1381" w:name="_Toc26626"/>
      <w:bookmarkStart w:id="1382" w:name="_Toc14052"/>
      <w:bookmarkStart w:id="1383" w:name="_Toc27164"/>
      <w:bookmarkStart w:id="1384" w:name="_Toc5504"/>
      <w:bookmarkStart w:id="1385" w:name="_Toc1823"/>
      <w:bookmarkStart w:id="1386" w:name="_Toc4853"/>
      <w:bookmarkStart w:id="1387" w:name="_Toc27894"/>
      <w:bookmarkStart w:id="1388" w:name="_Toc11707"/>
      <w:bookmarkStart w:id="1389" w:name="_Toc28718"/>
      <w:bookmarkStart w:id="1390" w:name="_Toc14956"/>
      <w:bookmarkStart w:id="1391" w:name="_Toc18370"/>
      <w:bookmarkStart w:id="1392" w:name="_Toc13528"/>
      <w:bookmarkStart w:id="1393" w:name="_Toc4243"/>
      <w:bookmarkStart w:id="1394" w:name="_Toc28700"/>
      <w:bookmarkStart w:id="1395" w:name="_Toc335"/>
      <w:bookmarkStart w:id="1396" w:name="_Toc25498"/>
      <w:r>
        <w:rPr>
          <w:rFonts w:hint="eastAsia" w:ascii="仿宋" w:hAnsi="仿宋" w:eastAsia="仿宋" w:cs="仿宋"/>
          <w:b/>
          <w:bCs/>
        </w:rPr>
        <w:t>2说明</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0A1A4310">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0DCF86E8">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3DF4FC2F">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328D9A19">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08037657">
      <w:pPr>
        <w:snapToGrid w:val="0"/>
        <w:spacing w:line="360" w:lineRule="auto"/>
        <w:ind w:firstLine="420" w:firstLineChars="200"/>
        <w:rPr>
          <w:rFonts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422"/>
      </w:tblGrid>
      <w:tr w14:paraId="184A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6"/>
          </w:tcPr>
          <w:p w14:paraId="12276AD9">
            <w:pPr>
              <w:snapToGrid w:val="0"/>
              <w:spacing w:line="360" w:lineRule="auto"/>
              <w:jc w:val="center"/>
              <w:rPr>
                <w:rFonts w:ascii="仿宋" w:hAnsi="仿宋" w:eastAsia="仿宋" w:cs="仿宋"/>
              </w:rPr>
            </w:pPr>
            <w:r>
              <w:rPr>
                <w:rFonts w:hint="eastAsia" w:ascii="仿宋" w:hAnsi="仿宋" w:eastAsia="仿宋" w:cs="仿宋"/>
              </w:rPr>
              <w:t>会签栏</w:t>
            </w:r>
          </w:p>
        </w:tc>
      </w:tr>
      <w:tr w14:paraId="0B6E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7D623B90">
            <w:pPr>
              <w:snapToGrid w:val="0"/>
              <w:spacing w:line="360" w:lineRule="auto"/>
              <w:rPr>
                <w:rFonts w:ascii="仿宋" w:hAnsi="仿宋" w:eastAsia="仿宋" w:cs="仿宋"/>
              </w:rPr>
            </w:pPr>
            <w:r>
              <w:rPr>
                <w:rFonts w:hint="eastAsia" w:ascii="仿宋" w:hAnsi="仿宋" w:eastAsia="仿宋" w:cs="仿宋"/>
              </w:rPr>
              <w:t>单位</w:t>
            </w:r>
          </w:p>
        </w:tc>
        <w:tc>
          <w:tcPr>
            <w:tcW w:w="1421" w:type="dxa"/>
          </w:tcPr>
          <w:p w14:paraId="39FC1A8C">
            <w:pPr>
              <w:snapToGrid w:val="0"/>
              <w:spacing w:line="360" w:lineRule="auto"/>
              <w:rPr>
                <w:rFonts w:ascii="仿宋" w:hAnsi="仿宋" w:eastAsia="仿宋" w:cs="仿宋"/>
              </w:rPr>
            </w:pPr>
            <w:r>
              <w:rPr>
                <w:rFonts w:hint="eastAsia" w:ascii="仿宋" w:hAnsi="仿宋" w:eastAsia="仿宋" w:cs="仿宋"/>
              </w:rPr>
              <w:t>签字</w:t>
            </w:r>
          </w:p>
        </w:tc>
        <w:tc>
          <w:tcPr>
            <w:tcW w:w="1421" w:type="dxa"/>
          </w:tcPr>
          <w:p w14:paraId="0F83142B">
            <w:pPr>
              <w:snapToGrid w:val="0"/>
              <w:spacing w:line="360" w:lineRule="auto"/>
              <w:rPr>
                <w:rFonts w:ascii="仿宋" w:hAnsi="仿宋" w:eastAsia="仿宋" w:cs="仿宋"/>
              </w:rPr>
            </w:pPr>
            <w:r>
              <w:rPr>
                <w:rFonts w:hint="eastAsia" w:ascii="仿宋" w:hAnsi="仿宋" w:eastAsia="仿宋" w:cs="仿宋"/>
              </w:rPr>
              <w:t>日期</w:t>
            </w:r>
          </w:p>
        </w:tc>
        <w:tc>
          <w:tcPr>
            <w:tcW w:w="1421" w:type="dxa"/>
          </w:tcPr>
          <w:p w14:paraId="66BBFDAA">
            <w:pPr>
              <w:snapToGrid w:val="0"/>
              <w:spacing w:line="360" w:lineRule="auto"/>
              <w:rPr>
                <w:rFonts w:ascii="仿宋" w:hAnsi="仿宋" w:eastAsia="仿宋" w:cs="仿宋"/>
              </w:rPr>
            </w:pPr>
            <w:r>
              <w:rPr>
                <w:rFonts w:hint="eastAsia" w:ascii="仿宋" w:hAnsi="仿宋" w:eastAsia="仿宋" w:cs="仿宋"/>
              </w:rPr>
              <w:t>单位</w:t>
            </w:r>
          </w:p>
        </w:tc>
        <w:tc>
          <w:tcPr>
            <w:tcW w:w="1422" w:type="dxa"/>
          </w:tcPr>
          <w:p w14:paraId="31348B57">
            <w:pPr>
              <w:snapToGrid w:val="0"/>
              <w:spacing w:line="360" w:lineRule="auto"/>
              <w:rPr>
                <w:rFonts w:ascii="仿宋" w:hAnsi="仿宋" w:eastAsia="仿宋" w:cs="仿宋"/>
              </w:rPr>
            </w:pPr>
            <w:r>
              <w:rPr>
                <w:rFonts w:hint="eastAsia" w:ascii="仿宋" w:hAnsi="仿宋" w:eastAsia="仿宋" w:cs="仿宋"/>
              </w:rPr>
              <w:t>签字</w:t>
            </w:r>
          </w:p>
        </w:tc>
        <w:tc>
          <w:tcPr>
            <w:tcW w:w="1422" w:type="dxa"/>
          </w:tcPr>
          <w:p w14:paraId="156A5246">
            <w:pPr>
              <w:snapToGrid w:val="0"/>
              <w:spacing w:line="360" w:lineRule="auto"/>
              <w:rPr>
                <w:rFonts w:ascii="仿宋" w:hAnsi="仿宋" w:eastAsia="仿宋" w:cs="仿宋"/>
              </w:rPr>
            </w:pPr>
            <w:r>
              <w:rPr>
                <w:rFonts w:hint="eastAsia" w:ascii="仿宋" w:hAnsi="仿宋" w:eastAsia="仿宋" w:cs="仿宋"/>
              </w:rPr>
              <w:t>日期</w:t>
            </w:r>
          </w:p>
        </w:tc>
      </w:tr>
      <w:tr w14:paraId="06FA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5B7E1E39">
            <w:pPr>
              <w:snapToGrid w:val="0"/>
              <w:spacing w:line="360" w:lineRule="auto"/>
              <w:rPr>
                <w:rFonts w:ascii="仿宋" w:hAnsi="仿宋" w:eastAsia="仿宋" w:cs="仿宋"/>
              </w:rPr>
            </w:pPr>
            <w:r>
              <w:rPr>
                <w:rFonts w:hint="eastAsia" w:ascii="仿宋" w:hAnsi="仿宋" w:eastAsia="仿宋" w:cs="仿宋"/>
              </w:rPr>
              <w:t>使用单位</w:t>
            </w:r>
          </w:p>
        </w:tc>
        <w:tc>
          <w:tcPr>
            <w:tcW w:w="1421" w:type="dxa"/>
          </w:tcPr>
          <w:p w14:paraId="559B41CF">
            <w:pPr>
              <w:snapToGrid w:val="0"/>
              <w:spacing w:line="360" w:lineRule="auto"/>
              <w:rPr>
                <w:rFonts w:ascii="仿宋" w:hAnsi="仿宋" w:eastAsia="仿宋" w:cs="仿宋"/>
              </w:rPr>
            </w:pPr>
          </w:p>
        </w:tc>
        <w:tc>
          <w:tcPr>
            <w:tcW w:w="1421" w:type="dxa"/>
          </w:tcPr>
          <w:p w14:paraId="1511863A">
            <w:pPr>
              <w:snapToGrid w:val="0"/>
              <w:spacing w:line="360" w:lineRule="auto"/>
              <w:rPr>
                <w:rFonts w:ascii="仿宋" w:hAnsi="仿宋" w:eastAsia="仿宋" w:cs="仿宋"/>
              </w:rPr>
            </w:pPr>
          </w:p>
        </w:tc>
        <w:tc>
          <w:tcPr>
            <w:tcW w:w="1421" w:type="dxa"/>
          </w:tcPr>
          <w:p w14:paraId="5A046AE7">
            <w:pPr>
              <w:snapToGrid w:val="0"/>
              <w:spacing w:line="360" w:lineRule="auto"/>
              <w:rPr>
                <w:rFonts w:ascii="仿宋" w:hAnsi="仿宋" w:eastAsia="仿宋" w:cs="仿宋"/>
              </w:rPr>
            </w:pPr>
            <w:r>
              <w:rPr>
                <w:rFonts w:hint="eastAsia" w:ascii="仿宋" w:hAnsi="仿宋" w:eastAsia="仿宋" w:cs="仿宋"/>
                <w:highlight w:val="none"/>
                <w:lang w:val="en-US" w:eastAsia="zh-CN"/>
              </w:rPr>
              <w:t>安全环保部</w:t>
            </w:r>
          </w:p>
        </w:tc>
        <w:tc>
          <w:tcPr>
            <w:tcW w:w="1422" w:type="dxa"/>
          </w:tcPr>
          <w:p w14:paraId="1E6E5E92">
            <w:pPr>
              <w:snapToGrid w:val="0"/>
              <w:spacing w:line="360" w:lineRule="auto"/>
              <w:rPr>
                <w:rFonts w:ascii="仿宋" w:hAnsi="仿宋" w:eastAsia="仿宋" w:cs="仿宋"/>
              </w:rPr>
            </w:pPr>
          </w:p>
        </w:tc>
        <w:tc>
          <w:tcPr>
            <w:tcW w:w="1422" w:type="dxa"/>
          </w:tcPr>
          <w:p w14:paraId="79325A7B">
            <w:pPr>
              <w:snapToGrid w:val="0"/>
              <w:spacing w:line="360" w:lineRule="auto"/>
              <w:rPr>
                <w:rFonts w:ascii="仿宋" w:hAnsi="仿宋" w:eastAsia="仿宋" w:cs="仿宋"/>
              </w:rPr>
            </w:pPr>
          </w:p>
        </w:tc>
      </w:tr>
      <w:tr w14:paraId="5184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6D1302A1">
            <w:pPr>
              <w:snapToGrid w:val="0"/>
              <w:spacing w:line="360" w:lineRule="auto"/>
              <w:rPr>
                <w:rFonts w:ascii="仿宋" w:hAnsi="仿宋" w:eastAsia="仿宋" w:cs="仿宋"/>
              </w:rPr>
            </w:pPr>
            <w:r>
              <w:rPr>
                <w:rFonts w:hint="eastAsia" w:ascii="仿宋" w:hAnsi="仿宋" w:eastAsia="仿宋" w:cs="仿宋"/>
              </w:rPr>
              <w:t>制造部</w:t>
            </w:r>
          </w:p>
        </w:tc>
        <w:tc>
          <w:tcPr>
            <w:tcW w:w="1421" w:type="dxa"/>
          </w:tcPr>
          <w:p w14:paraId="6DE7F336">
            <w:pPr>
              <w:snapToGrid w:val="0"/>
              <w:spacing w:line="360" w:lineRule="auto"/>
              <w:rPr>
                <w:rFonts w:ascii="仿宋" w:hAnsi="仿宋" w:eastAsia="仿宋" w:cs="仿宋"/>
              </w:rPr>
            </w:pPr>
          </w:p>
        </w:tc>
        <w:tc>
          <w:tcPr>
            <w:tcW w:w="1421" w:type="dxa"/>
          </w:tcPr>
          <w:p w14:paraId="2A192872">
            <w:pPr>
              <w:snapToGrid w:val="0"/>
              <w:spacing w:line="360" w:lineRule="auto"/>
              <w:rPr>
                <w:rFonts w:ascii="仿宋" w:hAnsi="仿宋" w:eastAsia="仿宋" w:cs="仿宋"/>
              </w:rPr>
            </w:pPr>
          </w:p>
        </w:tc>
        <w:tc>
          <w:tcPr>
            <w:tcW w:w="1421" w:type="dxa"/>
          </w:tcPr>
          <w:p w14:paraId="20BD55D9">
            <w:pPr>
              <w:snapToGrid w:val="0"/>
              <w:spacing w:line="360" w:lineRule="auto"/>
              <w:rPr>
                <w:rFonts w:ascii="仿宋" w:hAnsi="仿宋" w:eastAsia="仿宋" w:cs="仿宋"/>
              </w:rPr>
            </w:pPr>
            <w:r>
              <w:rPr>
                <w:rFonts w:hint="eastAsia" w:ascii="仿宋" w:hAnsi="仿宋" w:eastAsia="仿宋" w:cs="仿宋"/>
              </w:rPr>
              <w:t>质量部</w:t>
            </w:r>
          </w:p>
        </w:tc>
        <w:tc>
          <w:tcPr>
            <w:tcW w:w="1422" w:type="dxa"/>
          </w:tcPr>
          <w:p w14:paraId="32568D82">
            <w:pPr>
              <w:snapToGrid w:val="0"/>
              <w:spacing w:line="360" w:lineRule="auto"/>
              <w:rPr>
                <w:rFonts w:ascii="仿宋" w:hAnsi="仿宋" w:eastAsia="仿宋" w:cs="仿宋"/>
              </w:rPr>
            </w:pPr>
          </w:p>
        </w:tc>
        <w:tc>
          <w:tcPr>
            <w:tcW w:w="1422" w:type="dxa"/>
          </w:tcPr>
          <w:p w14:paraId="213A169B">
            <w:pPr>
              <w:snapToGrid w:val="0"/>
              <w:spacing w:line="360" w:lineRule="auto"/>
              <w:rPr>
                <w:rFonts w:ascii="仿宋" w:hAnsi="仿宋" w:eastAsia="仿宋" w:cs="仿宋"/>
              </w:rPr>
            </w:pPr>
          </w:p>
        </w:tc>
      </w:tr>
      <w:tr w14:paraId="027D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5B2969B5">
            <w:pPr>
              <w:snapToGrid w:val="0"/>
              <w:spacing w:line="360" w:lineRule="auto"/>
              <w:rPr>
                <w:rFonts w:ascii="仿宋" w:hAnsi="仿宋" w:eastAsia="仿宋" w:cs="仿宋"/>
              </w:rPr>
            </w:pPr>
            <w:r>
              <w:rPr>
                <w:rFonts w:hint="eastAsia" w:ascii="仿宋" w:hAnsi="仿宋" w:eastAsia="仿宋" w:cs="仿宋"/>
              </w:rPr>
              <w:t>工艺工程部</w:t>
            </w:r>
          </w:p>
        </w:tc>
        <w:tc>
          <w:tcPr>
            <w:tcW w:w="1421" w:type="dxa"/>
          </w:tcPr>
          <w:p w14:paraId="2CB3F431">
            <w:pPr>
              <w:snapToGrid w:val="0"/>
              <w:spacing w:line="360" w:lineRule="auto"/>
              <w:rPr>
                <w:rFonts w:ascii="仿宋" w:hAnsi="仿宋" w:eastAsia="仿宋" w:cs="仿宋"/>
              </w:rPr>
            </w:pPr>
          </w:p>
        </w:tc>
        <w:tc>
          <w:tcPr>
            <w:tcW w:w="1421" w:type="dxa"/>
          </w:tcPr>
          <w:p w14:paraId="501297AD">
            <w:pPr>
              <w:snapToGrid w:val="0"/>
              <w:spacing w:line="360" w:lineRule="auto"/>
              <w:rPr>
                <w:rFonts w:ascii="仿宋" w:hAnsi="仿宋" w:eastAsia="仿宋" w:cs="仿宋"/>
              </w:rPr>
            </w:pPr>
          </w:p>
        </w:tc>
        <w:tc>
          <w:tcPr>
            <w:tcW w:w="1421" w:type="dxa"/>
          </w:tcPr>
          <w:p w14:paraId="215F2875">
            <w:pPr>
              <w:snapToGrid w:val="0"/>
              <w:spacing w:line="360" w:lineRule="auto"/>
              <w:rPr>
                <w:rFonts w:ascii="仿宋" w:hAnsi="仿宋" w:eastAsia="仿宋" w:cs="仿宋"/>
              </w:rPr>
            </w:pPr>
          </w:p>
        </w:tc>
        <w:tc>
          <w:tcPr>
            <w:tcW w:w="1422" w:type="dxa"/>
          </w:tcPr>
          <w:p w14:paraId="61BCD42B">
            <w:pPr>
              <w:snapToGrid w:val="0"/>
              <w:spacing w:line="360" w:lineRule="auto"/>
              <w:rPr>
                <w:rFonts w:ascii="仿宋" w:hAnsi="仿宋" w:eastAsia="仿宋" w:cs="仿宋"/>
              </w:rPr>
            </w:pPr>
          </w:p>
        </w:tc>
        <w:tc>
          <w:tcPr>
            <w:tcW w:w="1422" w:type="dxa"/>
          </w:tcPr>
          <w:p w14:paraId="50795985">
            <w:pPr>
              <w:snapToGrid w:val="0"/>
              <w:spacing w:line="360" w:lineRule="auto"/>
              <w:rPr>
                <w:rFonts w:ascii="仿宋" w:hAnsi="仿宋" w:eastAsia="仿宋" w:cs="仿宋"/>
              </w:rPr>
            </w:pPr>
          </w:p>
        </w:tc>
      </w:tr>
      <w:tr w14:paraId="1D45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1B2B1AAD">
            <w:pPr>
              <w:snapToGrid w:val="0"/>
              <w:spacing w:line="360" w:lineRule="auto"/>
              <w:rPr>
                <w:rFonts w:ascii="仿宋" w:hAnsi="仿宋" w:eastAsia="仿宋" w:cs="仿宋"/>
              </w:rPr>
            </w:pPr>
          </w:p>
        </w:tc>
        <w:tc>
          <w:tcPr>
            <w:tcW w:w="1421" w:type="dxa"/>
          </w:tcPr>
          <w:p w14:paraId="3B80C96A">
            <w:pPr>
              <w:snapToGrid w:val="0"/>
              <w:spacing w:line="360" w:lineRule="auto"/>
              <w:rPr>
                <w:rFonts w:ascii="仿宋" w:hAnsi="仿宋" w:eastAsia="仿宋" w:cs="仿宋"/>
              </w:rPr>
            </w:pPr>
          </w:p>
        </w:tc>
        <w:tc>
          <w:tcPr>
            <w:tcW w:w="1421" w:type="dxa"/>
          </w:tcPr>
          <w:p w14:paraId="2F5593D9">
            <w:pPr>
              <w:snapToGrid w:val="0"/>
              <w:spacing w:line="360" w:lineRule="auto"/>
              <w:rPr>
                <w:rFonts w:ascii="仿宋" w:hAnsi="仿宋" w:eastAsia="仿宋" w:cs="仿宋"/>
              </w:rPr>
            </w:pPr>
          </w:p>
        </w:tc>
        <w:tc>
          <w:tcPr>
            <w:tcW w:w="1421" w:type="dxa"/>
          </w:tcPr>
          <w:p w14:paraId="6089CBDB">
            <w:pPr>
              <w:snapToGrid w:val="0"/>
              <w:spacing w:line="360" w:lineRule="auto"/>
              <w:rPr>
                <w:rFonts w:ascii="仿宋" w:hAnsi="仿宋" w:eastAsia="仿宋" w:cs="仿宋"/>
              </w:rPr>
            </w:pPr>
          </w:p>
        </w:tc>
        <w:tc>
          <w:tcPr>
            <w:tcW w:w="1422" w:type="dxa"/>
          </w:tcPr>
          <w:p w14:paraId="69BB88C4">
            <w:pPr>
              <w:snapToGrid w:val="0"/>
              <w:spacing w:line="360" w:lineRule="auto"/>
              <w:rPr>
                <w:rFonts w:ascii="仿宋" w:hAnsi="仿宋" w:eastAsia="仿宋" w:cs="仿宋"/>
              </w:rPr>
            </w:pPr>
          </w:p>
        </w:tc>
        <w:tc>
          <w:tcPr>
            <w:tcW w:w="1422" w:type="dxa"/>
          </w:tcPr>
          <w:p w14:paraId="3BDB91A7">
            <w:pPr>
              <w:snapToGrid w:val="0"/>
              <w:spacing w:line="360" w:lineRule="auto"/>
              <w:rPr>
                <w:rFonts w:ascii="仿宋" w:hAnsi="仿宋" w:eastAsia="仿宋" w:cs="仿宋"/>
              </w:rPr>
            </w:pPr>
          </w:p>
        </w:tc>
      </w:tr>
    </w:tbl>
    <w:p w14:paraId="16AFAB1D">
      <w:pPr>
        <w:snapToGrid w:val="0"/>
        <w:spacing w:line="360" w:lineRule="auto"/>
        <w:rPr>
          <w:rFonts w:ascii="仿宋" w:hAnsi="仿宋" w:eastAsia="仿宋" w:cs="仿宋"/>
        </w:rPr>
      </w:pPr>
    </w:p>
    <w:p w14:paraId="4E29E882">
      <w:pPr>
        <w:pStyle w:val="76"/>
      </w:pPr>
    </w:p>
    <w:p w14:paraId="2BA3AED1">
      <w:pPr>
        <w:rPr>
          <w:rFonts w:eastAsia="黑体"/>
          <w:b/>
          <w:bCs/>
          <w:sz w:val="28"/>
        </w:rPr>
      </w:pPr>
      <w:r>
        <w:rPr>
          <w:rFonts w:hint="eastAsia" w:eastAsia="黑体"/>
          <w:b/>
          <w:bCs/>
          <w:sz w:val="28"/>
        </w:rPr>
        <w:br w:type="page"/>
      </w:r>
      <w:r>
        <w:rPr>
          <w:rFonts w:hint="eastAsia" w:eastAsia="黑体"/>
          <w:b/>
          <w:bCs/>
          <w:sz w:val="28"/>
        </w:rPr>
        <w:t>格式1</w:t>
      </w:r>
    </w:p>
    <w:p w14:paraId="3A24F7F6">
      <w:pPr>
        <w:rPr>
          <w:rFonts w:ascii="宋体" w:hAnsi="宋体"/>
        </w:rPr>
      </w:pPr>
      <w:r>
        <w:rPr>
          <w:rFonts w:hint="eastAsia" w:ascii="宋体" w:hAnsi="宋体"/>
        </w:rPr>
        <w:t>项目名称：</w:t>
      </w:r>
      <w:r>
        <w:rPr>
          <w:rFonts w:ascii="宋体" w:hAnsi="宋体"/>
        </w:rPr>
        <w:t xml:space="preserve"> </w:t>
      </w:r>
    </w:p>
    <w:p w14:paraId="3E193BD2">
      <w:pPr>
        <w:jc w:val="center"/>
        <w:rPr>
          <w:rFonts w:eastAsia="黑体"/>
          <w:b/>
          <w:bCs/>
          <w:sz w:val="28"/>
        </w:rPr>
      </w:pPr>
      <w:r>
        <w:rPr>
          <w:rFonts w:hint="eastAsia" w:eastAsia="黑体"/>
          <w:b/>
          <w:bCs/>
          <w:sz w:val="28"/>
        </w:rPr>
        <w:t>投标书</w:t>
      </w:r>
    </w:p>
    <w:p w14:paraId="3E4A497D">
      <w:pPr>
        <w:rPr>
          <w:rFonts w:ascii="宋体" w:hAnsi="宋体"/>
          <w:u w:val="single"/>
        </w:rPr>
      </w:pPr>
      <w:r>
        <w:rPr>
          <w:rFonts w:hint="eastAsia" w:ascii="宋体" w:hAnsi="宋体"/>
        </w:rPr>
        <w:t>致</w:t>
      </w:r>
      <w:r>
        <w:rPr>
          <w:rFonts w:hint="eastAsia" w:ascii="宋体" w:hAnsi="宋体"/>
          <w:u w:val="single"/>
        </w:rPr>
        <w:t>（招标人名称）                            ：</w:t>
      </w:r>
    </w:p>
    <w:p w14:paraId="336C0FD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提交下述文件：资质证明文件、商务文件。</w:t>
      </w:r>
    </w:p>
    <w:p w14:paraId="01F2E9BF">
      <w:pPr>
        <w:rPr>
          <w:rFonts w:ascii="宋体" w:hAnsi="宋体"/>
        </w:rPr>
      </w:pPr>
      <w:r>
        <w:rPr>
          <w:rFonts w:hint="eastAsia" w:ascii="宋体" w:hAnsi="宋体"/>
        </w:rPr>
        <w:t>据此，签字代表宣布同意如下：</w:t>
      </w:r>
    </w:p>
    <w:p w14:paraId="0AF708DC">
      <w:pPr>
        <w:ind w:firstLine="420" w:firstLineChars="200"/>
        <w:rPr>
          <w:rFonts w:ascii="宋体" w:hAnsi="宋体"/>
        </w:rPr>
      </w:pPr>
      <w:r>
        <w:rPr>
          <w:rFonts w:hint="eastAsia" w:ascii="宋体" w:hAnsi="宋体"/>
        </w:rPr>
        <w:t>1.所附投标报价表中规定的应提供的投标总价（不含税）为</w:t>
      </w:r>
      <w:r>
        <w:rPr>
          <w:rFonts w:hint="eastAsia" w:ascii="宋体" w:hAnsi="宋体"/>
          <w:u w:val="single"/>
        </w:rPr>
        <w:t xml:space="preserve">（注明币种和金额）    </w:t>
      </w:r>
      <w:r>
        <w:rPr>
          <w:rFonts w:hint="eastAsia" w:ascii="宋体" w:hAnsi="宋体"/>
        </w:rPr>
        <w:t>，</w:t>
      </w:r>
    </w:p>
    <w:p w14:paraId="2F93668F">
      <w:pPr>
        <w:rPr>
          <w:rFonts w:ascii="宋体" w:hAnsi="宋体"/>
          <w:u w:val="single"/>
        </w:rPr>
      </w:pPr>
      <w:r>
        <w:rPr>
          <w:rFonts w:hint="eastAsia" w:ascii="宋体" w:hAnsi="宋体"/>
          <w:u w:val="single"/>
        </w:rPr>
        <w:t xml:space="preserve">即（中文文字描述）                                      </w:t>
      </w:r>
      <w:r>
        <w:rPr>
          <w:rFonts w:hint="eastAsia" w:ascii="宋体" w:hAnsi="宋体"/>
        </w:rPr>
        <w:t>。</w:t>
      </w:r>
    </w:p>
    <w:p w14:paraId="76163369">
      <w:pPr>
        <w:ind w:left="435"/>
        <w:rPr>
          <w:rFonts w:ascii="宋体" w:hAnsi="宋体"/>
        </w:rPr>
      </w:pPr>
      <w:r>
        <w:rPr>
          <w:rFonts w:hint="eastAsia" w:ascii="宋体" w:hAnsi="宋体"/>
        </w:rPr>
        <w:t>2.投标人将按招标文件的规定履行合同责任和义务。</w:t>
      </w:r>
    </w:p>
    <w:p w14:paraId="1B4A36F2">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0DD2BBC">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77AC6BDE">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6CE24970">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A995030">
      <w:pPr>
        <w:ind w:left="435"/>
        <w:rPr>
          <w:rFonts w:ascii="宋体" w:hAnsi="宋体"/>
        </w:rPr>
      </w:pPr>
      <w:r>
        <w:rPr>
          <w:rFonts w:hint="eastAsia" w:ascii="宋体" w:hAnsi="宋体"/>
        </w:rPr>
        <w:t>7.与本投标有关的一切正式往来通讯请寄：</w:t>
      </w:r>
    </w:p>
    <w:p w14:paraId="1EAE8FEE">
      <w:pPr>
        <w:ind w:left="795"/>
        <w:rPr>
          <w:rFonts w:ascii="宋体" w:hAnsi="宋体"/>
        </w:rPr>
      </w:pPr>
      <w:r>
        <w:rPr>
          <w:rFonts w:hint="eastAsia" w:ascii="宋体" w:hAnsi="宋体"/>
        </w:rPr>
        <w:t>地址：                                   邮编：</w:t>
      </w:r>
    </w:p>
    <w:p w14:paraId="1BCC5593">
      <w:pPr>
        <w:ind w:left="795"/>
        <w:rPr>
          <w:rFonts w:ascii="宋体" w:hAnsi="宋体"/>
        </w:rPr>
      </w:pPr>
      <w:r>
        <w:rPr>
          <w:rFonts w:hint="eastAsia" w:ascii="宋体" w:hAnsi="宋体"/>
        </w:rPr>
        <w:t>电话：                                   传真：</w:t>
      </w:r>
    </w:p>
    <w:p w14:paraId="15680086">
      <w:pPr>
        <w:ind w:left="795"/>
      </w:pPr>
    </w:p>
    <w:p w14:paraId="3010C71E">
      <w:pPr>
        <w:ind w:left="795"/>
      </w:pPr>
    </w:p>
    <w:p w14:paraId="3FAC7A4A">
      <w:pPr>
        <w:pStyle w:val="111"/>
      </w:pPr>
    </w:p>
    <w:p w14:paraId="77AAF397">
      <w:pPr>
        <w:pStyle w:val="111"/>
      </w:pPr>
    </w:p>
    <w:p w14:paraId="35EDB55D">
      <w:pPr>
        <w:spacing w:line="480" w:lineRule="auto"/>
        <w:ind w:left="795"/>
      </w:pPr>
      <w:r>
        <w:rPr>
          <w:rFonts w:hint="eastAsia"/>
        </w:rPr>
        <w:t>投标人授权代表签字：                 职务：                 日期：</w:t>
      </w:r>
    </w:p>
    <w:p w14:paraId="2BDE24FD">
      <w:pPr>
        <w:spacing w:line="480" w:lineRule="auto"/>
        <w:ind w:left="795"/>
      </w:pPr>
      <w:r>
        <w:rPr>
          <w:rFonts w:hint="eastAsia"/>
        </w:rPr>
        <w:t>投标人名称（及公章）：</w:t>
      </w:r>
    </w:p>
    <w:p w14:paraId="325DBB39">
      <w:pPr>
        <w:spacing w:line="480" w:lineRule="auto"/>
        <w:ind w:left="795"/>
      </w:pPr>
      <w:r>
        <w:rPr>
          <w:rFonts w:hint="eastAsia"/>
        </w:rPr>
        <w:t>日期：        年       月       日</w:t>
      </w:r>
    </w:p>
    <w:p w14:paraId="0B0B21A0">
      <w:pPr>
        <w:rPr>
          <w:rFonts w:ascii="黑体" w:eastAsia="黑体"/>
          <w:sz w:val="30"/>
        </w:rPr>
      </w:pPr>
    </w:p>
    <w:p w14:paraId="7269E975">
      <w:pPr>
        <w:rPr>
          <w:rFonts w:ascii="黑体" w:eastAsia="黑体"/>
          <w:sz w:val="30"/>
        </w:rPr>
      </w:pPr>
    </w:p>
    <w:p w14:paraId="53E65E0C">
      <w:pPr>
        <w:rPr>
          <w:rFonts w:ascii="黑体" w:eastAsia="黑体"/>
          <w:sz w:val="30"/>
        </w:rPr>
      </w:pPr>
    </w:p>
    <w:p w14:paraId="37C4E98F">
      <w:pPr>
        <w:rPr>
          <w:rFonts w:ascii="黑体" w:eastAsia="黑体"/>
          <w:sz w:val="30"/>
        </w:rPr>
      </w:pPr>
    </w:p>
    <w:p w14:paraId="34F62B94">
      <w:pPr>
        <w:rPr>
          <w:rFonts w:eastAsia="黑体"/>
          <w:b/>
          <w:bCs/>
          <w:sz w:val="28"/>
        </w:rPr>
      </w:pPr>
      <w:r>
        <w:rPr>
          <w:rFonts w:ascii="黑体" w:eastAsia="黑体"/>
          <w:sz w:val="30"/>
        </w:rPr>
        <w:br w:type="page"/>
      </w:r>
      <w:r>
        <w:rPr>
          <w:rFonts w:hint="eastAsia" w:eastAsia="黑体"/>
          <w:b/>
          <w:bCs/>
          <w:sz w:val="28"/>
        </w:rPr>
        <w:t>格式2</w:t>
      </w:r>
    </w:p>
    <w:p w14:paraId="221B7315">
      <w:pPr>
        <w:rPr>
          <w:rFonts w:ascii="宋体" w:hAnsi="宋体"/>
        </w:rPr>
      </w:pPr>
      <w:r>
        <w:rPr>
          <w:rFonts w:hint="eastAsia" w:ascii="宋体" w:hAnsi="宋体"/>
        </w:rPr>
        <w:t>项目名称：</w:t>
      </w:r>
      <w:r>
        <w:rPr>
          <w:rFonts w:ascii="宋体" w:hAnsi="宋体"/>
        </w:rPr>
        <w:t xml:space="preserve"> </w:t>
      </w:r>
    </w:p>
    <w:p w14:paraId="2C871400">
      <w:pPr>
        <w:rPr>
          <w:rFonts w:ascii="宋体" w:hAnsi="宋体"/>
          <w:szCs w:val="21"/>
        </w:rPr>
      </w:pPr>
      <w:r>
        <w:rPr>
          <w:rFonts w:hint="eastAsia" w:ascii="宋体" w:hAnsi="宋体"/>
          <w:szCs w:val="21"/>
        </w:rPr>
        <w:t>日期：  年   月   日</w:t>
      </w:r>
    </w:p>
    <w:p w14:paraId="40FE05DD">
      <w:pPr>
        <w:jc w:val="center"/>
        <w:rPr>
          <w:rFonts w:ascii="黑体" w:eastAsia="黑体"/>
          <w:sz w:val="30"/>
        </w:rPr>
      </w:pPr>
      <w:r>
        <w:rPr>
          <w:rFonts w:hint="eastAsia" w:ascii="黑体" w:eastAsia="黑体"/>
          <w:sz w:val="30"/>
        </w:rPr>
        <w:t>投标文件目录</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65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415443">
            <w:pPr>
              <w:jc w:val="center"/>
              <w:rPr>
                <w:sz w:val="28"/>
              </w:rPr>
            </w:pPr>
            <w:r>
              <w:rPr>
                <w:rFonts w:hint="eastAsia"/>
                <w:sz w:val="28"/>
              </w:rPr>
              <w:t>序号</w:t>
            </w:r>
          </w:p>
        </w:tc>
        <w:tc>
          <w:tcPr>
            <w:tcW w:w="6520" w:type="dxa"/>
            <w:vAlign w:val="center"/>
          </w:tcPr>
          <w:p w14:paraId="5F9FA67C">
            <w:pPr>
              <w:jc w:val="center"/>
              <w:rPr>
                <w:sz w:val="28"/>
              </w:rPr>
            </w:pPr>
            <w:r>
              <w:rPr>
                <w:rFonts w:hint="eastAsia"/>
                <w:sz w:val="28"/>
              </w:rPr>
              <w:t>主要内容</w:t>
            </w:r>
          </w:p>
        </w:tc>
        <w:tc>
          <w:tcPr>
            <w:tcW w:w="1276" w:type="dxa"/>
            <w:vAlign w:val="center"/>
          </w:tcPr>
          <w:p w14:paraId="77AD3B54">
            <w:pPr>
              <w:jc w:val="center"/>
              <w:rPr>
                <w:sz w:val="28"/>
              </w:rPr>
            </w:pPr>
            <w:r>
              <w:rPr>
                <w:rFonts w:hint="eastAsia"/>
                <w:sz w:val="28"/>
              </w:rPr>
              <w:t>索引</w:t>
            </w:r>
          </w:p>
        </w:tc>
      </w:tr>
      <w:tr w14:paraId="459D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2A43E5">
            <w:pPr>
              <w:jc w:val="center"/>
            </w:pPr>
          </w:p>
        </w:tc>
        <w:tc>
          <w:tcPr>
            <w:tcW w:w="6520" w:type="dxa"/>
            <w:vAlign w:val="center"/>
          </w:tcPr>
          <w:p w14:paraId="0F58F8BB">
            <w:pPr>
              <w:jc w:val="center"/>
            </w:pPr>
          </w:p>
        </w:tc>
        <w:tc>
          <w:tcPr>
            <w:tcW w:w="1276" w:type="dxa"/>
            <w:vAlign w:val="center"/>
          </w:tcPr>
          <w:p w14:paraId="337545B6">
            <w:pPr>
              <w:jc w:val="center"/>
            </w:pPr>
          </w:p>
        </w:tc>
      </w:tr>
      <w:tr w14:paraId="671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3D9216">
            <w:pPr>
              <w:jc w:val="center"/>
            </w:pPr>
          </w:p>
        </w:tc>
        <w:tc>
          <w:tcPr>
            <w:tcW w:w="6520" w:type="dxa"/>
            <w:vAlign w:val="center"/>
          </w:tcPr>
          <w:p w14:paraId="550C53C2">
            <w:pPr>
              <w:jc w:val="center"/>
            </w:pPr>
          </w:p>
        </w:tc>
        <w:tc>
          <w:tcPr>
            <w:tcW w:w="1276" w:type="dxa"/>
            <w:vAlign w:val="center"/>
          </w:tcPr>
          <w:p w14:paraId="780195C6">
            <w:pPr>
              <w:jc w:val="center"/>
            </w:pPr>
          </w:p>
        </w:tc>
      </w:tr>
      <w:tr w14:paraId="3ABC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DEFEB5">
            <w:pPr>
              <w:jc w:val="center"/>
            </w:pPr>
          </w:p>
        </w:tc>
        <w:tc>
          <w:tcPr>
            <w:tcW w:w="6520" w:type="dxa"/>
            <w:vAlign w:val="center"/>
          </w:tcPr>
          <w:p w14:paraId="6A8C1491">
            <w:pPr>
              <w:jc w:val="center"/>
            </w:pPr>
          </w:p>
        </w:tc>
        <w:tc>
          <w:tcPr>
            <w:tcW w:w="1276" w:type="dxa"/>
            <w:vAlign w:val="center"/>
          </w:tcPr>
          <w:p w14:paraId="2CFBC95E">
            <w:pPr>
              <w:jc w:val="center"/>
            </w:pPr>
          </w:p>
        </w:tc>
      </w:tr>
      <w:tr w14:paraId="5243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0F24DB">
            <w:pPr>
              <w:jc w:val="center"/>
            </w:pPr>
          </w:p>
        </w:tc>
        <w:tc>
          <w:tcPr>
            <w:tcW w:w="6520" w:type="dxa"/>
            <w:vAlign w:val="center"/>
          </w:tcPr>
          <w:p w14:paraId="5DA9E6C6">
            <w:pPr>
              <w:jc w:val="center"/>
            </w:pPr>
          </w:p>
        </w:tc>
        <w:tc>
          <w:tcPr>
            <w:tcW w:w="1276" w:type="dxa"/>
            <w:vAlign w:val="center"/>
          </w:tcPr>
          <w:p w14:paraId="6217CBD7">
            <w:pPr>
              <w:jc w:val="center"/>
            </w:pPr>
          </w:p>
        </w:tc>
      </w:tr>
      <w:tr w14:paraId="2F7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2409CA">
            <w:pPr>
              <w:jc w:val="center"/>
            </w:pPr>
          </w:p>
        </w:tc>
        <w:tc>
          <w:tcPr>
            <w:tcW w:w="6520" w:type="dxa"/>
            <w:vAlign w:val="center"/>
          </w:tcPr>
          <w:p w14:paraId="69DC271F">
            <w:pPr>
              <w:jc w:val="center"/>
            </w:pPr>
          </w:p>
        </w:tc>
        <w:tc>
          <w:tcPr>
            <w:tcW w:w="1276" w:type="dxa"/>
            <w:vAlign w:val="center"/>
          </w:tcPr>
          <w:p w14:paraId="5EBED633">
            <w:pPr>
              <w:jc w:val="center"/>
            </w:pPr>
          </w:p>
        </w:tc>
      </w:tr>
      <w:tr w14:paraId="717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8AA3CD">
            <w:pPr>
              <w:jc w:val="center"/>
            </w:pPr>
          </w:p>
        </w:tc>
        <w:tc>
          <w:tcPr>
            <w:tcW w:w="6520" w:type="dxa"/>
            <w:vAlign w:val="center"/>
          </w:tcPr>
          <w:p w14:paraId="4169A6AF">
            <w:pPr>
              <w:jc w:val="center"/>
            </w:pPr>
          </w:p>
        </w:tc>
        <w:tc>
          <w:tcPr>
            <w:tcW w:w="1276" w:type="dxa"/>
            <w:vAlign w:val="center"/>
          </w:tcPr>
          <w:p w14:paraId="737FBE4B">
            <w:pPr>
              <w:jc w:val="center"/>
            </w:pPr>
          </w:p>
        </w:tc>
      </w:tr>
      <w:tr w14:paraId="554C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B7939C">
            <w:pPr>
              <w:jc w:val="center"/>
            </w:pPr>
          </w:p>
        </w:tc>
        <w:tc>
          <w:tcPr>
            <w:tcW w:w="6520" w:type="dxa"/>
            <w:vAlign w:val="center"/>
          </w:tcPr>
          <w:p w14:paraId="65DCCC80">
            <w:pPr>
              <w:jc w:val="center"/>
            </w:pPr>
          </w:p>
        </w:tc>
        <w:tc>
          <w:tcPr>
            <w:tcW w:w="1276" w:type="dxa"/>
            <w:vAlign w:val="center"/>
          </w:tcPr>
          <w:p w14:paraId="5E1EB7AD">
            <w:pPr>
              <w:jc w:val="center"/>
            </w:pPr>
          </w:p>
        </w:tc>
      </w:tr>
      <w:tr w14:paraId="743C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DAAC76">
            <w:pPr>
              <w:jc w:val="center"/>
            </w:pPr>
          </w:p>
        </w:tc>
        <w:tc>
          <w:tcPr>
            <w:tcW w:w="6520" w:type="dxa"/>
            <w:vAlign w:val="center"/>
          </w:tcPr>
          <w:p w14:paraId="5B8310A2">
            <w:pPr>
              <w:jc w:val="center"/>
            </w:pPr>
          </w:p>
        </w:tc>
        <w:tc>
          <w:tcPr>
            <w:tcW w:w="1276" w:type="dxa"/>
            <w:vAlign w:val="center"/>
          </w:tcPr>
          <w:p w14:paraId="700AF87B">
            <w:pPr>
              <w:jc w:val="center"/>
            </w:pPr>
          </w:p>
        </w:tc>
      </w:tr>
      <w:tr w14:paraId="7CD7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71F6606">
            <w:pPr>
              <w:jc w:val="center"/>
            </w:pPr>
          </w:p>
        </w:tc>
        <w:tc>
          <w:tcPr>
            <w:tcW w:w="6520" w:type="dxa"/>
            <w:vAlign w:val="center"/>
          </w:tcPr>
          <w:p w14:paraId="746208D3">
            <w:pPr>
              <w:jc w:val="center"/>
            </w:pPr>
          </w:p>
        </w:tc>
        <w:tc>
          <w:tcPr>
            <w:tcW w:w="1276" w:type="dxa"/>
            <w:vAlign w:val="center"/>
          </w:tcPr>
          <w:p w14:paraId="77D72FBE">
            <w:pPr>
              <w:jc w:val="center"/>
            </w:pPr>
          </w:p>
        </w:tc>
      </w:tr>
      <w:tr w14:paraId="657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E64229">
            <w:pPr>
              <w:jc w:val="center"/>
            </w:pPr>
          </w:p>
        </w:tc>
        <w:tc>
          <w:tcPr>
            <w:tcW w:w="6520" w:type="dxa"/>
            <w:vAlign w:val="center"/>
          </w:tcPr>
          <w:p w14:paraId="51E7BE2C">
            <w:pPr>
              <w:jc w:val="center"/>
            </w:pPr>
          </w:p>
        </w:tc>
        <w:tc>
          <w:tcPr>
            <w:tcW w:w="1276" w:type="dxa"/>
            <w:vAlign w:val="center"/>
          </w:tcPr>
          <w:p w14:paraId="0CAA60B4">
            <w:pPr>
              <w:jc w:val="center"/>
            </w:pPr>
          </w:p>
        </w:tc>
      </w:tr>
      <w:tr w14:paraId="796E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39E692">
            <w:pPr>
              <w:jc w:val="center"/>
            </w:pPr>
          </w:p>
        </w:tc>
        <w:tc>
          <w:tcPr>
            <w:tcW w:w="6520" w:type="dxa"/>
            <w:vAlign w:val="center"/>
          </w:tcPr>
          <w:p w14:paraId="3A81BD99">
            <w:pPr>
              <w:jc w:val="center"/>
            </w:pPr>
          </w:p>
        </w:tc>
        <w:tc>
          <w:tcPr>
            <w:tcW w:w="1276" w:type="dxa"/>
            <w:vAlign w:val="center"/>
          </w:tcPr>
          <w:p w14:paraId="2FEDA394">
            <w:pPr>
              <w:jc w:val="center"/>
            </w:pPr>
          </w:p>
        </w:tc>
      </w:tr>
      <w:tr w14:paraId="61DD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AF6BCD">
            <w:pPr>
              <w:jc w:val="center"/>
            </w:pPr>
          </w:p>
        </w:tc>
        <w:tc>
          <w:tcPr>
            <w:tcW w:w="6520" w:type="dxa"/>
            <w:vAlign w:val="center"/>
          </w:tcPr>
          <w:p w14:paraId="60E8F72B">
            <w:pPr>
              <w:jc w:val="center"/>
            </w:pPr>
          </w:p>
        </w:tc>
        <w:tc>
          <w:tcPr>
            <w:tcW w:w="1276" w:type="dxa"/>
            <w:vAlign w:val="center"/>
          </w:tcPr>
          <w:p w14:paraId="568C19EA">
            <w:pPr>
              <w:jc w:val="center"/>
            </w:pPr>
          </w:p>
        </w:tc>
      </w:tr>
    </w:tbl>
    <w:p w14:paraId="78EA6DD9">
      <w:pPr>
        <w:rPr>
          <w:rFonts w:ascii="宋体" w:hAnsi="宋体"/>
          <w:sz w:val="24"/>
          <w:szCs w:val="24"/>
        </w:rPr>
      </w:pPr>
      <w:r>
        <w:rPr>
          <w:rFonts w:hint="eastAsia" w:ascii="宋体" w:hAnsi="宋体"/>
          <w:sz w:val="24"/>
          <w:szCs w:val="24"/>
        </w:rPr>
        <w:t>投标人名称（盖章）：              法定代表人或授权代表签字：</w:t>
      </w:r>
    </w:p>
    <w:p w14:paraId="3F79D742">
      <w:pPr>
        <w:rPr>
          <w:rFonts w:ascii="宋体" w:hAnsi="宋体"/>
          <w:sz w:val="24"/>
        </w:rPr>
      </w:pPr>
    </w:p>
    <w:p w14:paraId="58800AE4">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22F5D25">
      <w:pPr>
        <w:ind w:firstLine="480"/>
        <w:rPr>
          <w:rFonts w:ascii="宋体" w:hAnsi="宋体"/>
          <w:sz w:val="24"/>
        </w:rPr>
      </w:pPr>
      <w:r>
        <w:rPr>
          <w:rFonts w:hint="eastAsia" w:ascii="宋体" w:hAnsi="宋体"/>
          <w:sz w:val="24"/>
        </w:rPr>
        <w:t>2．“索引”一栏填写该主要内容对应于投标文件的“条款号/页号”。</w:t>
      </w:r>
    </w:p>
    <w:p w14:paraId="0C08F853">
      <w:pPr>
        <w:ind w:firstLine="480"/>
        <w:rPr>
          <w:rFonts w:ascii="宋体" w:hAnsi="宋体"/>
          <w:sz w:val="24"/>
        </w:rPr>
      </w:pPr>
    </w:p>
    <w:p w14:paraId="11BDF40C">
      <w:pPr>
        <w:rPr>
          <w:rFonts w:eastAsia="黑体"/>
          <w:b/>
          <w:bCs/>
          <w:sz w:val="28"/>
        </w:rPr>
      </w:pPr>
      <w:r>
        <w:rPr>
          <w:rFonts w:hint="eastAsia" w:eastAsia="黑体"/>
          <w:b/>
          <w:bCs/>
          <w:sz w:val="28"/>
        </w:rPr>
        <w:br w:type="page"/>
      </w:r>
    </w:p>
    <w:p w14:paraId="069B347E">
      <w:pPr>
        <w:rPr>
          <w:rFonts w:eastAsia="黑体"/>
          <w:b/>
          <w:bCs/>
          <w:sz w:val="28"/>
        </w:rPr>
      </w:pPr>
      <w:r>
        <w:rPr>
          <w:rFonts w:hint="eastAsia" w:eastAsia="黑体"/>
          <w:b/>
          <w:bCs/>
          <w:sz w:val="28"/>
        </w:rPr>
        <w:t>格式3</w:t>
      </w:r>
    </w:p>
    <w:p w14:paraId="58117D95">
      <w:pPr>
        <w:rPr>
          <w:rFonts w:ascii="宋体" w:hAnsi="宋体"/>
        </w:rPr>
      </w:pPr>
      <w:r>
        <w:rPr>
          <w:rFonts w:hint="eastAsia" w:ascii="宋体" w:hAnsi="宋体"/>
        </w:rPr>
        <w:t>项目名称：</w:t>
      </w:r>
      <w:r>
        <w:rPr>
          <w:rFonts w:ascii="宋体" w:hAnsi="宋体"/>
        </w:rPr>
        <w:t xml:space="preserve"> </w:t>
      </w:r>
    </w:p>
    <w:p w14:paraId="0DDEA457">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7A98F9DF">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项目名称：</w:t>
      </w:r>
    </w:p>
    <w:tbl>
      <w:tblPr>
        <w:tblStyle w:val="30"/>
        <w:tblW w:w="0" w:type="auto"/>
        <w:jc w:val="center"/>
        <w:tblLayout w:type="autofit"/>
        <w:tblCellMar>
          <w:top w:w="0" w:type="dxa"/>
          <w:left w:w="108" w:type="dxa"/>
          <w:bottom w:w="0" w:type="dxa"/>
          <w:right w:w="108" w:type="dxa"/>
        </w:tblCellMar>
      </w:tblPr>
      <w:tblGrid>
        <w:gridCol w:w="619"/>
        <w:gridCol w:w="985"/>
        <w:gridCol w:w="619"/>
        <w:gridCol w:w="619"/>
        <w:gridCol w:w="1388"/>
        <w:gridCol w:w="2566"/>
        <w:gridCol w:w="909"/>
        <w:gridCol w:w="240"/>
        <w:gridCol w:w="1341"/>
      </w:tblGrid>
      <w:tr w14:paraId="105ABE3C">
        <w:tblPrEx>
          <w:tblCellMar>
            <w:top w:w="0" w:type="dxa"/>
            <w:left w:w="108" w:type="dxa"/>
            <w:bottom w:w="0" w:type="dxa"/>
            <w:right w:w="108" w:type="dxa"/>
          </w:tblCellMar>
        </w:tblPrEx>
        <w:trPr>
          <w:gridAfter w:val="2"/>
          <w:wAfter w:w="1581" w:type="dxa"/>
          <w:trHeight w:val="1005" w:hRule="atLeast"/>
          <w:jc w:val="center"/>
        </w:trPr>
        <w:tc>
          <w:tcPr>
            <w:tcW w:w="0" w:type="auto"/>
            <w:tcBorders>
              <w:top w:val="single" w:color="auto" w:sz="8" w:space="0"/>
              <w:left w:val="single" w:color="auto" w:sz="8" w:space="0"/>
              <w:bottom w:val="single" w:color="auto" w:sz="8" w:space="0"/>
              <w:right w:val="single" w:color="auto" w:sz="8" w:space="0"/>
            </w:tcBorders>
            <w:noWrap w:val="0"/>
            <w:vAlign w:val="center"/>
          </w:tcPr>
          <w:p w14:paraId="0437A69B">
            <w:pPr>
              <w:widowControl/>
              <w:jc w:val="both"/>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0" w:type="auto"/>
            <w:tcBorders>
              <w:top w:val="single" w:color="auto" w:sz="8" w:space="0"/>
              <w:left w:val="nil"/>
              <w:bottom w:val="single" w:color="auto" w:sz="8" w:space="0"/>
              <w:right w:val="nil"/>
            </w:tcBorders>
            <w:noWrap w:val="0"/>
            <w:vAlign w:val="center"/>
          </w:tcPr>
          <w:p w14:paraId="66C390C1">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0" w:type="auto"/>
            <w:tcBorders>
              <w:top w:val="single" w:color="auto" w:sz="8" w:space="0"/>
              <w:left w:val="single" w:color="auto" w:sz="8" w:space="0"/>
              <w:bottom w:val="single" w:color="auto" w:sz="8" w:space="0"/>
              <w:right w:val="single" w:color="auto" w:sz="8" w:space="0"/>
            </w:tcBorders>
            <w:noWrap w:val="0"/>
            <w:vAlign w:val="center"/>
          </w:tcPr>
          <w:p w14:paraId="1B3F2C57">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0" w:type="auto"/>
            <w:tcBorders>
              <w:top w:val="single" w:color="auto" w:sz="8" w:space="0"/>
              <w:left w:val="nil"/>
              <w:bottom w:val="single" w:color="auto" w:sz="8" w:space="0"/>
              <w:right w:val="single" w:color="auto" w:sz="8" w:space="0"/>
            </w:tcBorders>
            <w:noWrap w:val="0"/>
            <w:vAlign w:val="center"/>
          </w:tcPr>
          <w:p w14:paraId="7B150439">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0" w:type="auto"/>
            <w:tcBorders>
              <w:top w:val="single" w:color="auto" w:sz="8" w:space="0"/>
              <w:left w:val="nil"/>
              <w:bottom w:val="single" w:color="auto" w:sz="8" w:space="0"/>
              <w:right w:val="single" w:color="auto" w:sz="8" w:space="0"/>
            </w:tcBorders>
            <w:noWrap w:val="0"/>
            <w:vAlign w:val="center"/>
          </w:tcPr>
          <w:p w14:paraId="5FB5D233">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总</w:t>
            </w:r>
            <w:r>
              <w:rPr>
                <w:rFonts w:hint="eastAsia" w:ascii="仿宋" w:hAnsi="仿宋" w:eastAsia="仿宋" w:cs="宋体"/>
                <w:color w:val="000000"/>
                <w:kern w:val="0"/>
                <w:sz w:val="22"/>
                <w:szCs w:val="22"/>
              </w:rPr>
              <w:t>价（未税）</w:t>
            </w:r>
          </w:p>
        </w:tc>
        <w:tc>
          <w:tcPr>
            <w:tcW w:w="2566" w:type="dxa"/>
            <w:tcBorders>
              <w:top w:val="single" w:color="auto" w:sz="8" w:space="0"/>
              <w:left w:val="nil"/>
              <w:bottom w:val="single" w:color="auto" w:sz="8" w:space="0"/>
              <w:right w:val="single" w:color="auto" w:sz="8" w:space="0"/>
            </w:tcBorders>
            <w:noWrap w:val="0"/>
            <w:vAlign w:val="center"/>
          </w:tcPr>
          <w:p w14:paraId="437D0E16">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909" w:type="dxa"/>
            <w:tcBorders>
              <w:top w:val="single" w:color="auto" w:sz="8" w:space="0"/>
              <w:left w:val="nil"/>
              <w:bottom w:val="single" w:color="auto" w:sz="8" w:space="0"/>
              <w:right w:val="single" w:color="auto" w:sz="8" w:space="0"/>
            </w:tcBorders>
            <w:noWrap w:val="0"/>
            <w:vAlign w:val="center"/>
          </w:tcPr>
          <w:p w14:paraId="4D291849">
            <w:pPr>
              <w:widowControl/>
              <w:jc w:val="both"/>
              <w:rPr>
                <w:rFonts w:hint="default"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lang w:val="en-US" w:eastAsia="zh-CN"/>
              </w:rPr>
              <w:t>商务及技术条款是否偏离</w:t>
            </w:r>
          </w:p>
        </w:tc>
      </w:tr>
      <w:tr w14:paraId="5B46A2E9">
        <w:tblPrEx>
          <w:tblCellMar>
            <w:top w:w="0" w:type="dxa"/>
            <w:left w:w="108" w:type="dxa"/>
            <w:bottom w:w="0" w:type="dxa"/>
            <w:right w:w="108" w:type="dxa"/>
          </w:tblCellMar>
        </w:tblPrEx>
        <w:trPr>
          <w:gridAfter w:val="2"/>
          <w:wAfter w:w="1581" w:type="dxa"/>
          <w:trHeight w:val="660" w:hRule="atLeast"/>
          <w:jc w:val="center"/>
        </w:trPr>
        <w:tc>
          <w:tcPr>
            <w:tcW w:w="0" w:type="auto"/>
            <w:vMerge w:val="restart"/>
            <w:tcBorders>
              <w:top w:val="nil"/>
              <w:left w:val="single" w:color="auto" w:sz="8" w:space="0"/>
              <w:bottom w:val="single" w:color="000000" w:sz="8" w:space="0"/>
              <w:right w:val="single" w:color="auto" w:sz="8" w:space="0"/>
            </w:tcBorders>
            <w:noWrap w:val="0"/>
            <w:vAlign w:val="center"/>
          </w:tcPr>
          <w:p w14:paraId="2B131769">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0" w:type="auto"/>
            <w:vMerge w:val="restart"/>
            <w:tcBorders>
              <w:top w:val="nil"/>
              <w:left w:val="single" w:color="auto" w:sz="8" w:space="0"/>
              <w:bottom w:val="single" w:color="000000" w:sz="8" w:space="0"/>
              <w:right w:val="single" w:color="auto" w:sz="8" w:space="0"/>
            </w:tcBorders>
            <w:noWrap w:val="0"/>
            <w:vAlign w:val="center"/>
          </w:tcPr>
          <w:p w14:paraId="3D842B57">
            <w:pPr>
              <w:widowControl/>
              <w:jc w:val="both"/>
              <w:rPr>
                <w:rFonts w:hint="eastAsia" w:ascii="仿宋" w:hAnsi="仿宋" w:eastAsia="仿宋" w:cs="宋体"/>
                <w:color w:val="000000"/>
                <w:kern w:val="0"/>
                <w:sz w:val="22"/>
                <w:szCs w:val="22"/>
              </w:rPr>
            </w:pPr>
          </w:p>
        </w:tc>
        <w:tc>
          <w:tcPr>
            <w:tcW w:w="0" w:type="auto"/>
            <w:vMerge w:val="restart"/>
            <w:tcBorders>
              <w:top w:val="nil"/>
              <w:left w:val="single" w:color="auto" w:sz="8" w:space="0"/>
              <w:bottom w:val="single" w:color="000000" w:sz="8" w:space="0"/>
              <w:right w:val="single" w:color="auto" w:sz="8" w:space="0"/>
            </w:tcBorders>
            <w:noWrap w:val="0"/>
            <w:vAlign w:val="center"/>
          </w:tcPr>
          <w:p w14:paraId="264F8060">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0" w:type="auto"/>
            <w:vMerge w:val="restart"/>
            <w:tcBorders>
              <w:top w:val="nil"/>
              <w:left w:val="single" w:color="auto" w:sz="8" w:space="0"/>
              <w:bottom w:val="single" w:color="000000" w:sz="8" w:space="0"/>
              <w:right w:val="single" w:color="auto" w:sz="8" w:space="0"/>
            </w:tcBorders>
            <w:noWrap w:val="0"/>
            <w:vAlign w:val="center"/>
          </w:tcPr>
          <w:p w14:paraId="2EF5D43E">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0" w:type="auto"/>
            <w:vMerge w:val="restart"/>
            <w:tcBorders>
              <w:top w:val="nil"/>
              <w:left w:val="single" w:color="auto" w:sz="8" w:space="0"/>
              <w:bottom w:val="single" w:color="000000" w:sz="8" w:space="0"/>
              <w:right w:val="single" w:color="auto" w:sz="8" w:space="0"/>
            </w:tcBorders>
            <w:noWrap w:val="0"/>
            <w:vAlign w:val="center"/>
          </w:tcPr>
          <w:p w14:paraId="16D3D49E">
            <w:pPr>
              <w:widowControl/>
              <w:jc w:val="both"/>
              <w:rPr>
                <w:rFonts w:hint="eastAsia" w:ascii="仿宋" w:hAnsi="仿宋" w:eastAsia="仿宋" w:cs="宋体"/>
                <w:color w:val="000000"/>
                <w:kern w:val="0"/>
                <w:sz w:val="22"/>
                <w:szCs w:val="22"/>
              </w:rPr>
            </w:pPr>
          </w:p>
        </w:tc>
        <w:tc>
          <w:tcPr>
            <w:tcW w:w="2566" w:type="dxa"/>
            <w:vMerge w:val="restart"/>
            <w:tcBorders>
              <w:top w:val="nil"/>
              <w:left w:val="single" w:color="auto" w:sz="8" w:space="0"/>
              <w:bottom w:val="single" w:color="000000" w:sz="8" w:space="0"/>
              <w:right w:val="single" w:color="auto" w:sz="8" w:space="0"/>
            </w:tcBorders>
            <w:noWrap w:val="0"/>
            <w:vAlign w:val="center"/>
          </w:tcPr>
          <w:p w14:paraId="175297C7">
            <w:pPr>
              <w:widowControl/>
              <w:jc w:val="both"/>
              <w:rPr>
                <w:rFonts w:hint="eastAsia" w:ascii="仿宋" w:hAnsi="仿宋" w:eastAsia="仿宋" w:cs="宋体"/>
                <w:color w:val="000000"/>
                <w:kern w:val="0"/>
                <w:sz w:val="22"/>
                <w:szCs w:val="22"/>
              </w:rPr>
            </w:pPr>
          </w:p>
        </w:tc>
        <w:tc>
          <w:tcPr>
            <w:tcW w:w="909" w:type="dxa"/>
            <w:vMerge w:val="restart"/>
            <w:tcBorders>
              <w:top w:val="nil"/>
              <w:left w:val="single" w:color="auto" w:sz="8" w:space="0"/>
              <w:right w:val="single" w:color="auto" w:sz="8" w:space="0"/>
            </w:tcBorders>
            <w:noWrap w:val="0"/>
            <w:vAlign w:val="center"/>
          </w:tcPr>
          <w:p w14:paraId="60AEBC6D">
            <w:pPr>
              <w:widowControl/>
              <w:jc w:val="both"/>
              <w:rPr>
                <w:rFonts w:hint="eastAsia" w:ascii="仿宋" w:hAnsi="仿宋" w:eastAsia="仿宋" w:cs="宋体"/>
                <w:color w:val="000000"/>
                <w:kern w:val="0"/>
                <w:sz w:val="22"/>
                <w:szCs w:val="22"/>
              </w:rPr>
            </w:pPr>
          </w:p>
        </w:tc>
      </w:tr>
      <w:tr w14:paraId="406A3CAA">
        <w:tblPrEx>
          <w:tblCellMar>
            <w:top w:w="0" w:type="dxa"/>
            <w:left w:w="108" w:type="dxa"/>
            <w:bottom w:w="0" w:type="dxa"/>
            <w:right w:w="108" w:type="dxa"/>
          </w:tblCellMar>
        </w:tblPrEx>
        <w:trPr>
          <w:gridAfter w:val="1"/>
          <w:wAfter w:w="1341" w:type="dxa"/>
          <w:trHeight w:val="675"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074577BE">
            <w:pPr>
              <w:widowControl/>
              <w:jc w:val="both"/>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67FA26A">
            <w:pPr>
              <w:widowControl/>
              <w:jc w:val="both"/>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7447E88E">
            <w:pPr>
              <w:widowControl/>
              <w:jc w:val="both"/>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228FF16C">
            <w:pPr>
              <w:widowControl/>
              <w:jc w:val="both"/>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1CD5B2C2">
            <w:pPr>
              <w:widowControl/>
              <w:jc w:val="both"/>
              <w:rPr>
                <w:rFonts w:ascii="仿宋" w:hAnsi="仿宋" w:eastAsia="仿宋" w:cs="宋体"/>
                <w:color w:val="000000"/>
                <w:kern w:val="0"/>
                <w:sz w:val="22"/>
                <w:szCs w:val="22"/>
              </w:rPr>
            </w:pPr>
          </w:p>
        </w:tc>
        <w:tc>
          <w:tcPr>
            <w:tcW w:w="2566" w:type="dxa"/>
            <w:vMerge w:val="continue"/>
            <w:tcBorders>
              <w:top w:val="nil"/>
              <w:left w:val="single" w:color="auto" w:sz="8" w:space="0"/>
              <w:bottom w:val="single" w:color="000000" w:sz="8" w:space="0"/>
              <w:right w:val="single" w:color="auto" w:sz="8" w:space="0"/>
            </w:tcBorders>
            <w:noWrap w:val="0"/>
            <w:vAlign w:val="center"/>
          </w:tcPr>
          <w:p w14:paraId="44E2FA32">
            <w:pPr>
              <w:widowControl/>
              <w:jc w:val="both"/>
              <w:rPr>
                <w:rFonts w:ascii="仿宋" w:hAnsi="仿宋" w:eastAsia="仿宋" w:cs="宋体"/>
                <w:color w:val="000000"/>
                <w:kern w:val="0"/>
                <w:sz w:val="22"/>
                <w:szCs w:val="22"/>
              </w:rPr>
            </w:pPr>
          </w:p>
        </w:tc>
        <w:tc>
          <w:tcPr>
            <w:tcW w:w="909" w:type="dxa"/>
            <w:vMerge w:val="continue"/>
            <w:tcBorders>
              <w:left w:val="single" w:color="auto" w:sz="8" w:space="0"/>
              <w:bottom w:val="single" w:color="000000" w:sz="8" w:space="0"/>
              <w:right w:val="single" w:color="auto" w:sz="8" w:space="0"/>
            </w:tcBorders>
            <w:noWrap w:val="0"/>
            <w:vAlign w:val="center"/>
          </w:tcPr>
          <w:p w14:paraId="6DBA7A93">
            <w:pPr>
              <w:widowControl/>
              <w:jc w:val="both"/>
              <w:rPr>
                <w:rFonts w:ascii="仿宋" w:hAnsi="仿宋" w:eastAsia="仿宋" w:cs="宋体"/>
                <w:color w:val="000000"/>
                <w:kern w:val="0"/>
                <w:sz w:val="22"/>
                <w:szCs w:val="22"/>
              </w:rPr>
            </w:pPr>
          </w:p>
        </w:tc>
        <w:tc>
          <w:tcPr>
            <w:tcW w:w="240" w:type="dxa"/>
            <w:tcBorders>
              <w:top w:val="nil"/>
              <w:left w:val="nil"/>
              <w:bottom w:val="nil"/>
              <w:right w:val="nil"/>
            </w:tcBorders>
            <w:noWrap/>
            <w:vAlign w:val="bottom"/>
          </w:tcPr>
          <w:p w14:paraId="280F69E8">
            <w:pPr>
              <w:widowControl/>
              <w:jc w:val="center"/>
              <w:rPr>
                <w:rFonts w:hint="eastAsia" w:ascii="仿宋" w:hAnsi="仿宋" w:eastAsia="仿宋" w:cs="宋体"/>
                <w:color w:val="000000"/>
                <w:kern w:val="0"/>
                <w:sz w:val="22"/>
                <w:szCs w:val="22"/>
              </w:rPr>
            </w:pPr>
          </w:p>
        </w:tc>
      </w:tr>
      <w:tr w14:paraId="1927B646">
        <w:tblPrEx>
          <w:tblCellMar>
            <w:top w:w="0" w:type="dxa"/>
            <w:left w:w="108" w:type="dxa"/>
            <w:bottom w:w="0" w:type="dxa"/>
            <w:right w:w="108" w:type="dxa"/>
          </w:tblCellMar>
        </w:tblPrEx>
        <w:trPr>
          <w:trHeight w:val="923" w:hRule="atLeast"/>
          <w:jc w:val="center"/>
        </w:trPr>
        <w:tc>
          <w:tcPr>
            <w:tcW w:w="7587" w:type="dxa"/>
            <w:gridSpan w:val="7"/>
            <w:tcBorders>
              <w:top w:val="single" w:color="auto" w:sz="8" w:space="0"/>
              <w:left w:val="single" w:color="auto" w:sz="8" w:space="0"/>
              <w:bottom w:val="single" w:color="auto" w:sz="8" w:space="0"/>
              <w:right w:val="single" w:color="000000" w:sz="8" w:space="0"/>
            </w:tcBorders>
            <w:noWrap w:val="0"/>
            <w:vAlign w:val="center"/>
          </w:tcPr>
          <w:p w14:paraId="4E02BF9B">
            <w:pPr>
              <w:widowControl/>
              <w:jc w:val="both"/>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1581" w:type="dxa"/>
            <w:gridSpan w:val="2"/>
            <w:noWrap w:val="0"/>
            <w:vAlign w:val="center"/>
          </w:tcPr>
          <w:p w14:paraId="12674B9A">
            <w:pPr>
              <w:widowControl/>
              <w:jc w:val="left"/>
              <w:rPr>
                <w:rFonts w:eastAsia="Times New Roman"/>
                <w:kern w:val="0"/>
                <w:sz w:val="20"/>
                <w:szCs w:val="20"/>
              </w:rPr>
            </w:pPr>
          </w:p>
        </w:tc>
      </w:tr>
      <w:tr w14:paraId="2F540F0A">
        <w:tblPrEx>
          <w:tblCellMar>
            <w:top w:w="0" w:type="dxa"/>
            <w:left w:w="108" w:type="dxa"/>
            <w:bottom w:w="0" w:type="dxa"/>
            <w:right w:w="108" w:type="dxa"/>
          </w:tblCellMar>
        </w:tblPrEx>
        <w:trPr>
          <w:trHeight w:val="932" w:hRule="atLeast"/>
          <w:jc w:val="center"/>
        </w:trPr>
        <w:tc>
          <w:tcPr>
            <w:tcW w:w="7587" w:type="dxa"/>
            <w:gridSpan w:val="7"/>
            <w:tcBorders>
              <w:top w:val="single" w:color="auto" w:sz="8" w:space="0"/>
              <w:left w:val="single" w:color="auto" w:sz="8" w:space="0"/>
              <w:bottom w:val="single" w:color="auto" w:sz="8" w:space="0"/>
              <w:right w:val="single" w:color="000000" w:sz="8" w:space="0"/>
            </w:tcBorders>
            <w:noWrap w:val="0"/>
            <w:vAlign w:val="center"/>
          </w:tcPr>
          <w:p w14:paraId="56A26A48">
            <w:pPr>
              <w:widowControl/>
              <w:jc w:val="both"/>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1581" w:type="dxa"/>
            <w:gridSpan w:val="2"/>
            <w:noWrap w:val="0"/>
            <w:vAlign w:val="center"/>
          </w:tcPr>
          <w:p w14:paraId="7E55577E">
            <w:pPr>
              <w:widowControl/>
              <w:jc w:val="left"/>
              <w:rPr>
                <w:rFonts w:eastAsia="Times New Roman"/>
                <w:kern w:val="0"/>
                <w:sz w:val="20"/>
                <w:szCs w:val="20"/>
              </w:rPr>
            </w:pPr>
          </w:p>
        </w:tc>
      </w:tr>
    </w:tbl>
    <w:p w14:paraId="379D7B97">
      <w:pPr>
        <w:pStyle w:val="2"/>
        <w:spacing w:line="460" w:lineRule="exact"/>
        <w:rPr>
          <w:rFonts w:ascii="宋体" w:hAnsi="宋体"/>
          <w:b/>
          <w:bCs/>
        </w:rPr>
      </w:pPr>
    </w:p>
    <w:p w14:paraId="267380FA">
      <w:pPr>
        <w:pStyle w:val="2"/>
        <w:spacing w:line="460" w:lineRule="exact"/>
        <w:rPr>
          <w:rFonts w:ascii="宋体" w:hAnsi="宋体"/>
        </w:rPr>
      </w:pPr>
      <w:r>
        <w:rPr>
          <w:rFonts w:hint="eastAsia" w:ascii="宋体" w:hAnsi="宋体"/>
          <w:b/>
          <w:bCs/>
        </w:rPr>
        <w:t>注：</w:t>
      </w:r>
    </w:p>
    <w:p w14:paraId="34434AEA">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17D923A">
      <w:pPr>
        <w:spacing w:line="360" w:lineRule="auto"/>
        <w:rPr>
          <w:rFonts w:ascii="宋体" w:hAnsi="宋体"/>
          <w:b/>
          <w:bCs/>
        </w:rPr>
      </w:pPr>
      <w:r>
        <w:rPr>
          <w:rFonts w:hint="eastAsia" w:ascii="宋体" w:hAnsi="宋体"/>
          <w:b/>
          <w:bCs/>
        </w:rPr>
        <w:t>2、本表除附在投标文件中外，还应一式贰份单独密封，以便唱标。</w:t>
      </w:r>
    </w:p>
    <w:p w14:paraId="0751DC99">
      <w:pPr>
        <w:spacing w:line="360" w:lineRule="auto"/>
        <w:rPr>
          <w:rFonts w:ascii="宋体" w:hAnsi="宋体"/>
          <w:sz w:val="24"/>
        </w:rPr>
      </w:pPr>
      <w:r>
        <w:rPr>
          <w:rFonts w:hint="eastAsia" w:ascii="宋体" w:hAnsi="宋体"/>
          <w:sz w:val="24"/>
        </w:rPr>
        <w:t>投标人：（盖章）</w:t>
      </w:r>
    </w:p>
    <w:p w14:paraId="10B7B4B5">
      <w:pPr>
        <w:spacing w:line="360" w:lineRule="auto"/>
        <w:rPr>
          <w:rFonts w:ascii="宋体" w:hAnsi="宋体"/>
          <w:sz w:val="24"/>
        </w:rPr>
      </w:pPr>
      <w:r>
        <w:rPr>
          <w:rFonts w:hint="eastAsia" w:ascii="宋体" w:hAnsi="宋体"/>
          <w:sz w:val="24"/>
        </w:rPr>
        <w:t>法定代表人（授权代表）：（签字）</w:t>
      </w:r>
    </w:p>
    <w:p w14:paraId="7E75D71A">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98054CE">
      <w:pPr>
        <w:rPr>
          <w:rFonts w:ascii="宋体" w:hAnsi="宋体"/>
          <w:sz w:val="24"/>
        </w:rPr>
      </w:pPr>
      <w:r>
        <w:rPr>
          <w:rFonts w:hint="eastAsia" w:ascii="宋体" w:hAnsi="宋体"/>
          <w:sz w:val="24"/>
        </w:rPr>
        <w:br w:type="page"/>
      </w:r>
    </w:p>
    <w:p w14:paraId="456F3619">
      <w:pPr>
        <w:rPr>
          <w:rFonts w:ascii="仿宋_GB2312" w:hAnsi="宋体" w:eastAsia="仿宋_GB2312"/>
          <w:sz w:val="24"/>
        </w:rPr>
      </w:pPr>
    </w:p>
    <w:p w14:paraId="59B9B657">
      <w:pPr>
        <w:rPr>
          <w:rFonts w:ascii="仿宋_GB2312" w:hAnsi="宋体" w:eastAsia="仿宋_GB2312"/>
          <w:sz w:val="24"/>
        </w:rPr>
      </w:pPr>
    </w:p>
    <w:p w14:paraId="2D9601C6">
      <w:pPr>
        <w:rPr>
          <w:rFonts w:ascii="仿宋_GB2312" w:hAnsi="宋体" w:eastAsia="仿宋_GB2312"/>
          <w:sz w:val="24"/>
        </w:rPr>
      </w:pPr>
    </w:p>
    <w:p w14:paraId="602D8823">
      <w:pPr>
        <w:rPr>
          <w:rFonts w:ascii="仿宋_GB2312" w:hAnsi="宋体" w:eastAsia="仿宋_GB2312"/>
          <w:sz w:val="24"/>
        </w:rPr>
      </w:pPr>
    </w:p>
    <w:p w14:paraId="1DED7A8F">
      <w:pPr>
        <w:rPr>
          <w:rFonts w:eastAsia="黑体"/>
          <w:b/>
          <w:bCs/>
          <w:sz w:val="28"/>
        </w:rPr>
      </w:pPr>
      <w:bookmarkStart w:id="1397" w:name="_Hlk70069772"/>
    </w:p>
    <w:p w14:paraId="4C33DE6A">
      <w:r>
        <w:rPr>
          <w:rFonts w:hint="eastAsia" w:ascii="宋体" w:hAnsi="宋体"/>
        </w:rPr>
        <w:t>项目名称：</w:t>
      </w:r>
      <w:r>
        <w:t xml:space="preserve"> </w:t>
      </w:r>
    </w:p>
    <w:p w14:paraId="2C715FF5"/>
    <w:p w14:paraId="6F81B6E3">
      <w:pPr>
        <w:rPr>
          <w:rFonts w:ascii="宋体" w:hAnsi="宋体"/>
          <w:szCs w:val="21"/>
        </w:rPr>
      </w:pPr>
      <w:r>
        <w:rPr>
          <w:rFonts w:hint="eastAsia" w:ascii="宋体" w:hAnsi="宋体"/>
          <w:szCs w:val="21"/>
        </w:rPr>
        <w:t>日期：  年   月   日</w:t>
      </w:r>
    </w:p>
    <w:p w14:paraId="029481E9">
      <w:pPr>
        <w:jc w:val="center"/>
        <w:rPr>
          <w:rFonts w:eastAsia="黑体"/>
          <w:b/>
          <w:bCs/>
          <w:sz w:val="28"/>
        </w:rPr>
      </w:pPr>
    </w:p>
    <w:p w14:paraId="705AB67B">
      <w:pPr>
        <w:jc w:val="center"/>
        <w:rPr>
          <w:rFonts w:eastAsia="黑体"/>
          <w:b/>
          <w:bCs/>
          <w:sz w:val="28"/>
        </w:rPr>
      </w:pPr>
      <w:r>
        <w:rPr>
          <w:rFonts w:hint="eastAsia" w:eastAsia="黑体"/>
          <w:b/>
          <w:bCs/>
          <w:sz w:val="28"/>
        </w:rPr>
        <w:t>相关条款偏离表（含商务偏离及技术偏离）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23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DA695A3">
            <w:pPr>
              <w:jc w:val="center"/>
              <w:rPr>
                <w:rFonts w:ascii="宋体" w:hAnsi="宋体"/>
                <w:sz w:val="24"/>
              </w:rPr>
            </w:pPr>
            <w:r>
              <w:rPr>
                <w:rFonts w:hint="eastAsia" w:ascii="宋体" w:hAnsi="宋体"/>
                <w:sz w:val="24"/>
              </w:rPr>
              <w:t>序号</w:t>
            </w:r>
          </w:p>
        </w:tc>
        <w:tc>
          <w:tcPr>
            <w:tcW w:w="4140" w:type="dxa"/>
            <w:gridSpan w:val="2"/>
            <w:vAlign w:val="center"/>
          </w:tcPr>
          <w:p w14:paraId="50538610">
            <w:pPr>
              <w:jc w:val="center"/>
              <w:rPr>
                <w:rFonts w:ascii="宋体" w:hAnsi="宋体"/>
                <w:sz w:val="24"/>
              </w:rPr>
            </w:pPr>
            <w:r>
              <w:rPr>
                <w:rFonts w:hint="eastAsia" w:ascii="宋体" w:hAnsi="宋体"/>
                <w:sz w:val="24"/>
              </w:rPr>
              <w:t>招标文件条款</w:t>
            </w:r>
          </w:p>
        </w:tc>
        <w:tc>
          <w:tcPr>
            <w:tcW w:w="3554" w:type="dxa"/>
            <w:vMerge w:val="restart"/>
            <w:vAlign w:val="center"/>
          </w:tcPr>
          <w:p w14:paraId="02218800">
            <w:pPr>
              <w:jc w:val="center"/>
              <w:rPr>
                <w:rFonts w:ascii="宋体" w:hAnsi="宋体"/>
                <w:sz w:val="24"/>
              </w:rPr>
            </w:pPr>
            <w:r>
              <w:rPr>
                <w:rFonts w:hint="eastAsia" w:ascii="宋体" w:hAnsi="宋体"/>
                <w:sz w:val="24"/>
              </w:rPr>
              <w:t>偏离内容</w:t>
            </w:r>
          </w:p>
        </w:tc>
      </w:tr>
      <w:tr w14:paraId="7A26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53824BF">
            <w:pPr>
              <w:rPr>
                <w:rFonts w:ascii="宋体" w:hAnsi="宋体"/>
                <w:sz w:val="24"/>
              </w:rPr>
            </w:pPr>
          </w:p>
        </w:tc>
        <w:tc>
          <w:tcPr>
            <w:tcW w:w="1080" w:type="dxa"/>
            <w:vAlign w:val="center"/>
          </w:tcPr>
          <w:p w14:paraId="24577905">
            <w:pPr>
              <w:jc w:val="center"/>
              <w:rPr>
                <w:rFonts w:ascii="宋体" w:hAnsi="宋体"/>
                <w:sz w:val="24"/>
              </w:rPr>
            </w:pPr>
            <w:r>
              <w:rPr>
                <w:rFonts w:hint="eastAsia" w:ascii="宋体" w:hAnsi="宋体"/>
                <w:sz w:val="24"/>
              </w:rPr>
              <w:t>条款号</w:t>
            </w:r>
          </w:p>
        </w:tc>
        <w:tc>
          <w:tcPr>
            <w:tcW w:w="3060" w:type="dxa"/>
            <w:vAlign w:val="center"/>
          </w:tcPr>
          <w:p w14:paraId="1A099EF2">
            <w:pPr>
              <w:jc w:val="center"/>
              <w:rPr>
                <w:rFonts w:ascii="宋体" w:hAnsi="宋体"/>
                <w:sz w:val="24"/>
              </w:rPr>
            </w:pPr>
            <w:r>
              <w:rPr>
                <w:rFonts w:hint="eastAsia" w:ascii="宋体" w:hAnsi="宋体"/>
                <w:sz w:val="24"/>
              </w:rPr>
              <w:t>条款要求</w:t>
            </w:r>
          </w:p>
        </w:tc>
        <w:tc>
          <w:tcPr>
            <w:tcW w:w="3554" w:type="dxa"/>
            <w:vMerge w:val="continue"/>
            <w:vAlign w:val="center"/>
          </w:tcPr>
          <w:p w14:paraId="0323C0C7">
            <w:pPr>
              <w:jc w:val="center"/>
              <w:rPr>
                <w:rFonts w:ascii="宋体" w:hAnsi="宋体"/>
                <w:sz w:val="24"/>
              </w:rPr>
            </w:pPr>
          </w:p>
        </w:tc>
      </w:tr>
      <w:tr w14:paraId="41E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773992">
            <w:pPr>
              <w:jc w:val="center"/>
              <w:rPr>
                <w:rFonts w:ascii="宋体" w:hAnsi="宋体"/>
                <w:sz w:val="24"/>
              </w:rPr>
            </w:pPr>
            <w:r>
              <w:rPr>
                <w:rFonts w:hint="eastAsia" w:ascii="宋体" w:hAnsi="宋体"/>
                <w:sz w:val="24"/>
              </w:rPr>
              <w:t>1</w:t>
            </w:r>
          </w:p>
        </w:tc>
        <w:tc>
          <w:tcPr>
            <w:tcW w:w="1080" w:type="dxa"/>
            <w:vAlign w:val="center"/>
          </w:tcPr>
          <w:p w14:paraId="04B1B4BD">
            <w:pPr>
              <w:rPr>
                <w:rFonts w:ascii="宋体" w:hAnsi="宋体"/>
                <w:sz w:val="24"/>
              </w:rPr>
            </w:pPr>
          </w:p>
        </w:tc>
        <w:tc>
          <w:tcPr>
            <w:tcW w:w="3060" w:type="dxa"/>
            <w:vAlign w:val="center"/>
          </w:tcPr>
          <w:p w14:paraId="1A125F5D">
            <w:pPr>
              <w:rPr>
                <w:rFonts w:ascii="宋体" w:hAnsi="宋体"/>
                <w:sz w:val="24"/>
              </w:rPr>
            </w:pPr>
          </w:p>
        </w:tc>
        <w:tc>
          <w:tcPr>
            <w:tcW w:w="3554" w:type="dxa"/>
            <w:vAlign w:val="center"/>
          </w:tcPr>
          <w:p w14:paraId="01DD74FE">
            <w:pPr>
              <w:rPr>
                <w:rFonts w:ascii="宋体" w:hAnsi="宋体"/>
                <w:sz w:val="24"/>
              </w:rPr>
            </w:pPr>
          </w:p>
        </w:tc>
      </w:tr>
      <w:tr w14:paraId="343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3FD8EC">
            <w:pPr>
              <w:jc w:val="center"/>
              <w:rPr>
                <w:rFonts w:ascii="宋体" w:hAnsi="宋体"/>
                <w:sz w:val="24"/>
              </w:rPr>
            </w:pPr>
            <w:r>
              <w:rPr>
                <w:rFonts w:hint="eastAsia" w:ascii="宋体" w:hAnsi="宋体"/>
                <w:sz w:val="24"/>
              </w:rPr>
              <w:t>2</w:t>
            </w:r>
          </w:p>
        </w:tc>
        <w:tc>
          <w:tcPr>
            <w:tcW w:w="1080" w:type="dxa"/>
            <w:vAlign w:val="center"/>
          </w:tcPr>
          <w:p w14:paraId="79C52B98">
            <w:pPr>
              <w:rPr>
                <w:rFonts w:ascii="宋体" w:hAnsi="宋体"/>
                <w:sz w:val="24"/>
              </w:rPr>
            </w:pPr>
          </w:p>
        </w:tc>
        <w:tc>
          <w:tcPr>
            <w:tcW w:w="3060" w:type="dxa"/>
            <w:vAlign w:val="center"/>
          </w:tcPr>
          <w:p w14:paraId="0C8EEE3C">
            <w:pPr>
              <w:rPr>
                <w:rFonts w:ascii="宋体" w:hAnsi="宋体"/>
                <w:sz w:val="24"/>
              </w:rPr>
            </w:pPr>
          </w:p>
        </w:tc>
        <w:tc>
          <w:tcPr>
            <w:tcW w:w="3554" w:type="dxa"/>
            <w:vAlign w:val="center"/>
          </w:tcPr>
          <w:p w14:paraId="4BCF1767">
            <w:pPr>
              <w:rPr>
                <w:rFonts w:ascii="宋体" w:hAnsi="宋体"/>
                <w:sz w:val="24"/>
              </w:rPr>
            </w:pPr>
          </w:p>
        </w:tc>
      </w:tr>
      <w:tr w14:paraId="17CB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C68F66">
            <w:pPr>
              <w:jc w:val="center"/>
              <w:rPr>
                <w:rFonts w:ascii="宋体" w:hAnsi="宋体"/>
                <w:sz w:val="24"/>
              </w:rPr>
            </w:pPr>
            <w:r>
              <w:rPr>
                <w:rFonts w:hint="eastAsia" w:ascii="宋体" w:hAnsi="宋体"/>
                <w:sz w:val="24"/>
              </w:rPr>
              <w:t>3</w:t>
            </w:r>
          </w:p>
        </w:tc>
        <w:tc>
          <w:tcPr>
            <w:tcW w:w="1080" w:type="dxa"/>
            <w:vAlign w:val="center"/>
          </w:tcPr>
          <w:p w14:paraId="66CDB1DB">
            <w:pPr>
              <w:rPr>
                <w:rFonts w:ascii="宋体" w:hAnsi="宋体"/>
                <w:sz w:val="24"/>
              </w:rPr>
            </w:pPr>
          </w:p>
        </w:tc>
        <w:tc>
          <w:tcPr>
            <w:tcW w:w="3060" w:type="dxa"/>
            <w:vAlign w:val="center"/>
          </w:tcPr>
          <w:p w14:paraId="18DCD6C3">
            <w:pPr>
              <w:rPr>
                <w:rFonts w:ascii="宋体" w:hAnsi="宋体"/>
                <w:sz w:val="24"/>
              </w:rPr>
            </w:pPr>
          </w:p>
        </w:tc>
        <w:tc>
          <w:tcPr>
            <w:tcW w:w="3554" w:type="dxa"/>
            <w:vAlign w:val="center"/>
          </w:tcPr>
          <w:p w14:paraId="689EF6CE">
            <w:pPr>
              <w:rPr>
                <w:rFonts w:ascii="宋体" w:hAnsi="宋体"/>
                <w:sz w:val="24"/>
              </w:rPr>
            </w:pPr>
          </w:p>
        </w:tc>
      </w:tr>
      <w:tr w14:paraId="7FF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02AAEE">
            <w:pPr>
              <w:jc w:val="center"/>
              <w:rPr>
                <w:rFonts w:ascii="宋体" w:hAnsi="宋体"/>
                <w:sz w:val="24"/>
              </w:rPr>
            </w:pPr>
            <w:r>
              <w:rPr>
                <w:rFonts w:hint="eastAsia" w:ascii="宋体" w:hAnsi="宋体"/>
                <w:sz w:val="24"/>
              </w:rPr>
              <w:t>4</w:t>
            </w:r>
          </w:p>
        </w:tc>
        <w:tc>
          <w:tcPr>
            <w:tcW w:w="1080" w:type="dxa"/>
            <w:vAlign w:val="center"/>
          </w:tcPr>
          <w:p w14:paraId="7127A700">
            <w:pPr>
              <w:rPr>
                <w:rFonts w:ascii="宋体" w:hAnsi="宋体"/>
                <w:sz w:val="24"/>
              </w:rPr>
            </w:pPr>
          </w:p>
        </w:tc>
        <w:tc>
          <w:tcPr>
            <w:tcW w:w="3060" w:type="dxa"/>
            <w:vAlign w:val="center"/>
          </w:tcPr>
          <w:p w14:paraId="4DE97532">
            <w:pPr>
              <w:rPr>
                <w:rFonts w:ascii="宋体" w:hAnsi="宋体"/>
                <w:sz w:val="24"/>
              </w:rPr>
            </w:pPr>
          </w:p>
        </w:tc>
        <w:tc>
          <w:tcPr>
            <w:tcW w:w="3554" w:type="dxa"/>
            <w:vAlign w:val="center"/>
          </w:tcPr>
          <w:p w14:paraId="2F9B2078">
            <w:pPr>
              <w:rPr>
                <w:rFonts w:ascii="宋体" w:hAnsi="宋体"/>
                <w:sz w:val="24"/>
              </w:rPr>
            </w:pPr>
          </w:p>
        </w:tc>
      </w:tr>
      <w:tr w14:paraId="6157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C893F">
            <w:pPr>
              <w:jc w:val="center"/>
              <w:rPr>
                <w:rFonts w:ascii="宋体" w:hAnsi="宋体"/>
                <w:sz w:val="24"/>
              </w:rPr>
            </w:pPr>
            <w:r>
              <w:rPr>
                <w:rFonts w:hint="eastAsia" w:ascii="宋体" w:hAnsi="宋体"/>
                <w:sz w:val="24"/>
              </w:rPr>
              <w:t>5</w:t>
            </w:r>
          </w:p>
        </w:tc>
        <w:tc>
          <w:tcPr>
            <w:tcW w:w="1080" w:type="dxa"/>
            <w:vAlign w:val="center"/>
          </w:tcPr>
          <w:p w14:paraId="7FD37B59">
            <w:pPr>
              <w:rPr>
                <w:rFonts w:ascii="宋体" w:hAnsi="宋体"/>
                <w:sz w:val="24"/>
              </w:rPr>
            </w:pPr>
          </w:p>
        </w:tc>
        <w:tc>
          <w:tcPr>
            <w:tcW w:w="3060" w:type="dxa"/>
            <w:vAlign w:val="center"/>
          </w:tcPr>
          <w:p w14:paraId="2964A6DA">
            <w:pPr>
              <w:rPr>
                <w:rFonts w:ascii="宋体" w:hAnsi="宋体"/>
                <w:sz w:val="24"/>
              </w:rPr>
            </w:pPr>
          </w:p>
        </w:tc>
        <w:tc>
          <w:tcPr>
            <w:tcW w:w="3554" w:type="dxa"/>
            <w:vAlign w:val="center"/>
          </w:tcPr>
          <w:p w14:paraId="64916131">
            <w:pPr>
              <w:rPr>
                <w:rFonts w:ascii="宋体" w:hAnsi="宋体"/>
                <w:sz w:val="24"/>
              </w:rPr>
            </w:pPr>
          </w:p>
        </w:tc>
      </w:tr>
      <w:tr w14:paraId="4F35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2C8576">
            <w:pPr>
              <w:jc w:val="center"/>
              <w:rPr>
                <w:rFonts w:ascii="宋体" w:hAnsi="宋体"/>
                <w:sz w:val="24"/>
              </w:rPr>
            </w:pPr>
            <w:r>
              <w:rPr>
                <w:rFonts w:hint="eastAsia" w:ascii="宋体" w:hAnsi="宋体"/>
                <w:sz w:val="24"/>
              </w:rPr>
              <w:t>6</w:t>
            </w:r>
          </w:p>
        </w:tc>
        <w:tc>
          <w:tcPr>
            <w:tcW w:w="1080" w:type="dxa"/>
            <w:vAlign w:val="center"/>
          </w:tcPr>
          <w:p w14:paraId="7B5A45D2">
            <w:pPr>
              <w:rPr>
                <w:rFonts w:ascii="宋体" w:hAnsi="宋体"/>
                <w:sz w:val="24"/>
              </w:rPr>
            </w:pPr>
          </w:p>
        </w:tc>
        <w:tc>
          <w:tcPr>
            <w:tcW w:w="3060" w:type="dxa"/>
            <w:vAlign w:val="center"/>
          </w:tcPr>
          <w:p w14:paraId="4FD68114">
            <w:pPr>
              <w:rPr>
                <w:rFonts w:ascii="宋体" w:hAnsi="宋体"/>
                <w:sz w:val="24"/>
              </w:rPr>
            </w:pPr>
          </w:p>
        </w:tc>
        <w:tc>
          <w:tcPr>
            <w:tcW w:w="3554" w:type="dxa"/>
            <w:vAlign w:val="center"/>
          </w:tcPr>
          <w:p w14:paraId="0CB759FC">
            <w:pPr>
              <w:rPr>
                <w:rFonts w:ascii="宋体" w:hAnsi="宋体"/>
                <w:sz w:val="24"/>
              </w:rPr>
            </w:pPr>
          </w:p>
        </w:tc>
      </w:tr>
      <w:tr w14:paraId="3CDD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B2DC6A">
            <w:pPr>
              <w:jc w:val="center"/>
              <w:rPr>
                <w:rFonts w:ascii="宋体" w:hAnsi="宋体"/>
                <w:sz w:val="24"/>
              </w:rPr>
            </w:pPr>
            <w:r>
              <w:rPr>
                <w:rFonts w:hint="eastAsia" w:ascii="宋体" w:hAnsi="宋体"/>
                <w:sz w:val="24"/>
              </w:rPr>
              <w:t>7</w:t>
            </w:r>
          </w:p>
        </w:tc>
        <w:tc>
          <w:tcPr>
            <w:tcW w:w="1080" w:type="dxa"/>
            <w:vAlign w:val="center"/>
          </w:tcPr>
          <w:p w14:paraId="7F42BFAA">
            <w:pPr>
              <w:rPr>
                <w:rFonts w:ascii="宋体" w:hAnsi="宋体"/>
                <w:sz w:val="24"/>
              </w:rPr>
            </w:pPr>
          </w:p>
        </w:tc>
        <w:tc>
          <w:tcPr>
            <w:tcW w:w="3060" w:type="dxa"/>
            <w:vAlign w:val="center"/>
          </w:tcPr>
          <w:p w14:paraId="3D6D55E8">
            <w:pPr>
              <w:rPr>
                <w:rFonts w:ascii="宋体" w:hAnsi="宋体"/>
                <w:sz w:val="24"/>
              </w:rPr>
            </w:pPr>
          </w:p>
        </w:tc>
        <w:tc>
          <w:tcPr>
            <w:tcW w:w="3554" w:type="dxa"/>
            <w:vAlign w:val="center"/>
          </w:tcPr>
          <w:p w14:paraId="4CB8F95D">
            <w:pPr>
              <w:rPr>
                <w:rFonts w:ascii="宋体" w:hAnsi="宋体"/>
                <w:sz w:val="24"/>
              </w:rPr>
            </w:pPr>
          </w:p>
        </w:tc>
      </w:tr>
      <w:tr w14:paraId="6AFE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5FB3B9C">
            <w:pPr>
              <w:jc w:val="center"/>
              <w:rPr>
                <w:rFonts w:ascii="宋体" w:hAnsi="宋体"/>
                <w:sz w:val="24"/>
              </w:rPr>
            </w:pPr>
            <w:r>
              <w:rPr>
                <w:rFonts w:hint="eastAsia" w:ascii="宋体" w:hAnsi="宋体"/>
                <w:sz w:val="24"/>
              </w:rPr>
              <w:t>8</w:t>
            </w:r>
          </w:p>
        </w:tc>
        <w:tc>
          <w:tcPr>
            <w:tcW w:w="1080" w:type="dxa"/>
            <w:vAlign w:val="center"/>
          </w:tcPr>
          <w:p w14:paraId="4541E386">
            <w:pPr>
              <w:rPr>
                <w:rFonts w:ascii="宋体" w:hAnsi="宋体"/>
                <w:sz w:val="24"/>
              </w:rPr>
            </w:pPr>
          </w:p>
        </w:tc>
        <w:tc>
          <w:tcPr>
            <w:tcW w:w="3060" w:type="dxa"/>
            <w:vAlign w:val="center"/>
          </w:tcPr>
          <w:p w14:paraId="3565C3E4">
            <w:pPr>
              <w:rPr>
                <w:rFonts w:ascii="宋体" w:hAnsi="宋体"/>
                <w:sz w:val="24"/>
              </w:rPr>
            </w:pPr>
          </w:p>
        </w:tc>
        <w:tc>
          <w:tcPr>
            <w:tcW w:w="3554" w:type="dxa"/>
            <w:vAlign w:val="center"/>
          </w:tcPr>
          <w:p w14:paraId="2BADEEC8">
            <w:pPr>
              <w:rPr>
                <w:rFonts w:ascii="宋体" w:hAnsi="宋体"/>
                <w:sz w:val="24"/>
              </w:rPr>
            </w:pPr>
          </w:p>
        </w:tc>
      </w:tr>
      <w:tr w14:paraId="1C7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D39D1D">
            <w:pPr>
              <w:jc w:val="center"/>
              <w:rPr>
                <w:rFonts w:ascii="宋体" w:hAnsi="宋体"/>
                <w:sz w:val="24"/>
              </w:rPr>
            </w:pPr>
            <w:r>
              <w:rPr>
                <w:rFonts w:hint="eastAsia" w:ascii="宋体" w:hAnsi="宋体"/>
                <w:sz w:val="24"/>
              </w:rPr>
              <w:t>9</w:t>
            </w:r>
          </w:p>
        </w:tc>
        <w:tc>
          <w:tcPr>
            <w:tcW w:w="1080" w:type="dxa"/>
            <w:vAlign w:val="center"/>
          </w:tcPr>
          <w:p w14:paraId="270E7B3B">
            <w:pPr>
              <w:rPr>
                <w:rFonts w:ascii="宋体" w:hAnsi="宋体"/>
                <w:sz w:val="24"/>
              </w:rPr>
            </w:pPr>
          </w:p>
        </w:tc>
        <w:tc>
          <w:tcPr>
            <w:tcW w:w="3060" w:type="dxa"/>
            <w:vAlign w:val="center"/>
          </w:tcPr>
          <w:p w14:paraId="4CB4B1E7">
            <w:pPr>
              <w:rPr>
                <w:rFonts w:ascii="宋体" w:hAnsi="宋体"/>
                <w:sz w:val="24"/>
              </w:rPr>
            </w:pPr>
          </w:p>
        </w:tc>
        <w:tc>
          <w:tcPr>
            <w:tcW w:w="3554" w:type="dxa"/>
            <w:vAlign w:val="center"/>
          </w:tcPr>
          <w:p w14:paraId="6F62B968">
            <w:pPr>
              <w:rPr>
                <w:rFonts w:ascii="宋体" w:hAnsi="宋体"/>
                <w:sz w:val="24"/>
              </w:rPr>
            </w:pPr>
          </w:p>
        </w:tc>
      </w:tr>
      <w:tr w14:paraId="6099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742296F">
            <w:pPr>
              <w:jc w:val="center"/>
              <w:rPr>
                <w:rFonts w:ascii="宋体" w:hAnsi="宋体"/>
                <w:sz w:val="24"/>
              </w:rPr>
            </w:pPr>
            <w:r>
              <w:rPr>
                <w:rFonts w:hint="eastAsia" w:ascii="宋体" w:hAnsi="宋体"/>
                <w:sz w:val="24"/>
              </w:rPr>
              <w:t>10</w:t>
            </w:r>
          </w:p>
        </w:tc>
        <w:tc>
          <w:tcPr>
            <w:tcW w:w="1080" w:type="dxa"/>
            <w:vAlign w:val="center"/>
          </w:tcPr>
          <w:p w14:paraId="3E62A192">
            <w:pPr>
              <w:rPr>
                <w:rFonts w:ascii="宋体" w:hAnsi="宋体"/>
                <w:sz w:val="24"/>
              </w:rPr>
            </w:pPr>
          </w:p>
        </w:tc>
        <w:tc>
          <w:tcPr>
            <w:tcW w:w="3060" w:type="dxa"/>
            <w:vAlign w:val="center"/>
          </w:tcPr>
          <w:p w14:paraId="2C178D5F">
            <w:pPr>
              <w:rPr>
                <w:rFonts w:ascii="宋体" w:hAnsi="宋体"/>
                <w:sz w:val="24"/>
              </w:rPr>
            </w:pPr>
          </w:p>
        </w:tc>
        <w:tc>
          <w:tcPr>
            <w:tcW w:w="3554" w:type="dxa"/>
            <w:vAlign w:val="center"/>
          </w:tcPr>
          <w:p w14:paraId="652723FD">
            <w:pPr>
              <w:rPr>
                <w:rFonts w:ascii="宋体" w:hAnsi="宋体"/>
                <w:sz w:val="24"/>
              </w:rPr>
            </w:pPr>
          </w:p>
        </w:tc>
      </w:tr>
    </w:tbl>
    <w:p w14:paraId="09293447">
      <w:pPr>
        <w:rPr>
          <w:rFonts w:ascii="宋体" w:hAnsi="宋体"/>
          <w:sz w:val="24"/>
        </w:rPr>
      </w:pPr>
    </w:p>
    <w:p w14:paraId="4CD5E50C">
      <w:pPr>
        <w:rPr>
          <w:rFonts w:ascii="宋体" w:hAnsi="宋体"/>
          <w:sz w:val="24"/>
        </w:rPr>
      </w:pPr>
      <w:r>
        <w:rPr>
          <w:rFonts w:hint="eastAsia" w:ascii="仿宋_GB2312" w:hAnsi="宋体" w:eastAsia="仿宋_GB2312"/>
          <w:sz w:val="24"/>
        </w:rPr>
        <w:t>投标人名称（盖章）：              法定代表人或授权代表签字：</w:t>
      </w:r>
    </w:p>
    <w:p w14:paraId="4382E116">
      <w:pPr>
        <w:rPr>
          <w:rFonts w:ascii="宋体" w:hAnsi="宋体"/>
          <w:sz w:val="24"/>
        </w:rPr>
      </w:pPr>
    </w:p>
    <w:p w14:paraId="465748FC">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DB5E8">
      <w:pPr>
        <w:rPr>
          <w:rFonts w:ascii="宋体" w:hAnsi="宋体"/>
          <w:sz w:val="24"/>
        </w:rPr>
      </w:pPr>
    </w:p>
    <w:bookmarkEnd w:id="1397"/>
    <w:p w14:paraId="14907BC9">
      <w:pPr>
        <w:widowControl/>
        <w:jc w:val="left"/>
        <w:rPr>
          <w:rFonts w:eastAsia="黑体"/>
          <w:b/>
          <w:bCs/>
          <w:sz w:val="28"/>
        </w:rPr>
      </w:pPr>
      <w:r>
        <w:rPr>
          <w:rFonts w:hint="eastAsia" w:eastAsia="黑体"/>
          <w:b/>
          <w:bCs/>
          <w:sz w:val="28"/>
          <w:lang w:val="en-US" w:eastAsia="zh-CN"/>
        </w:rPr>
        <w:t>分项报价表（无格式要求</w:t>
      </w:r>
      <w:bookmarkStart w:id="1398" w:name="_GoBack"/>
      <w:bookmarkEnd w:id="1398"/>
      <w:r>
        <w:rPr>
          <w:rFonts w:hint="eastAsia" w:eastAsia="黑体"/>
          <w:b/>
          <w:bCs/>
          <w:sz w:val="28"/>
          <w:lang w:val="en-US" w:eastAsia="zh-CN"/>
        </w:rPr>
        <w:t>）</w:t>
      </w:r>
      <w:r>
        <w:rPr>
          <w:rFonts w:eastAsia="黑体"/>
          <w:b/>
          <w:bCs/>
          <w:sz w:val="28"/>
        </w:rPr>
        <w:br w:type="page"/>
      </w:r>
    </w:p>
    <w:p w14:paraId="77F23887">
      <w:pPr>
        <w:rPr>
          <w:rFonts w:eastAsia="黑体"/>
          <w:b/>
          <w:bCs/>
          <w:sz w:val="28"/>
        </w:rPr>
      </w:pPr>
      <w:r>
        <w:rPr>
          <w:rFonts w:hint="eastAsia" w:eastAsia="黑体"/>
          <w:b/>
          <w:bCs/>
          <w:sz w:val="28"/>
        </w:rPr>
        <w:t>格式7</w:t>
      </w:r>
    </w:p>
    <w:p w14:paraId="738F941F">
      <w:pPr>
        <w:rPr>
          <w:rFonts w:ascii="宋体" w:hAnsi="宋体"/>
        </w:rPr>
      </w:pPr>
      <w:r>
        <w:rPr>
          <w:rFonts w:hint="eastAsia" w:ascii="宋体" w:hAnsi="宋体"/>
        </w:rPr>
        <w:t>项目名称：</w:t>
      </w:r>
      <w:r>
        <w:rPr>
          <w:rFonts w:ascii="宋体" w:hAnsi="宋体"/>
        </w:rPr>
        <w:t xml:space="preserve"> </w:t>
      </w:r>
    </w:p>
    <w:p w14:paraId="1B7C19CA">
      <w:pPr>
        <w:rPr>
          <w:rFonts w:ascii="宋体" w:hAnsi="宋体"/>
        </w:rPr>
      </w:pPr>
    </w:p>
    <w:p w14:paraId="4F75A1AD">
      <w:pPr>
        <w:pStyle w:val="14"/>
        <w:spacing w:line="360" w:lineRule="auto"/>
        <w:rPr>
          <w:rFonts w:hAnsi="宋体"/>
          <w:szCs w:val="21"/>
        </w:rPr>
      </w:pPr>
      <w:r>
        <w:rPr>
          <w:rFonts w:hint="eastAsia" w:hAnsi="宋体"/>
          <w:szCs w:val="21"/>
        </w:rPr>
        <w:t>日期：  年   月   日</w:t>
      </w:r>
    </w:p>
    <w:p w14:paraId="520059B8">
      <w:pPr>
        <w:jc w:val="center"/>
        <w:rPr>
          <w:rFonts w:eastAsia="黑体"/>
          <w:b/>
          <w:bCs/>
          <w:sz w:val="28"/>
        </w:rPr>
      </w:pPr>
      <w:r>
        <w:rPr>
          <w:rFonts w:hint="eastAsia" w:eastAsia="黑体"/>
          <w:b/>
          <w:bCs/>
          <w:sz w:val="28"/>
        </w:rPr>
        <w:t>法人授权委托书</w:t>
      </w:r>
    </w:p>
    <w:p w14:paraId="5B71A578">
      <w:pPr>
        <w:rPr>
          <w:rFonts w:ascii="宋体" w:hAnsi="宋体"/>
          <w:u w:val="single"/>
        </w:rPr>
      </w:pPr>
      <w:r>
        <w:rPr>
          <w:rFonts w:hint="eastAsia" w:ascii="宋体" w:hAnsi="宋体"/>
        </w:rPr>
        <w:t>致</w:t>
      </w:r>
      <w:r>
        <w:rPr>
          <w:rFonts w:hint="eastAsia" w:ascii="宋体" w:hAnsi="宋体"/>
          <w:u w:val="single"/>
        </w:rPr>
        <w:t>（招标人名称）                            ：</w:t>
      </w:r>
    </w:p>
    <w:p w14:paraId="394B90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9E990B5">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1A4FD65">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5BCE3F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DF589F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11F508E">
      <w:pPr>
        <w:spacing w:line="360" w:lineRule="auto"/>
        <w:ind w:firstLine="420" w:firstLineChars="200"/>
        <w:rPr>
          <w:rFonts w:ascii="宋体"/>
          <w:kern w:val="0"/>
          <w:szCs w:val="21"/>
        </w:rPr>
      </w:pPr>
      <w:r>
        <w:rPr>
          <w:rFonts w:hint="eastAsia" w:ascii="宋体" w:hAnsi="宋体"/>
          <w:kern w:val="0"/>
          <w:szCs w:val="21"/>
        </w:rPr>
        <w:t>投标人名称：（盖单位公章）</w:t>
      </w:r>
    </w:p>
    <w:p w14:paraId="304A69AF">
      <w:pPr>
        <w:spacing w:line="360" w:lineRule="auto"/>
        <w:ind w:firstLine="420" w:firstLineChars="200"/>
        <w:rPr>
          <w:rFonts w:ascii="宋体"/>
          <w:kern w:val="0"/>
          <w:szCs w:val="21"/>
        </w:rPr>
      </w:pPr>
      <w:r>
        <w:rPr>
          <w:rFonts w:hint="eastAsia" w:ascii="宋体" w:hAnsi="宋体"/>
          <w:kern w:val="0"/>
          <w:szCs w:val="21"/>
        </w:rPr>
        <w:t>法定代表人：（签字）</w:t>
      </w:r>
    </w:p>
    <w:p w14:paraId="58F8358F">
      <w:pPr>
        <w:spacing w:line="360" w:lineRule="auto"/>
        <w:ind w:firstLine="420" w:firstLineChars="200"/>
        <w:rPr>
          <w:rFonts w:ascii="宋体"/>
          <w:kern w:val="0"/>
          <w:szCs w:val="21"/>
        </w:rPr>
      </w:pPr>
    </w:p>
    <w:p w14:paraId="7E2771FB">
      <w:pPr>
        <w:spacing w:line="360" w:lineRule="auto"/>
        <w:ind w:firstLine="420" w:firstLineChars="200"/>
        <w:rPr>
          <w:rFonts w:ascii="宋体"/>
          <w:kern w:val="0"/>
          <w:szCs w:val="21"/>
        </w:rPr>
      </w:pPr>
    </w:p>
    <w:p w14:paraId="043E08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58E8C054">
      <w:pPr>
        <w:spacing w:line="360" w:lineRule="auto"/>
        <w:rPr>
          <w:rFonts w:ascii="宋体"/>
          <w:kern w:val="0"/>
          <w:szCs w:val="21"/>
        </w:rPr>
      </w:pPr>
    </w:p>
    <w:p w14:paraId="6AFDC201">
      <w:pPr>
        <w:spacing w:line="360" w:lineRule="auto"/>
        <w:rPr>
          <w:rFonts w:ascii="宋体"/>
          <w:kern w:val="0"/>
          <w:szCs w:val="21"/>
        </w:rPr>
      </w:pPr>
    </w:p>
    <w:p w14:paraId="4B34D44A">
      <w:pPr>
        <w:spacing w:line="360" w:lineRule="auto"/>
        <w:rPr>
          <w:rFonts w:ascii="宋体"/>
          <w:kern w:val="0"/>
          <w:szCs w:val="21"/>
        </w:rPr>
      </w:pPr>
    </w:p>
    <w:p w14:paraId="3D887707">
      <w:pPr>
        <w:spacing w:line="360" w:lineRule="auto"/>
        <w:rPr>
          <w:rFonts w:ascii="宋体"/>
          <w:kern w:val="0"/>
          <w:szCs w:val="21"/>
        </w:rPr>
      </w:pPr>
    </w:p>
    <w:p w14:paraId="76B38CD8">
      <w:pPr>
        <w:spacing w:line="360" w:lineRule="auto"/>
        <w:ind w:right="560" w:firstLine="420" w:firstLineChars="200"/>
        <w:rPr>
          <w:rFonts w:ascii="宋体"/>
          <w:kern w:val="0"/>
          <w:szCs w:val="21"/>
        </w:rPr>
      </w:pPr>
    </w:p>
    <w:p w14:paraId="19BBACEF">
      <w:pPr>
        <w:pStyle w:val="14"/>
        <w:spacing w:line="360" w:lineRule="auto"/>
        <w:rPr>
          <w:rFonts w:hAnsi="宋体"/>
          <w:b/>
          <w:sz w:val="24"/>
          <w:szCs w:val="24"/>
        </w:rPr>
      </w:pPr>
    </w:p>
    <w:p w14:paraId="28E8E8FC">
      <w:pPr>
        <w:pStyle w:val="14"/>
        <w:spacing w:line="360" w:lineRule="auto"/>
        <w:rPr>
          <w:rFonts w:hAnsi="宋体"/>
          <w:b/>
          <w:sz w:val="24"/>
          <w:szCs w:val="24"/>
        </w:rPr>
      </w:pPr>
    </w:p>
    <w:p w14:paraId="40C2AA37">
      <w:pPr>
        <w:pStyle w:val="14"/>
        <w:spacing w:line="360" w:lineRule="auto"/>
        <w:rPr>
          <w:rFonts w:hAnsi="宋体"/>
          <w:b/>
          <w:sz w:val="24"/>
          <w:szCs w:val="24"/>
        </w:rPr>
      </w:pPr>
    </w:p>
    <w:p w14:paraId="7A56A98F">
      <w:pPr>
        <w:pStyle w:val="14"/>
        <w:spacing w:line="360" w:lineRule="auto"/>
        <w:rPr>
          <w:rFonts w:hAnsi="宋体"/>
          <w:b/>
          <w:sz w:val="24"/>
          <w:szCs w:val="24"/>
        </w:rPr>
      </w:pPr>
    </w:p>
    <w:p w14:paraId="0A986F70">
      <w:pPr>
        <w:pStyle w:val="14"/>
        <w:spacing w:line="360" w:lineRule="auto"/>
        <w:rPr>
          <w:rFonts w:hAnsi="宋体"/>
          <w:b/>
          <w:sz w:val="24"/>
          <w:szCs w:val="24"/>
        </w:rPr>
      </w:pPr>
    </w:p>
    <w:p w14:paraId="6F74634C">
      <w:pPr>
        <w:rPr>
          <w:rFonts w:eastAsia="黑体"/>
          <w:b/>
          <w:bCs/>
          <w:sz w:val="28"/>
        </w:rPr>
      </w:pPr>
      <w:r>
        <w:rPr>
          <w:rFonts w:hint="eastAsia" w:eastAsia="黑体"/>
          <w:b/>
          <w:bCs/>
          <w:sz w:val="28"/>
        </w:rPr>
        <w:t>格式8</w:t>
      </w:r>
    </w:p>
    <w:p w14:paraId="4098FEAE">
      <w:pPr>
        <w:rPr>
          <w:rFonts w:ascii="宋体" w:hAnsi="宋体"/>
        </w:rPr>
      </w:pPr>
      <w:r>
        <w:rPr>
          <w:rFonts w:hint="eastAsia" w:ascii="宋体" w:hAnsi="宋体"/>
        </w:rPr>
        <w:t>项目名称：</w:t>
      </w:r>
      <w:r>
        <w:rPr>
          <w:rFonts w:ascii="宋体" w:hAnsi="宋体"/>
        </w:rPr>
        <w:t xml:space="preserve"> </w:t>
      </w:r>
    </w:p>
    <w:p w14:paraId="4591D26B">
      <w:pPr>
        <w:rPr>
          <w:rFonts w:ascii="宋体" w:hAnsi="宋体"/>
        </w:rPr>
      </w:pPr>
    </w:p>
    <w:p w14:paraId="2A95545D">
      <w:pPr>
        <w:pStyle w:val="14"/>
        <w:spacing w:line="360" w:lineRule="auto"/>
        <w:ind w:left="885" w:leftChars="-6" w:hanging="898" w:hangingChars="428"/>
        <w:rPr>
          <w:rFonts w:hAnsi="宋体"/>
          <w:szCs w:val="21"/>
        </w:rPr>
      </w:pPr>
      <w:r>
        <w:rPr>
          <w:rFonts w:hint="eastAsia" w:hAnsi="宋体"/>
          <w:szCs w:val="21"/>
        </w:rPr>
        <w:t>日期：  年   月   日</w:t>
      </w:r>
    </w:p>
    <w:p w14:paraId="069074EE">
      <w:pPr>
        <w:jc w:val="center"/>
        <w:rPr>
          <w:rFonts w:eastAsia="黑体"/>
          <w:b/>
          <w:bCs/>
          <w:sz w:val="28"/>
        </w:rPr>
      </w:pPr>
      <w:r>
        <w:rPr>
          <w:rFonts w:hint="eastAsia" w:eastAsia="黑体"/>
          <w:b/>
          <w:bCs/>
          <w:sz w:val="28"/>
        </w:rPr>
        <w:t>投标保证金退付表</w:t>
      </w:r>
    </w:p>
    <w:tbl>
      <w:tblPr>
        <w:tblStyle w:val="30"/>
        <w:tblW w:w="8287"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D79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590AC61">
            <w:pPr>
              <w:pStyle w:val="14"/>
              <w:spacing w:line="360" w:lineRule="auto"/>
            </w:pPr>
            <w:r>
              <w:rPr>
                <w:rFonts w:hint="eastAsia"/>
              </w:rPr>
              <w:t>投标人单位名称：</w:t>
            </w:r>
          </w:p>
        </w:tc>
      </w:tr>
      <w:tr w14:paraId="0029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A375097">
            <w:pPr>
              <w:pStyle w:val="14"/>
              <w:spacing w:line="360" w:lineRule="auto"/>
            </w:pPr>
            <w:r>
              <w:rPr>
                <w:rFonts w:hint="eastAsia"/>
              </w:rPr>
              <w:t>开户银行：</w:t>
            </w:r>
          </w:p>
        </w:tc>
      </w:tr>
      <w:tr w14:paraId="06BB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27B182">
            <w:pPr>
              <w:pStyle w:val="14"/>
              <w:spacing w:line="360" w:lineRule="auto"/>
            </w:pPr>
            <w:r>
              <w:rPr>
                <w:rFonts w:hint="eastAsia"/>
              </w:rPr>
              <w:t>开户行行号：</w:t>
            </w:r>
          </w:p>
        </w:tc>
      </w:tr>
      <w:tr w14:paraId="7E4F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8B9FBCF">
            <w:pPr>
              <w:pStyle w:val="14"/>
              <w:spacing w:line="360" w:lineRule="auto"/>
            </w:pPr>
            <w:r>
              <w:rPr>
                <w:rFonts w:hint="eastAsia"/>
              </w:rPr>
              <w:t>户名：</w:t>
            </w:r>
          </w:p>
        </w:tc>
      </w:tr>
      <w:tr w14:paraId="1015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E0743B5">
            <w:pPr>
              <w:pStyle w:val="14"/>
              <w:spacing w:line="360" w:lineRule="auto"/>
            </w:pPr>
            <w:r>
              <w:rPr>
                <w:rFonts w:hint="eastAsia"/>
              </w:rPr>
              <w:t>账号：</w:t>
            </w:r>
          </w:p>
        </w:tc>
      </w:tr>
      <w:tr w14:paraId="2D87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356C6EF">
            <w:pPr>
              <w:pStyle w:val="14"/>
              <w:spacing w:line="360" w:lineRule="auto"/>
            </w:pPr>
            <w:r>
              <w:rPr>
                <w:rFonts w:hint="eastAsia"/>
              </w:rPr>
              <w:t>纳税人识别号：</w:t>
            </w:r>
          </w:p>
        </w:tc>
      </w:tr>
    </w:tbl>
    <w:p w14:paraId="0BC8D790">
      <w:pPr>
        <w:pStyle w:val="14"/>
        <w:spacing w:line="360" w:lineRule="auto"/>
        <w:ind w:firstLine="240" w:firstLineChars="100"/>
        <w:rPr>
          <w:rFonts w:ascii="仿宋_GB2312" w:hAnsi="宋体" w:eastAsia="仿宋_GB2312"/>
          <w:color w:val="000000"/>
          <w:sz w:val="24"/>
        </w:rPr>
      </w:pPr>
    </w:p>
    <w:p w14:paraId="2FD79FB3">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283BFD6D">
      <w:pPr>
        <w:pStyle w:val="14"/>
        <w:spacing w:line="360" w:lineRule="auto"/>
        <w:rPr>
          <w:rFonts w:hAnsi="宋体"/>
          <w:b/>
          <w:sz w:val="24"/>
          <w:szCs w:val="24"/>
        </w:rPr>
      </w:pPr>
    </w:p>
    <w:p w14:paraId="3876A06B">
      <w:pPr>
        <w:pStyle w:val="14"/>
        <w:spacing w:line="360" w:lineRule="auto"/>
        <w:jc w:val="center"/>
        <w:rPr>
          <w:rFonts w:ascii="黑体" w:eastAsia="黑体"/>
          <w:b/>
          <w:bCs/>
          <w:sz w:val="36"/>
          <w:szCs w:val="36"/>
        </w:rPr>
      </w:pPr>
    </w:p>
    <w:p w14:paraId="1F43BD92">
      <w:pPr>
        <w:rPr>
          <w:rFonts w:eastAsia="黑体"/>
          <w:b/>
          <w:bCs/>
          <w:sz w:val="28"/>
        </w:rPr>
      </w:pPr>
      <w:r>
        <w:rPr>
          <w:rFonts w:hint="eastAsia" w:eastAsia="黑体"/>
          <w:b/>
          <w:bCs/>
          <w:sz w:val="28"/>
        </w:rPr>
        <w:br w:type="page"/>
      </w:r>
    </w:p>
    <w:p w14:paraId="2C870E1D">
      <w:pPr>
        <w:pStyle w:val="76"/>
      </w:pPr>
    </w:p>
    <w:p w14:paraId="5D35037D">
      <w:pPr>
        <w:pStyle w:val="71"/>
      </w:pPr>
      <w:r>
        <w:rPr>
          <w:rFonts w:hint="eastAsia"/>
        </w:rPr>
        <w:t>第五部分　</w:t>
      </w:r>
      <w:r>
        <w:rPr>
          <w:rFonts w:hint="eastAsia"/>
          <w:lang w:val="en-US" w:eastAsia="zh-CN"/>
        </w:rPr>
        <w:t>重汽e采通供应商使用说明</w:t>
      </w:r>
    </w:p>
    <w:p w14:paraId="2B160738">
      <w:pPr>
        <w:pStyle w:val="14"/>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7F90BF48">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14"/>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63EECCF8">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2635F1D5">
      <w:pPr>
        <w:pStyle w:val="14"/>
      </w:pPr>
    </w:p>
    <w:p w14:paraId="11152A11">
      <w:pPr>
        <w:pStyle w:val="14"/>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14"/>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14"/>
        <w:sectPr>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7312B151">
      <w:pPr>
        <w:pStyle w:val="14"/>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14"/>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719CDE6A">
      <w:pPr>
        <w:pStyle w:val="14"/>
        <w:rPr>
          <w:rFonts w:hAnsi="宋体"/>
          <w:b/>
          <w:color w:val="000000"/>
          <w:sz w:val="24"/>
          <w:szCs w:val="24"/>
        </w:rPr>
      </w:pPr>
    </w:p>
    <w:p w14:paraId="5CA7CAEF">
      <w:pPr>
        <w:pStyle w:val="14"/>
        <w:rPr>
          <w:rFonts w:hAnsi="宋体"/>
          <w:b/>
          <w:color w:val="000000"/>
          <w:sz w:val="24"/>
          <w:szCs w:val="24"/>
        </w:rPr>
      </w:pPr>
    </w:p>
    <w:p w14:paraId="085FB2E7">
      <w:pPr>
        <w:pStyle w:val="76"/>
        <w:rPr>
          <w:rFonts w:hAnsi="宋体"/>
          <w:sz w:val="24"/>
        </w:rPr>
      </w:pPr>
    </w:p>
    <w:p w14:paraId="5ECEAAC2">
      <w:pPr>
        <w:pStyle w:val="76"/>
        <w:rPr>
          <w:rFonts w:hAnsi="宋体"/>
          <w:sz w:val="24"/>
        </w:rPr>
      </w:pPr>
    </w:p>
    <w:p w14:paraId="028B8E52">
      <w:pPr>
        <w:pStyle w:val="71"/>
        <w:jc w:val="center"/>
        <w:rPr>
          <w:rFonts w:hint="default" w:eastAsia="黑体"/>
          <w:lang w:val="en-US" w:eastAsia="zh-CN"/>
        </w:rPr>
      </w:pPr>
    </w:p>
    <w:p w14:paraId="52772E4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23E75332">
      <w:pPr>
        <w:pStyle w:val="76"/>
        <w:rPr>
          <w:rFonts w:hint="default" w:hAnsi="宋体"/>
          <w:sz w:val="24"/>
          <w:lang w:val="en-US"/>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A8E2D">
    <w:pPr>
      <w:pStyle w:val="1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9035">
    <w:pPr>
      <w:pStyle w:val="1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18"/>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DE078">
    <w:pPr>
      <w:pStyle w:val="19"/>
      <w:pBdr>
        <w:bottom w:val="single" w:color="auto" w:sz="12" w:space="9"/>
      </w:pBdr>
      <w:jc w:val="both"/>
    </w:pPr>
    <w:r>
      <w:drawing>
        <wp:inline distT="0" distB="0" distL="114300" distR="114300">
          <wp:extent cx="1428750" cy="3429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eastAsia="黑体" w:cs="黑体"/>
        <w:sz w:val="24"/>
        <w:szCs w:val="24"/>
      </w:rPr>
      <w:t>成套货物</w:t>
    </w:r>
    <w:r>
      <w:rPr>
        <w:rFonts w:ascii="黑体" w:eastAsia="黑体" w:cs="黑体"/>
        <w:sz w:val="24"/>
        <w:szCs w:val="24"/>
      </w:rPr>
      <w:t>/</w:t>
    </w:r>
    <w:r>
      <w:rPr>
        <w:rFonts w:hint="eastAsia" w:ascii="黑体" w:eastAsia="黑体" w:cs="黑体"/>
        <w:sz w:val="24"/>
        <w:szCs w:val="24"/>
      </w:rPr>
      <w:t>生产线招标文件技术标书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19"/>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2">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3">
    <w:nsid w:val="3954A2AD"/>
    <w:multiLevelType w:val="singleLevel"/>
    <w:tmpl w:val="3954A2AD"/>
    <w:lvl w:ilvl="0" w:tentative="0">
      <w:start w:val="1"/>
      <w:numFmt w:val="decimal"/>
      <w:suff w:val="nothing"/>
      <w:lvlText w:val="（%1）"/>
      <w:lvlJc w:val="left"/>
    </w:lvl>
  </w:abstractNum>
  <w:abstractNum w:abstractNumId="1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5">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1">
    <w:nsid w:val="7CE20C09"/>
    <w:multiLevelType w:val="singleLevel"/>
    <w:tmpl w:val="7CE20C09"/>
    <w:lvl w:ilvl="0" w:tentative="0">
      <w:start w:val="1"/>
      <w:numFmt w:val="decimal"/>
      <w:lvlText w:val="%1."/>
      <w:lvlJc w:val="left"/>
      <w:pPr>
        <w:tabs>
          <w:tab w:val="left" w:pos="312"/>
        </w:tabs>
      </w:pPr>
    </w:lvl>
  </w:abstractNum>
  <w:num w:numId="1">
    <w:abstractNumId w:val="15"/>
  </w:num>
  <w:num w:numId="2">
    <w:abstractNumId w:val="19"/>
  </w:num>
  <w:num w:numId="3">
    <w:abstractNumId w:val="18"/>
  </w:num>
  <w:num w:numId="4">
    <w:abstractNumId w:val="16"/>
  </w:num>
  <w:num w:numId="5">
    <w:abstractNumId w:val="10"/>
  </w:num>
  <w:num w:numId="6">
    <w:abstractNumId w:val="11"/>
  </w:num>
  <w:num w:numId="7">
    <w:abstractNumId w:val="12"/>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num>
  <w:num w:numId="18">
    <w:abstractNumId w:val="0"/>
  </w:num>
  <w:num w:numId="19">
    <w:abstractNumId w:val="1"/>
  </w:num>
  <w:num w:numId="20">
    <w:abstractNumId w:val="13"/>
  </w:num>
  <w:num w:numId="21">
    <w:abstractNumId w:val="20"/>
  </w:num>
  <w:num w:numId="22">
    <w:abstractNumId w:val="7"/>
  </w:num>
  <w:num w:numId="23">
    <w:abstractNumId w:val="21"/>
  </w:num>
  <w:num w:numId="24">
    <w:abstractNumId w:val="2"/>
  </w:num>
  <w:num w:numId="25">
    <w:abstractNumId w:val="3"/>
  </w:num>
  <w:num w:numId="26">
    <w:abstractNumId w:val="5"/>
  </w:num>
  <w:num w:numId="27">
    <w:abstractNumId w:val="8"/>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22110"/>
    <w:rsid w:val="0256755B"/>
    <w:rsid w:val="02C464F6"/>
    <w:rsid w:val="02CC3DCA"/>
    <w:rsid w:val="02FB2420"/>
    <w:rsid w:val="02FE76EF"/>
    <w:rsid w:val="03343D40"/>
    <w:rsid w:val="035241C7"/>
    <w:rsid w:val="03BA1683"/>
    <w:rsid w:val="03E72B61"/>
    <w:rsid w:val="03F033B0"/>
    <w:rsid w:val="04446205"/>
    <w:rsid w:val="046917C8"/>
    <w:rsid w:val="04E62E18"/>
    <w:rsid w:val="0543236E"/>
    <w:rsid w:val="057C1D39"/>
    <w:rsid w:val="05891259"/>
    <w:rsid w:val="05E76E48"/>
    <w:rsid w:val="068F128E"/>
    <w:rsid w:val="08633479"/>
    <w:rsid w:val="089E76AC"/>
    <w:rsid w:val="0A28069F"/>
    <w:rsid w:val="0B0A2C8B"/>
    <w:rsid w:val="0B765E47"/>
    <w:rsid w:val="0BBA4FFF"/>
    <w:rsid w:val="0C525237"/>
    <w:rsid w:val="0CB51572"/>
    <w:rsid w:val="0CFB1178"/>
    <w:rsid w:val="0E1E2B65"/>
    <w:rsid w:val="0E4D31E3"/>
    <w:rsid w:val="0E76345F"/>
    <w:rsid w:val="0F7200CA"/>
    <w:rsid w:val="0FFF6FF0"/>
    <w:rsid w:val="10DC2AA3"/>
    <w:rsid w:val="10FA7C8C"/>
    <w:rsid w:val="12EA7F78"/>
    <w:rsid w:val="130B198F"/>
    <w:rsid w:val="135A334F"/>
    <w:rsid w:val="137C646B"/>
    <w:rsid w:val="145205A8"/>
    <w:rsid w:val="16406649"/>
    <w:rsid w:val="16A918E4"/>
    <w:rsid w:val="17D966D6"/>
    <w:rsid w:val="181B06E1"/>
    <w:rsid w:val="18952734"/>
    <w:rsid w:val="189C1D14"/>
    <w:rsid w:val="18F659B5"/>
    <w:rsid w:val="198C1722"/>
    <w:rsid w:val="1A11228E"/>
    <w:rsid w:val="1A381F10"/>
    <w:rsid w:val="1ABF7F3C"/>
    <w:rsid w:val="1B3E669F"/>
    <w:rsid w:val="1B6603B7"/>
    <w:rsid w:val="1B6739C6"/>
    <w:rsid w:val="1B824429"/>
    <w:rsid w:val="1BC71D3B"/>
    <w:rsid w:val="1C59115B"/>
    <w:rsid w:val="1C8C02F2"/>
    <w:rsid w:val="1CD00D9F"/>
    <w:rsid w:val="1F5E5F75"/>
    <w:rsid w:val="1F672950"/>
    <w:rsid w:val="1FB23E60"/>
    <w:rsid w:val="20E64474"/>
    <w:rsid w:val="21A6441F"/>
    <w:rsid w:val="21E73D66"/>
    <w:rsid w:val="21F91F85"/>
    <w:rsid w:val="22A7378F"/>
    <w:rsid w:val="22C5630B"/>
    <w:rsid w:val="23EC0BA6"/>
    <w:rsid w:val="24701A48"/>
    <w:rsid w:val="252E1F46"/>
    <w:rsid w:val="25B508B9"/>
    <w:rsid w:val="25DC2738"/>
    <w:rsid w:val="268B0052"/>
    <w:rsid w:val="26FE1DEC"/>
    <w:rsid w:val="27743C90"/>
    <w:rsid w:val="27CC3FD4"/>
    <w:rsid w:val="28A864B3"/>
    <w:rsid w:val="28F214DC"/>
    <w:rsid w:val="292673D8"/>
    <w:rsid w:val="29611ACA"/>
    <w:rsid w:val="29B844D4"/>
    <w:rsid w:val="29CA2459"/>
    <w:rsid w:val="2ACD0453"/>
    <w:rsid w:val="2B0F6376"/>
    <w:rsid w:val="2B271A58"/>
    <w:rsid w:val="2B6304A7"/>
    <w:rsid w:val="2B8A0ED3"/>
    <w:rsid w:val="2BB138D1"/>
    <w:rsid w:val="2BFD7C12"/>
    <w:rsid w:val="2CA63F77"/>
    <w:rsid w:val="2CF6734C"/>
    <w:rsid w:val="2D2E5EBF"/>
    <w:rsid w:val="2D663463"/>
    <w:rsid w:val="2E1212F1"/>
    <w:rsid w:val="2E204D3E"/>
    <w:rsid w:val="2E4E18AB"/>
    <w:rsid w:val="2EF96EE4"/>
    <w:rsid w:val="30006BD5"/>
    <w:rsid w:val="30971A1F"/>
    <w:rsid w:val="30A151CF"/>
    <w:rsid w:val="30B31E99"/>
    <w:rsid w:val="310778B5"/>
    <w:rsid w:val="32146967"/>
    <w:rsid w:val="32C06917"/>
    <w:rsid w:val="33304827"/>
    <w:rsid w:val="337E22EA"/>
    <w:rsid w:val="34572B3B"/>
    <w:rsid w:val="35CF7EC5"/>
    <w:rsid w:val="36254FE4"/>
    <w:rsid w:val="36A55DE0"/>
    <w:rsid w:val="372F61E0"/>
    <w:rsid w:val="389B56ED"/>
    <w:rsid w:val="39322FCA"/>
    <w:rsid w:val="39DC4F34"/>
    <w:rsid w:val="3AB90991"/>
    <w:rsid w:val="3ABB02C8"/>
    <w:rsid w:val="3B585B17"/>
    <w:rsid w:val="3B706131"/>
    <w:rsid w:val="3BA93AD1"/>
    <w:rsid w:val="3BCA1B24"/>
    <w:rsid w:val="3C681D8A"/>
    <w:rsid w:val="3D2008B6"/>
    <w:rsid w:val="3D29776B"/>
    <w:rsid w:val="3DFB03D8"/>
    <w:rsid w:val="3E6F041E"/>
    <w:rsid w:val="3FBB6674"/>
    <w:rsid w:val="3FCC6AD3"/>
    <w:rsid w:val="405D597D"/>
    <w:rsid w:val="4081341A"/>
    <w:rsid w:val="40D8240F"/>
    <w:rsid w:val="411C3143"/>
    <w:rsid w:val="41582A5C"/>
    <w:rsid w:val="41CC2DBB"/>
    <w:rsid w:val="4275481E"/>
    <w:rsid w:val="428B617A"/>
    <w:rsid w:val="433D7BDC"/>
    <w:rsid w:val="437E1813"/>
    <w:rsid w:val="43EF0FE2"/>
    <w:rsid w:val="43F20826"/>
    <w:rsid w:val="44CA7C7F"/>
    <w:rsid w:val="45BD47FC"/>
    <w:rsid w:val="45CC5FB2"/>
    <w:rsid w:val="464529FA"/>
    <w:rsid w:val="46B75BA8"/>
    <w:rsid w:val="46C53BA3"/>
    <w:rsid w:val="46DC75FC"/>
    <w:rsid w:val="487970CD"/>
    <w:rsid w:val="48BC6665"/>
    <w:rsid w:val="48C97955"/>
    <w:rsid w:val="48CA6646"/>
    <w:rsid w:val="48E24BBA"/>
    <w:rsid w:val="49184B37"/>
    <w:rsid w:val="494F67AB"/>
    <w:rsid w:val="49880C8F"/>
    <w:rsid w:val="4A8561FD"/>
    <w:rsid w:val="4A8835F7"/>
    <w:rsid w:val="4B592E71"/>
    <w:rsid w:val="4BE60F1D"/>
    <w:rsid w:val="4CE74F4D"/>
    <w:rsid w:val="4CF539DF"/>
    <w:rsid w:val="4D2E0486"/>
    <w:rsid w:val="4D371A30"/>
    <w:rsid w:val="4DD45540"/>
    <w:rsid w:val="4DDA060D"/>
    <w:rsid w:val="4F195165"/>
    <w:rsid w:val="50615016"/>
    <w:rsid w:val="52650D16"/>
    <w:rsid w:val="526B3F2A"/>
    <w:rsid w:val="52B9239A"/>
    <w:rsid w:val="53193986"/>
    <w:rsid w:val="53422EDD"/>
    <w:rsid w:val="539D6365"/>
    <w:rsid w:val="53C34BA7"/>
    <w:rsid w:val="54BD78FD"/>
    <w:rsid w:val="552D196B"/>
    <w:rsid w:val="572A3CDF"/>
    <w:rsid w:val="580C557C"/>
    <w:rsid w:val="58A86DDE"/>
    <w:rsid w:val="58C6010C"/>
    <w:rsid w:val="59154AD7"/>
    <w:rsid w:val="593D49CE"/>
    <w:rsid w:val="59CF4D9E"/>
    <w:rsid w:val="5A9A35FE"/>
    <w:rsid w:val="5AC71F19"/>
    <w:rsid w:val="5ADF548D"/>
    <w:rsid w:val="5C68504C"/>
    <w:rsid w:val="5C814A76"/>
    <w:rsid w:val="5CC42BB4"/>
    <w:rsid w:val="5D5C60B4"/>
    <w:rsid w:val="5E08087F"/>
    <w:rsid w:val="5E135BA1"/>
    <w:rsid w:val="5F6E12AA"/>
    <w:rsid w:val="5FD316B9"/>
    <w:rsid w:val="60031C46"/>
    <w:rsid w:val="60DD58EC"/>
    <w:rsid w:val="60F577E0"/>
    <w:rsid w:val="61C94742"/>
    <w:rsid w:val="639826A5"/>
    <w:rsid w:val="63E1229E"/>
    <w:rsid w:val="63F04A69"/>
    <w:rsid w:val="642B176B"/>
    <w:rsid w:val="652561BA"/>
    <w:rsid w:val="652811A1"/>
    <w:rsid w:val="663E5786"/>
    <w:rsid w:val="66A50B1E"/>
    <w:rsid w:val="676C6322"/>
    <w:rsid w:val="67B2063C"/>
    <w:rsid w:val="67C97AC3"/>
    <w:rsid w:val="67E30EC1"/>
    <w:rsid w:val="68534DEC"/>
    <w:rsid w:val="68CA77A4"/>
    <w:rsid w:val="68F3328F"/>
    <w:rsid w:val="695F613F"/>
    <w:rsid w:val="69620955"/>
    <w:rsid w:val="69747710"/>
    <w:rsid w:val="6A06480C"/>
    <w:rsid w:val="6A4E3B2B"/>
    <w:rsid w:val="6B481C3B"/>
    <w:rsid w:val="6B8E2D0B"/>
    <w:rsid w:val="6B99345E"/>
    <w:rsid w:val="6BF1329A"/>
    <w:rsid w:val="6C1331A3"/>
    <w:rsid w:val="6CA84BC1"/>
    <w:rsid w:val="6D0E1A3E"/>
    <w:rsid w:val="6D3E4756"/>
    <w:rsid w:val="6D940381"/>
    <w:rsid w:val="6F0E5A30"/>
    <w:rsid w:val="6FC523EB"/>
    <w:rsid w:val="700532A9"/>
    <w:rsid w:val="714D0F73"/>
    <w:rsid w:val="72895F2E"/>
    <w:rsid w:val="72B55613"/>
    <w:rsid w:val="72C02EBE"/>
    <w:rsid w:val="72C507AD"/>
    <w:rsid w:val="72D028D8"/>
    <w:rsid w:val="73100ED3"/>
    <w:rsid w:val="732E0930"/>
    <w:rsid w:val="745D47C3"/>
    <w:rsid w:val="76AC3757"/>
    <w:rsid w:val="775F37AE"/>
    <w:rsid w:val="77E84083"/>
    <w:rsid w:val="78A51694"/>
    <w:rsid w:val="78E73A5B"/>
    <w:rsid w:val="79676168"/>
    <w:rsid w:val="79E36624"/>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4"/>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
    <w:qFormat/>
    <w:uiPriority w:val="98"/>
    <w:rPr>
      <w:rFonts w:ascii="仿宋_GB2312" w:eastAsia="仿宋_GB2312"/>
      <w:sz w:val="32"/>
    </w:rPr>
  </w:style>
  <w:style w:type="paragraph" w:styleId="3">
    <w:name w:val="Body Text Indent"/>
    <w:basedOn w:val="1"/>
    <w:link w:val="49"/>
    <w:semiHidden/>
    <w:qFormat/>
    <w:uiPriority w:val="0"/>
    <w:pPr>
      <w:spacing w:after="120"/>
      <w:ind w:left="420" w:leftChars="200"/>
    </w:pPr>
    <w:rPr>
      <w:rFonts w:ascii="Calibri" w:hAnsi="Calibri"/>
      <w:szCs w:val="22"/>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6"/>
    <w:qFormat/>
    <w:uiPriority w:val="99"/>
    <w:pPr>
      <w:jc w:val="left"/>
    </w:p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2"/>
    <w:next w:val="12"/>
    <w:link w:val="54"/>
    <w:semiHidden/>
    <w:qFormat/>
    <w:uiPriority w:val="98"/>
    <w:rPr>
      <w:b/>
      <w:bCs/>
    </w:rPr>
  </w:style>
  <w:style w:type="paragraph" w:styleId="29">
    <w:name w:val="Body Text First Indent 2"/>
    <w:basedOn w:val="3"/>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2"/>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6"/>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2"/>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7"/>
    <w:semiHidden/>
    <w:qFormat/>
    <w:uiPriority w:val="0"/>
    <w:rPr>
      <w:rFonts w:ascii="Arial" w:hAnsi="Arial"/>
      <w:b/>
      <w:bCs/>
      <w:kern w:val="2"/>
      <w:sz w:val="21"/>
      <w:szCs w:val="28"/>
    </w:rPr>
  </w:style>
  <w:style w:type="character" w:customStyle="1" w:styleId="78">
    <w:name w:val="标题 5 字符"/>
    <w:basedOn w:val="32"/>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首行缩进"/>
    <w:basedOn w:val="1"/>
    <w:qFormat/>
    <w:uiPriority w:val="0"/>
    <w:pPr>
      <w:spacing w:line="360" w:lineRule="auto"/>
      <w:ind w:firstLine="480" w:firstLineChars="200"/>
    </w:pPr>
    <w:rPr>
      <w:rFonts w:ascii="宋体" w:hAnsi="宋体" w:cs="宋体"/>
      <w:kern w:val="0"/>
      <w:sz w:val="24"/>
    </w:rPr>
  </w:style>
  <w:style w:type="character" w:customStyle="1" w:styleId="112">
    <w:name w:val="font11"/>
    <w:basedOn w:val="32"/>
    <w:qFormat/>
    <w:uiPriority w:val="0"/>
    <w:rPr>
      <w:rFonts w:hint="eastAsia" w:ascii="宋体" w:hAnsi="宋体" w:eastAsia="宋体" w:cs="宋体"/>
      <w:color w:val="000000"/>
      <w:sz w:val="24"/>
      <w:szCs w:val="24"/>
      <w:u w:val="single"/>
    </w:rPr>
  </w:style>
  <w:style w:type="character" w:customStyle="1" w:styleId="113">
    <w:name w:val="font21"/>
    <w:basedOn w:val="32"/>
    <w:qFormat/>
    <w:uiPriority w:val="0"/>
    <w:rPr>
      <w:rFonts w:hint="eastAsia" w:ascii="宋体" w:hAnsi="宋体" w:eastAsia="宋体" w:cs="宋体"/>
      <w:color w:val="000000"/>
      <w:sz w:val="24"/>
      <w:szCs w:val="24"/>
      <w:u w:val="none"/>
    </w:rPr>
  </w:style>
  <w:style w:type="paragraph" w:customStyle="1" w:styleId="114">
    <w:name w:val="标书三级标题"/>
    <w:basedOn w:val="6"/>
    <w:qFormat/>
    <w:uiPriority w:val="0"/>
    <w:pPr>
      <w:spacing w:line="240" w:lineRule="auto"/>
      <w:ind w:firstLine="482" w:firstLineChars="200"/>
    </w:pPr>
    <w:rPr>
      <w:color w:val="000000"/>
      <w:kern w:val="0"/>
      <w:sz w:val="24"/>
      <w:szCs w:val="24"/>
    </w:rPr>
  </w:style>
  <w:style w:type="paragraph" w:customStyle="1" w:styleId="115">
    <w:name w:val="标书正文格式"/>
    <w:basedOn w:val="14"/>
    <w:qFormat/>
    <w:uiPriority w:val="0"/>
    <w:pPr>
      <w:spacing w:line="360" w:lineRule="auto"/>
      <w:ind w:firstLine="200" w:firstLineChars="200"/>
    </w:pPr>
    <w:rPr>
      <w:rFonts w:hAnsi="宋体"/>
      <w:color w:val="000000"/>
      <w:kern w:val="0"/>
      <w:sz w:val="24"/>
      <w:szCs w:val="24"/>
    </w:rPr>
  </w:style>
  <w:style w:type="paragraph" w:customStyle="1" w:styleId="116">
    <w:name w:val="Fließtext"/>
    <w:basedOn w:val="1"/>
    <w:qFormat/>
    <w:uiPriority w:val="99"/>
    <w:pPr>
      <w:widowControl/>
      <w:ind w:left="1134"/>
      <w:jc w:val="left"/>
    </w:pPr>
    <w:rPr>
      <w:rFonts w:ascii="Arial" w:hAnsi="Arial"/>
      <w:kern w:val="0"/>
      <w:szCs w:val="20"/>
      <w:lang w:val="de-DE" w:eastAsia="de-DE"/>
    </w:rPr>
  </w:style>
  <w:style w:type="paragraph" w:customStyle="1" w:styleId="117">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53</Pages>
  <Words>25244</Words>
  <Characters>27421</Characters>
  <Lines>127</Lines>
  <Paragraphs>35</Paragraphs>
  <TotalTime>11</TotalTime>
  <ScaleCrop>false</ScaleCrop>
  <LinksUpToDate>false</LinksUpToDate>
  <CharactersWithSpaces>28182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2025-12-15T07:11:47Z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0B2CDFCD8D774ECB822BE341606E809C_13</vt:lpwstr>
  </property>
  <property fmtid="{D5CDD505-2E9C-101B-9397-08002B2CF9AE}" pid="4" name="KSOTemplateDocerSaveRecord">
    <vt:lpwstr>eyJoZGlkIjoiZDZiY2E3MTk3OWVkMDZmNDgwYmUwNDViMmIxMTA0OGYiLCJ1c2VySWQiOiIxMTQwNDY2NTAwIn0=</vt:lpwstr>
  </property>
</Properties>
</file>