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7CDE389">
      <w:pPr>
        <w:ind w:right="280"/>
        <w:jc w:val="both"/>
        <w:rPr>
          <w:rFonts w:ascii="楷体_GB2312" w:hAnsi="宋体" w:eastAsia="楷体_GB2312"/>
          <w:sz w:val="52"/>
          <w:szCs w:val="52"/>
        </w:rPr>
      </w:pPr>
    </w:p>
    <w:p w14:paraId="524DC203">
      <w:pPr>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济南车桥公司主减总成产能提升技改项目</w:t>
      </w: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ind w:firstLine="2249" w:firstLineChars="700"/>
        <w:jc w:val="both"/>
        <w:rPr>
          <w:rFonts w:hint="eastAsia" w:ascii="宋体" w:hAnsi="宋体" w:cs="宋体"/>
          <w:b/>
          <w:bCs/>
          <w:kern w:val="0"/>
          <w:sz w:val="32"/>
          <w:szCs w:val="32"/>
          <w:highlight w:val="none"/>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lang w:val="en-US" w:eastAsia="zh-CN"/>
        </w:rPr>
        <w:t>FSCZB2025120085</w:t>
      </w:r>
    </w:p>
    <w:p w14:paraId="10A10BCC">
      <w:pPr>
        <w:jc w:val="center"/>
        <w:rPr>
          <w:rFonts w:ascii="宋体" w:hAnsi="宋体"/>
          <w:sz w:val="48"/>
          <w:szCs w:val="48"/>
        </w:rPr>
      </w:pPr>
    </w:p>
    <w:p w14:paraId="111CA3F9">
      <w:pPr>
        <w:jc w:val="both"/>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highlight w:val="none"/>
          <w:u w:val="single"/>
          <w:lang w:val="en-US" w:eastAsia="zh-CN"/>
        </w:rPr>
        <w:t>12</w:t>
      </w:r>
      <w:r>
        <w:rPr>
          <w:rFonts w:hint="eastAsia" w:ascii="宋体" w:hAnsi="宋体"/>
          <w:sz w:val="28"/>
          <w:szCs w:val="28"/>
          <w:u w:val="single"/>
        </w:rPr>
        <w:t>月</w:t>
      </w:r>
    </w:p>
    <w:p w14:paraId="2A256B4F">
      <w:pPr>
        <w:spacing w:line="480" w:lineRule="auto"/>
        <w:jc w:val="center"/>
        <w:rPr>
          <w:rFonts w:ascii="宋体" w:hAnsi="宋体"/>
          <w:b/>
          <w:bCs/>
          <w:sz w:val="48"/>
          <w:szCs w:val="48"/>
        </w:rPr>
        <w:sectPr>
          <w:footerReference r:id="rId5" w:type="first"/>
          <w:footerReference r:id="rId3" w:type="default"/>
          <w:footerReference r:id="rId4"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31D57579">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rPr>
          <w:highlight w:val="none"/>
        </w:rPr>
      </w:pPr>
      <w:r>
        <w:rPr>
          <w:rFonts w:hint="eastAsia"/>
          <w:highlight w:val="none"/>
        </w:rPr>
        <w:t>项目名称：</w:t>
      </w:r>
      <w:r>
        <w:rPr>
          <w:rFonts w:hint="eastAsia"/>
          <w:highlight w:val="none"/>
          <w:lang w:val="en-US" w:eastAsia="zh-CN"/>
        </w:rPr>
        <w:t>济南车桥公司主减总成产能提升技改项目</w:t>
      </w:r>
    </w:p>
    <w:p w14:paraId="15020D03">
      <w:pPr>
        <w:pStyle w:val="73"/>
        <w:rPr>
          <w:rFonts w:hint="eastAsia"/>
        </w:rPr>
      </w:pPr>
      <w:r>
        <w:rPr>
          <w:rFonts w:hint="eastAsia"/>
        </w:rPr>
        <w:t>项目编号：FSCZB2025120085</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highlight w:val="none"/>
          <w:lang w:val="en-US" w:eastAsia="zh-CN"/>
        </w:rPr>
        <w:t>项目概况</w:t>
      </w:r>
      <w:r>
        <w:rPr>
          <w:rFonts w:hint="eastAsia"/>
        </w:rPr>
        <w:t>：</w:t>
      </w:r>
    </w:p>
    <w:p w14:paraId="22A72F07">
      <w:pPr>
        <w:pStyle w:val="73"/>
        <w:numPr>
          <w:ilvl w:val="0"/>
          <w:numId w:val="0"/>
        </w:numPr>
        <w:ind w:left="710" w:leftChars="0"/>
        <w:rPr>
          <w:rFonts w:hint="eastAsia"/>
          <w:b w:val="0"/>
          <w:bCs/>
        </w:rPr>
      </w:pPr>
      <w:r>
        <w:rPr>
          <w:rFonts w:hint="eastAsia"/>
          <w:b w:val="0"/>
          <w:bCs/>
        </w:rPr>
        <w:t>新建一条主减总成装配生产线，提升主减产能，兼容MCY11/MCY12/MCY13/MCP16/MCX16/MCY12ZGQ等系列产品。</w:t>
      </w:r>
    </w:p>
    <w:p w14:paraId="4EC58B63">
      <w:pPr>
        <w:pStyle w:val="73"/>
        <w:numPr>
          <w:ilvl w:val="0"/>
          <w:numId w:val="0"/>
        </w:numPr>
        <w:ind w:left="710" w:leftChars="0"/>
        <w:rPr>
          <w:rFonts w:hint="default"/>
          <w:lang w:val="en-US"/>
        </w:rPr>
      </w:pPr>
      <w:r>
        <w:rPr>
          <w:rFonts w:hint="eastAsia"/>
        </w:rPr>
        <w:t>招标形式：</w:t>
      </w:r>
      <w:r>
        <w:rPr>
          <w:rFonts w:hint="eastAsia"/>
          <w:b w:val="0"/>
          <w:bCs/>
          <w:highlight w:val="none"/>
          <w:lang w:val="en-US" w:eastAsia="zh-CN"/>
        </w:rPr>
        <w:t>公开招标</w:t>
      </w:r>
    </w:p>
    <w:p w14:paraId="0B813421">
      <w:pPr>
        <w:pStyle w:val="72"/>
        <w:rPr>
          <w:highlight w:val="none"/>
        </w:rPr>
      </w:pPr>
      <w:bookmarkStart w:id="4" w:name="_Toc47976590"/>
      <w:r>
        <w:rPr>
          <w:rFonts w:hint="eastAsia"/>
          <w:highlight w:val="none"/>
        </w:rPr>
        <w:t>投标人资格要求</w:t>
      </w:r>
      <w:bookmarkEnd w:id="4"/>
    </w:p>
    <w:p w14:paraId="41703A27">
      <w:pPr>
        <w:pStyle w:val="73"/>
        <w:numPr>
          <w:ilvl w:val="0"/>
          <w:numId w:val="10"/>
        </w:numPr>
        <w:bidi w:val="0"/>
        <w:rPr>
          <w:rFonts w:hint="eastAsia"/>
          <w:highlight w:val="none"/>
          <w:lang w:val="en-US" w:eastAsia="zh-CN"/>
        </w:rPr>
      </w:pPr>
      <w:r>
        <w:rPr>
          <w:rFonts w:hint="eastAsia"/>
          <w:highlight w:val="none"/>
          <w:lang w:val="en-US" w:eastAsia="zh-CN"/>
        </w:rPr>
        <w:t>应标报名投标人条件</w:t>
      </w:r>
    </w:p>
    <w:p w14:paraId="0D94FF4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w:t>
      </w:r>
      <w:r>
        <w:rPr>
          <w:rFonts w:hint="eastAsia" w:hAnsi="宋体" w:eastAsia="宋体" w:cs="宋体"/>
          <w:color w:val="000000"/>
          <w:sz w:val="24"/>
          <w:szCs w:val="24"/>
          <w:lang w:val="en-US" w:eastAsia="zh-CN"/>
        </w:rPr>
        <w:t>300</w:t>
      </w:r>
      <w:r>
        <w:rPr>
          <w:rFonts w:hint="eastAsia" w:hAnsi="宋体" w:eastAsia="宋体" w:cs="宋体"/>
          <w:color w:val="000000"/>
          <w:sz w:val="24"/>
          <w:szCs w:val="24"/>
        </w:rPr>
        <w:t>万人民币（或等值其他货币）；公司成立三年以上（以营业执照成立日期到开标当日满三年为准），且经营范围满足招标人需求；并在人员、设备、资金等方面具有承担本项目的能力；</w:t>
      </w:r>
    </w:p>
    <w:p w14:paraId="2D6DBC3C">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13A921C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4D624678">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14:paraId="211A4731">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6F1517A2">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4296F39E">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14:paraId="1C533757">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6299A32C">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28A9106F">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14:paraId="03006C63">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11.拟投标人信用证明材料（征信中心出具的信用报告）未显示异常；</w:t>
      </w:r>
    </w:p>
    <w:p w14:paraId="37884D5D">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463DEB12">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13.</w:t>
      </w:r>
      <w:r>
        <w:rPr>
          <w:rFonts w:hint="eastAsia" w:hAnsi="宋体" w:eastAsia="宋体" w:cs="宋体"/>
          <w:color w:val="000000"/>
          <w:kern w:val="2"/>
          <w:sz w:val="24"/>
          <w:szCs w:val="24"/>
          <w:highlight w:val="none"/>
          <w:lang w:val="en-US" w:eastAsia="zh-CN" w:bidi="ar-SA"/>
        </w:rPr>
        <w:t>投标单位需为设备制造单位</w:t>
      </w:r>
      <w:r>
        <w:rPr>
          <w:rFonts w:hint="eastAsia" w:hAnsi="宋体" w:eastAsia="宋体" w:cs="宋体"/>
          <w:color w:val="000000"/>
          <w:sz w:val="24"/>
          <w:szCs w:val="24"/>
        </w:rPr>
        <w:t>；</w:t>
      </w:r>
    </w:p>
    <w:p w14:paraId="0B8BB9E5">
      <w:pPr>
        <w:pStyle w:val="14"/>
        <w:ind w:firstLine="480" w:firstLineChars="200"/>
        <w:rPr>
          <w:rFonts w:hint="default" w:hAnsi="宋体" w:eastAsia="宋体" w:cs="宋体"/>
          <w:color w:val="000000"/>
          <w:sz w:val="24"/>
          <w:szCs w:val="24"/>
          <w:lang w:val="en-US" w:eastAsia="zh-CN"/>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r>
        <w:rPr>
          <w:rFonts w:hint="eastAsia" w:hAnsi="宋体" w:cs="宋体"/>
          <w:color w:val="000000"/>
          <w:sz w:val="24"/>
          <w:szCs w:val="24"/>
          <w:lang w:val="en-US" w:eastAsia="zh-CN"/>
        </w:rPr>
        <w:t>且不允许代理商投标。</w:t>
      </w:r>
    </w:p>
    <w:p w14:paraId="27D6442B">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14:paraId="1724ABEB">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1AE2F7A8">
      <w:pPr>
        <w:pStyle w:val="73"/>
        <w:numPr>
          <w:ilvl w:val="0"/>
          <w:numId w:val="0"/>
        </w:numPr>
        <w:bidi w:val="0"/>
        <w:ind w:left="710" w:leftChars="0"/>
        <w:rPr>
          <w:rFonts w:hint="eastAsia"/>
          <w:b w:val="0"/>
          <w:bCs/>
          <w:sz w:val="20"/>
          <w:szCs w:val="18"/>
          <w:highlight w:val="none"/>
          <w:lang w:val="en-US" w:eastAsia="zh-CN"/>
        </w:rPr>
      </w:pPr>
    </w:p>
    <w:p w14:paraId="76B97D53">
      <w:pPr>
        <w:pStyle w:val="72"/>
        <w:rPr>
          <w:highlight w:val="none"/>
        </w:rPr>
      </w:pPr>
      <w:bookmarkStart w:id="5" w:name="_Toc47976591"/>
      <w:r>
        <w:rPr>
          <w:rFonts w:hint="eastAsia"/>
          <w:highlight w:val="none"/>
        </w:rPr>
        <w:t>报名及招标文件的获取</w:t>
      </w:r>
      <w:bookmarkEnd w:id="5"/>
    </w:p>
    <w:p w14:paraId="485CA7D6">
      <w:pPr>
        <w:pStyle w:val="73"/>
        <w:numPr>
          <w:ilvl w:val="0"/>
          <w:numId w:val="11"/>
        </w:numPr>
        <w:bidi w:val="0"/>
        <w:rPr>
          <w:rFonts w:hint="eastAsia"/>
          <w:lang w:val="en-US" w:eastAsia="zh-CN"/>
        </w:rPr>
      </w:pPr>
      <w:r>
        <w:rPr>
          <w:rFonts w:hint="eastAsia"/>
          <w:lang w:val="en-US" w:eastAsia="zh-CN"/>
        </w:rPr>
        <w:t>应标报名截止时间：</w:t>
      </w:r>
      <w:r>
        <w:rPr>
          <w:rFonts w:hint="eastAsia"/>
          <w:highlight w:val="cyan"/>
          <w:lang w:val="en-US" w:eastAsia="zh-CN"/>
        </w:rPr>
        <w:t>2025年  12 月  20日17点</w:t>
      </w:r>
    </w:p>
    <w:p w14:paraId="40DCF92F">
      <w:pPr>
        <w:pStyle w:val="73"/>
        <w:bidi w:val="0"/>
        <w:rPr>
          <w:rFonts w:hint="eastAsia"/>
          <w:highlight w:val="none"/>
          <w:lang w:val="en-US" w:eastAsia="zh-CN"/>
        </w:rPr>
      </w:pPr>
      <w:r>
        <w:rPr>
          <w:rFonts w:hint="eastAsia"/>
          <w:highlight w:val="none"/>
          <w:lang w:val="en-US" w:eastAsia="zh-CN"/>
        </w:rPr>
        <w:t>招标文件获取方式：投标人应标报名成功后，在中国重汽e采通平台上获取招标文件。</w:t>
      </w:r>
    </w:p>
    <w:p w14:paraId="04DB969B">
      <w:pPr>
        <w:pStyle w:val="73"/>
        <w:bidi w:val="0"/>
        <w:rPr>
          <w:rFonts w:hint="default"/>
          <w:lang w:val="en-US" w:eastAsia="zh-CN"/>
        </w:rPr>
      </w:pPr>
      <w:r>
        <w:rPr>
          <w:rFonts w:hint="eastAsia"/>
          <w:lang w:val="en-US" w:eastAsia="zh-CN"/>
        </w:rPr>
        <w:t>报名方式：拟投标人根据招标人在中国重汽官网等公开媒体上发布的招标信息，在“中国重汽e采通”平台报名。按照中国重汽e采通“SRM非生产供应商注册手册”</w:t>
      </w:r>
      <w:r>
        <w:rPr>
          <w:rFonts w:hint="eastAsia"/>
          <w:highlight w:val="none"/>
          <w:lang w:val="en-US" w:eastAsia="zh-CN"/>
        </w:rPr>
        <w:t>（附件）</w:t>
      </w:r>
      <w:r>
        <w:rPr>
          <w:rFonts w:hint="eastAsia"/>
          <w:lang w:val="en-US" w:eastAsia="zh-CN"/>
        </w:rPr>
        <w:t>进行注册，注册完毕后按照“SRM系统供应商用户手册”</w:t>
      </w:r>
      <w:r>
        <w:rPr>
          <w:rFonts w:hint="eastAsia"/>
          <w:highlight w:val="none"/>
          <w:lang w:val="en-US" w:eastAsia="zh-CN"/>
        </w:rPr>
        <w:t>（附件）</w:t>
      </w:r>
      <w:r>
        <w:rPr>
          <w:rFonts w:hint="eastAsia"/>
          <w:lang w:val="en-US" w:eastAsia="zh-CN"/>
        </w:rPr>
        <w:t>，登录重汽e采通平台后进入“供应商应标”，选择对应的项目，点击“应标”后按照招标公告中“投标人资格要求-资质文件”中的</w:t>
      </w:r>
      <w:r>
        <w:rPr>
          <w:rFonts w:hint="eastAsia"/>
          <w:highlight w:val="none"/>
          <w:lang w:val="en-US" w:eastAsia="zh-CN"/>
        </w:rPr>
        <w:t>2.1-2.6</w:t>
      </w:r>
      <w:r>
        <w:rPr>
          <w:rFonts w:hint="eastAsia"/>
          <w:lang w:val="en-US" w:eastAsia="zh-CN"/>
        </w:rPr>
        <w:t>准备资料并上传，资质审查通过即为报名成功；公示期间请尽快报名。</w:t>
      </w:r>
    </w:p>
    <w:p w14:paraId="4713B400">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eastAsia="宋体"/>
          <w:lang w:val="en-US" w:eastAsia="zh-CN"/>
        </w:rPr>
      </w:pPr>
      <w:r>
        <w:rPr>
          <w:rFonts w:hint="eastAsia"/>
          <w:b/>
          <w:bCs/>
          <w:lang w:val="en-US" w:eastAsia="zh-CN"/>
        </w:rPr>
        <w:t>注：请务必在应标截止时间前完成注册、</w:t>
      </w:r>
      <w:r>
        <w:rPr>
          <w:rFonts w:hint="eastAsia"/>
          <w:b/>
          <w:bCs/>
          <w:highlight w:val="yellow"/>
        </w:rPr>
        <w:t>E采通系统近三年财务数据信息更新</w:t>
      </w:r>
      <w:r>
        <w:rPr>
          <w:rFonts w:hint="eastAsia"/>
          <w:b/>
          <w:bCs/>
          <w:lang w:val="en-US" w:eastAsia="zh-CN"/>
        </w:rPr>
        <w:t>及应标操作，注册审核需2-4日，应标截止时间精确到秒，逾期将无法应标。请自行掌握时间，避免无法应标。</w:t>
      </w:r>
      <w:r>
        <w:rPr>
          <w:rFonts w:hint="eastAsia"/>
          <w:b/>
          <w:bCs/>
          <w:highlight w:val="yellow"/>
        </w:rPr>
        <w:t>E采通系统近三年财务数据信息更新</w:t>
      </w:r>
      <w:r>
        <w:rPr>
          <w:rFonts w:hint="eastAsia"/>
          <w:b/>
          <w:bCs/>
          <w:highlight w:val="yellow"/>
          <w:lang w:val="en-US" w:eastAsia="zh-CN"/>
        </w:rPr>
        <w:t>步骤：重汽e采通-供应商中心-供应商财务数据变更管理-发起变更。</w:t>
      </w:r>
    </w:p>
    <w:p w14:paraId="4509C0DA">
      <w:pPr>
        <w:pStyle w:val="72"/>
        <w:rPr>
          <w:highlight w:val="none"/>
        </w:rPr>
      </w:pPr>
      <w:bookmarkStart w:id="6" w:name="_Toc47976592"/>
      <w:r>
        <w:rPr>
          <w:rFonts w:hint="eastAsia"/>
          <w:highlight w:val="none"/>
        </w:rPr>
        <w:t>投标文件的递交</w:t>
      </w:r>
      <w:bookmarkEnd w:id="6"/>
    </w:p>
    <w:p w14:paraId="7FBD455B">
      <w:pPr>
        <w:pStyle w:val="73"/>
        <w:numPr>
          <w:ilvl w:val="0"/>
          <w:numId w:val="12"/>
        </w:numPr>
        <w:bidi w:val="0"/>
        <w:rPr>
          <w:rFonts w:hint="eastAsia"/>
          <w:lang w:val="en-US" w:eastAsia="zh-CN"/>
        </w:rPr>
      </w:pPr>
      <w:r>
        <w:rPr>
          <w:rFonts w:hint="eastAsia"/>
          <w:lang w:val="en-US" w:eastAsia="zh-CN"/>
        </w:rPr>
        <w:t>投标截止时间：</w:t>
      </w:r>
      <w:r>
        <w:rPr>
          <w:rFonts w:hint="eastAsia"/>
          <w:highlight w:val="cyan"/>
          <w:lang w:val="en-US" w:eastAsia="zh-CN"/>
        </w:rPr>
        <w:t xml:space="preserve">2025年 12 月  26日 9点   </w:t>
      </w:r>
    </w:p>
    <w:p w14:paraId="0BAC6D46">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val="0"/>
          <w:bCs w:val="0"/>
          <w:lang w:val="en-US" w:eastAsia="zh-CN"/>
        </w:rPr>
      </w:pPr>
      <w:r>
        <w:rPr>
          <w:rFonts w:hint="default"/>
          <w:b w:val="0"/>
          <w:bCs w:val="0"/>
          <w:lang w:val="en-US" w:eastAsia="zh-CN"/>
        </w:rPr>
        <w:t>注：请务必在投标文件递交截止时间前完成投标操作，截止时间精确到秒，逾期将无法投标。请自行掌握时间，避免无法投标。</w:t>
      </w:r>
    </w:p>
    <w:p w14:paraId="787E4E9B">
      <w:pPr>
        <w:pStyle w:val="73"/>
        <w:bidi w:val="0"/>
        <w:rPr>
          <w:rFonts w:hint="eastAsia"/>
          <w:b w:val="0"/>
          <w:bCs/>
          <w:lang w:val="en-US" w:eastAsia="zh-CN"/>
        </w:rPr>
      </w:pPr>
      <w:r>
        <w:rPr>
          <w:rFonts w:hint="eastAsia"/>
          <w:b w:val="0"/>
          <w:bCs w:val="0"/>
          <w:lang w:val="en-US" w:eastAsia="zh-CN"/>
        </w:rPr>
        <w:t>投标文件的组成：项目投标文件为电子版投标文件（电子版为纸质盖章版的扫</w:t>
      </w:r>
      <w:r>
        <w:rPr>
          <w:rFonts w:hint="eastAsia"/>
          <w:b w:val="0"/>
          <w:bCs/>
          <w:lang w:val="en-US" w:eastAsia="zh-CN"/>
        </w:rPr>
        <w:t>描件或加盖电子章，不盖章无效），由</w:t>
      </w:r>
      <w:r>
        <w:rPr>
          <w:rFonts w:hint="eastAsia"/>
          <w:b w:val="0"/>
          <w:bCs/>
          <w:highlight w:val="none"/>
          <w:lang w:val="en-US" w:eastAsia="zh-CN"/>
        </w:rPr>
        <w:t>《投标文件（资质标）》、《投标文件（商务标）》（开标一览表）文</w:t>
      </w:r>
      <w:r>
        <w:rPr>
          <w:rFonts w:hint="eastAsia"/>
          <w:b w:val="0"/>
          <w:bCs/>
          <w:lang w:val="en-US" w:eastAsia="zh-CN"/>
        </w:rPr>
        <w:t>件组成，共计3个文件。</w:t>
      </w:r>
    </w:p>
    <w:p w14:paraId="47E1313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val="0"/>
          <w:bCs/>
          <w:highlight w:val="none"/>
          <w:lang w:val="en-US" w:eastAsia="zh-CN"/>
        </w:rPr>
      </w:pPr>
      <w:r>
        <w:rPr>
          <w:rFonts w:hint="default"/>
          <w:b w:val="0"/>
          <w:bCs/>
          <w:highlight w:val="none"/>
          <w:lang w:val="en-US" w:eastAsia="zh-CN"/>
        </w:rPr>
        <w:t>《投标文件（资质标）》一个文件（里面是全部资质投标书），《投标文件（商务标）》（开标一览表）一个文件（里面是全部商务投标书），具体组成等详细要求见招标文件“第一部分投标人须知-投标说明-投标文件的组成”。</w:t>
      </w:r>
    </w:p>
    <w:p w14:paraId="763F14A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val="0"/>
          <w:bCs/>
          <w:lang w:val="en-US" w:eastAsia="zh-CN"/>
        </w:rPr>
      </w:pPr>
      <w:r>
        <w:rPr>
          <w:rFonts w:hint="default"/>
          <w:b w:val="0"/>
          <w:bCs/>
          <w:lang w:val="en-US" w:eastAsia="zh-CN"/>
        </w:rPr>
        <w:t>注意不按此要求提供投标文件的，投标文件做无效标处理。以中国重汽e采通系统提交的材料为准。</w:t>
      </w:r>
    </w:p>
    <w:p w14:paraId="4B64074D">
      <w:pPr>
        <w:pStyle w:val="73"/>
        <w:bidi w:val="0"/>
        <w:rPr>
          <w:rFonts w:hint="default"/>
          <w:b w:val="0"/>
          <w:bCs/>
          <w:lang w:val="en-US" w:eastAsia="zh-CN"/>
        </w:rPr>
      </w:pPr>
      <w:r>
        <w:rPr>
          <w:rFonts w:hint="eastAsia"/>
          <w:b w:val="0"/>
          <w:bCs/>
          <w:lang w:val="en-US" w:eastAsia="zh-CN"/>
        </w:rPr>
        <w:t>投标方式：在中国重汽e采通平台应标成功后，进入“供应商投标”环节，投递盖章扫描版电子</w:t>
      </w:r>
      <w:r>
        <w:rPr>
          <w:rFonts w:hint="eastAsia"/>
          <w:b w:val="0"/>
          <w:bCs/>
          <w:highlight w:val="none"/>
          <w:lang w:val="en-US" w:eastAsia="zh-CN"/>
        </w:rPr>
        <w:t>标书（包含资质标书、商务标书）</w:t>
      </w:r>
      <w:r>
        <w:rPr>
          <w:rFonts w:hint="eastAsia"/>
          <w:b w:val="0"/>
          <w:bCs/>
          <w:lang w:val="en-US" w:eastAsia="zh-CN"/>
        </w:rPr>
        <w:t>，若逾期未在中国重汽e采通平台上传电子标书，一律视为无效投标。</w:t>
      </w:r>
    </w:p>
    <w:p w14:paraId="27B65ABD">
      <w:pPr>
        <w:pStyle w:val="72"/>
        <w:rPr>
          <w:highlight w:val="none"/>
        </w:rPr>
      </w:pPr>
      <w:r>
        <w:rPr>
          <w:rFonts w:hint="eastAsia"/>
          <w:highlight w:val="none"/>
          <w:lang w:val="en-US" w:eastAsia="zh-CN"/>
        </w:rPr>
        <w:t>开标时间和地点</w:t>
      </w:r>
    </w:p>
    <w:p w14:paraId="114306E8">
      <w:pPr>
        <w:pStyle w:val="73"/>
        <w:numPr>
          <w:ilvl w:val="0"/>
          <w:numId w:val="13"/>
        </w:numPr>
        <w:bidi w:val="0"/>
        <w:rPr>
          <w:rFonts w:hint="default"/>
          <w:highlight w:val="cyan"/>
          <w:lang w:val="en-US" w:eastAsia="zh-CN"/>
        </w:rPr>
      </w:pPr>
      <w:r>
        <w:rPr>
          <w:rFonts w:hint="eastAsia"/>
          <w:highlight w:val="cyan"/>
          <w:lang w:val="en-US" w:eastAsia="zh-CN"/>
        </w:rPr>
        <w:t xml:space="preserve">开标时间：2025年 12 月  26日  9点  </w:t>
      </w:r>
    </w:p>
    <w:p w14:paraId="1EEA171A">
      <w:pPr>
        <w:pStyle w:val="73"/>
        <w:bidi w:val="0"/>
        <w:rPr>
          <w:rFonts w:hint="default"/>
          <w:highlight w:val="none"/>
          <w:lang w:val="en-US" w:eastAsia="zh-CN"/>
        </w:rPr>
      </w:pPr>
      <w:r>
        <w:rPr>
          <w:rFonts w:hint="eastAsia"/>
          <w:highlight w:val="none"/>
          <w:lang w:val="en-US" w:eastAsia="zh-CN"/>
        </w:rPr>
        <w:t>开标地点：线上</w:t>
      </w:r>
    </w:p>
    <w:p w14:paraId="22385406">
      <w:pPr>
        <w:pStyle w:val="72"/>
      </w:pPr>
      <w:bookmarkStart w:id="7" w:name="_Toc47976593"/>
      <w:r>
        <w:rPr>
          <w:rFonts w:hint="eastAsia"/>
        </w:rPr>
        <w:t>招标公告发布媒介</w:t>
      </w:r>
      <w:bookmarkEnd w:id="7"/>
    </w:p>
    <w:p w14:paraId="15C5933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b/>
          <w:bCs/>
        </w:rPr>
      </w:pPr>
      <w:r>
        <w:rPr>
          <w:rFonts w:hint="eastAsia"/>
          <w:b/>
          <w:bCs/>
        </w:rPr>
        <w:t>本次招标公告同时在</w:t>
      </w:r>
      <w:r>
        <w:rPr>
          <w:rFonts w:hint="eastAsia"/>
          <w:b/>
          <w:bCs/>
          <w:highlight w:val="none"/>
        </w:rPr>
        <w:t>中国重汽官网</w:t>
      </w:r>
      <w:r>
        <w:rPr>
          <w:rFonts w:hint="eastAsia"/>
          <w:b/>
          <w:bCs/>
        </w:rPr>
        <w:t>等公开媒体上发布。</w:t>
      </w:r>
    </w:p>
    <w:p w14:paraId="65FC2213">
      <w:pPr>
        <w:pStyle w:val="72"/>
        <w:rPr>
          <w:highlight w:val="none"/>
        </w:rPr>
      </w:pPr>
      <w:bookmarkStart w:id="8" w:name="_Toc47976594"/>
      <w:r>
        <w:rPr>
          <w:rFonts w:hint="eastAsia"/>
          <w:highlight w:val="none"/>
        </w:rPr>
        <w:t>联系方式</w:t>
      </w:r>
      <w:bookmarkEnd w:id="8"/>
    </w:p>
    <w:p w14:paraId="6C22F13D">
      <w:pPr>
        <w:pStyle w:val="73"/>
        <w:numPr>
          <w:ilvl w:val="0"/>
          <w:numId w:val="14"/>
        </w:numPr>
        <w:rPr>
          <w:rFonts w:hint="default"/>
          <w:lang w:val="en-US" w:eastAsia="zh-CN"/>
        </w:rPr>
      </w:pPr>
      <w:r>
        <w:rPr>
          <w:rFonts w:hint="eastAsia"/>
          <w:lang w:val="en-US" w:eastAsia="zh-CN"/>
        </w:rPr>
        <w:t>技术联系人：</w:t>
      </w:r>
      <w:r>
        <w:rPr>
          <w:rFonts w:ascii="宋体" w:hAnsi="宋体" w:eastAsia="宋体" w:cs="宋体"/>
          <w:sz w:val="24"/>
          <w:szCs w:val="24"/>
        </w:rPr>
        <w:t>王宏宇 17853167811</w:t>
      </w:r>
      <w:r>
        <w:rPr>
          <w:rFonts w:hint="eastAsia" w:ascii="宋体" w:hAnsi="宋体" w:eastAsia="宋体" w:cs="宋体"/>
          <w:sz w:val="24"/>
          <w:szCs w:val="24"/>
          <w:lang w:eastAsia="zh-CN"/>
        </w:rPr>
        <w:t>，</w:t>
      </w:r>
      <w:r>
        <w:rPr>
          <w:rFonts w:ascii="Helvetica" w:hAnsi="Helvetica" w:eastAsia="Helvetica" w:cs="Helvetica"/>
          <w:i w:val="0"/>
          <w:iCs w:val="0"/>
          <w:caps w:val="0"/>
          <w:color w:val="111111"/>
          <w:spacing w:val="0"/>
          <w:sz w:val="20"/>
          <w:szCs w:val="20"/>
          <w:shd w:val="clear" w:fill="F6F7F8"/>
        </w:rPr>
        <w:t>李月兵</w:t>
      </w:r>
      <w:r>
        <w:rPr>
          <w:rFonts w:hint="eastAsia"/>
          <w:lang w:val="en-US" w:eastAsia="zh-CN"/>
        </w:rPr>
        <w:t>/</w:t>
      </w:r>
      <w:r>
        <w:rPr>
          <w:rFonts w:hint="eastAsia"/>
        </w:rPr>
        <w:t>17860602093</w:t>
      </w:r>
      <w:r>
        <w:rPr>
          <w:rFonts w:hint="eastAsia"/>
          <w:lang w:val="en-US" w:eastAsia="zh-CN"/>
        </w:rPr>
        <w:t xml:space="preserve">     </w:t>
      </w:r>
    </w:p>
    <w:p w14:paraId="3A8424F3">
      <w:pPr>
        <w:pStyle w:val="73"/>
        <w:numPr>
          <w:ilvl w:val="0"/>
          <w:numId w:val="14"/>
        </w:numPr>
        <w:rPr>
          <w:rFonts w:hint="default"/>
          <w:lang w:val="en-US" w:eastAsia="zh-CN"/>
        </w:rPr>
      </w:pPr>
      <w:r>
        <w:rPr>
          <w:rFonts w:hint="eastAsia"/>
          <w:lang w:val="en-US" w:eastAsia="zh-CN"/>
        </w:rPr>
        <w:t xml:space="preserve">商务联系人： 李帅威/17860605079 </w:t>
      </w:r>
    </w:p>
    <w:p w14:paraId="5F538BD8">
      <w:pPr>
        <w:pStyle w:val="76"/>
      </w:pPr>
    </w:p>
    <w:p w14:paraId="04C96706">
      <w:pPr>
        <w:pStyle w:val="76"/>
      </w:pPr>
    </w:p>
    <w:p w14:paraId="3D820EEC">
      <w:pPr>
        <w:pStyle w:val="71"/>
      </w:pPr>
      <w:bookmarkStart w:id="9" w:name="_Toc7753"/>
      <w:bookmarkStart w:id="10" w:name="_Toc47976595"/>
      <w:r>
        <w:rPr>
          <w:rFonts w:hint="eastAsia"/>
        </w:rPr>
        <w:t>第一部分  投标人须知</w:t>
      </w:r>
      <w:bookmarkEnd w:id="9"/>
      <w:bookmarkEnd w:id="10"/>
    </w:p>
    <w:p w14:paraId="418340FC">
      <w:pPr>
        <w:pStyle w:val="72"/>
        <w:numPr>
          <w:ilvl w:val="0"/>
          <w:numId w:val="15"/>
        </w:numPr>
        <w:ind w:left="420"/>
        <w:jc w:val="left"/>
      </w:pPr>
      <w:bookmarkStart w:id="11" w:name="_Toc47976596"/>
      <w:r>
        <w:rPr>
          <w:rFonts w:hint="eastAsia"/>
        </w:rPr>
        <w:t>项目介绍</w:t>
      </w:r>
      <w:bookmarkEnd w:id="11"/>
    </w:p>
    <w:p w14:paraId="6360E7CD">
      <w:pPr>
        <w:pStyle w:val="76"/>
        <w:numPr>
          <w:ilvl w:val="0"/>
          <w:numId w:val="16"/>
        </w:numPr>
        <w:ind w:left="425" w:leftChars="0" w:hanging="425" w:firstLineChars="0"/>
        <w:rPr>
          <w:highlight w:val="none"/>
        </w:rPr>
      </w:pPr>
      <w:r>
        <w:rPr>
          <w:rFonts w:hint="eastAsia"/>
        </w:rPr>
        <w:t>项目名</w:t>
      </w:r>
      <w:r>
        <w:rPr>
          <w:rFonts w:hint="eastAsia"/>
          <w:highlight w:val="none"/>
        </w:rPr>
        <w:t>称：</w:t>
      </w:r>
      <w:r>
        <w:rPr>
          <w:rFonts w:hint="eastAsia"/>
          <w:highlight w:val="none"/>
          <w:lang w:val="en-US" w:eastAsia="zh-CN"/>
        </w:rPr>
        <w:t>济南车桥公司主减总成产能提升技改项目</w:t>
      </w:r>
    </w:p>
    <w:p w14:paraId="0BD015D9">
      <w:pPr>
        <w:pStyle w:val="76"/>
        <w:numPr>
          <w:ilvl w:val="0"/>
          <w:numId w:val="16"/>
        </w:numPr>
        <w:ind w:left="425" w:leftChars="0" w:hanging="425" w:firstLineChars="0"/>
        <w:rPr>
          <w:highlight w:val="none"/>
        </w:rPr>
      </w:pPr>
      <w:r>
        <w:rPr>
          <w:rFonts w:hint="eastAsia"/>
          <w:highlight w:val="none"/>
        </w:rPr>
        <w:t>项目编号：FSCZB2025120085</w:t>
      </w:r>
    </w:p>
    <w:p w14:paraId="68D05288">
      <w:pPr>
        <w:pStyle w:val="76"/>
        <w:numPr>
          <w:ilvl w:val="0"/>
          <w:numId w:val="0"/>
        </w:numPr>
        <w:ind w:leftChars="0"/>
        <w:rPr>
          <w:rFonts w:hint="eastAsia" w:cs="Times New Roman"/>
          <w:b w:val="0"/>
          <w:bCs w:val="0"/>
          <w:color w:val="auto"/>
          <w:highlight w:val="none"/>
          <w:u w:val="none"/>
          <w:lang w:val="en-US" w:eastAsia="zh-CN"/>
        </w:rPr>
      </w:pPr>
      <w:bookmarkStart w:id="12" w:name="_Toc47112482"/>
      <w:r>
        <w:rPr>
          <w:rFonts w:hint="eastAsia" w:cs="Times New Roman"/>
          <w:b w:val="0"/>
          <w:bCs w:val="0"/>
          <w:color w:val="auto"/>
          <w:highlight w:val="none"/>
          <w:u w:val="none"/>
          <w:lang w:val="en-US" w:eastAsia="zh-CN"/>
        </w:rPr>
        <w:t>（3</w:t>
      </w:r>
      <w:r>
        <w:rPr>
          <w:rFonts w:hint="eastAsia" w:cs="Times New Roman"/>
          <w:b w:val="0"/>
          <w:bCs w:val="0"/>
          <w:color w:val="auto"/>
          <w:highlight w:val="yellow"/>
          <w:u w:val="none"/>
          <w:lang w:val="en-US" w:eastAsia="zh-CN"/>
        </w:rPr>
        <w:t>）投标限价：人民币</w:t>
      </w:r>
      <w:r>
        <w:rPr>
          <w:rFonts w:hint="eastAsia"/>
          <w:b/>
          <w:bCs/>
          <w:highlight w:val="yellow"/>
          <w:u w:val="single"/>
          <w:lang w:val="en-US" w:eastAsia="zh-CN"/>
        </w:rPr>
        <w:t>270万</w:t>
      </w:r>
      <w:r>
        <w:rPr>
          <w:rFonts w:hint="eastAsia" w:cs="Times New Roman"/>
          <w:b w:val="0"/>
          <w:bCs w:val="0"/>
          <w:color w:val="auto"/>
          <w:highlight w:val="yellow"/>
          <w:u w:val="none"/>
          <w:lang w:val="en-US" w:eastAsia="zh-CN"/>
        </w:rPr>
        <w:t>（含税），税率;13%，超过投标限价无法投标。</w:t>
      </w:r>
    </w:p>
    <w:p w14:paraId="1CCE0EA0">
      <w:pPr>
        <w:pStyle w:val="76"/>
        <w:numPr>
          <w:ilvl w:val="0"/>
          <w:numId w:val="16"/>
        </w:numPr>
      </w:pPr>
      <w:r>
        <w:t>技术规范及服务</w:t>
      </w:r>
    </w:p>
    <w:p w14:paraId="2FE1EA7F">
      <w:pPr>
        <w:pStyle w:val="76"/>
      </w:pPr>
      <w:r>
        <w:rPr>
          <w:rFonts w:hint="eastAsia"/>
        </w:rPr>
        <w:t>（1）</w:t>
      </w:r>
      <w:r>
        <w:t>投标人应与招标人指派的答疑人员充分沟通，理解认可并接受相关技术规范及服务要求；</w:t>
      </w:r>
    </w:p>
    <w:p w14:paraId="4FC9E250">
      <w:pPr>
        <w:pStyle w:val="76"/>
        <w:rPr>
          <w:rFonts w:hint="default" w:cs="Times New Roman"/>
          <w:b w:val="0"/>
          <w:bCs w:val="0"/>
          <w:color w:val="auto"/>
          <w:highlight w:val="none"/>
          <w:u w:val="none"/>
          <w:lang w:val="en-US" w:eastAsia="zh-CN"/>
        </w:rPr>
      </w:pPr>
      <w:r>
        <w:rPr>
          <w:rFonts w:hint="eastAsia"/>
        </w:rPr>
        <w:t>（2）</w:t>
      </w:r>
      <w:r>
        <w:t>投标人可免费提供的、包含但不限于招标人所要求的其他相关服务内容，按本招标书“第二</w:t>
      </w:r>
      <w:r>
        <w:rPr>
          <w:rFonts w:hint="eastAsia"/>
        </w:rPr>
        <w:t>部分</w:t>
      </w:r>
      <w:r>
        <w:t xml:space="preserve"> 投标文件编制”要求，在其“开标一览表”中一并说明。</w:t>
      </w:r>
    </w:p>
    <w:bookmarkEnd w:id="12"/>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报名</w:t>
      </w:r>
    </w:p>
    <w:p w14:paraId="09A92690">
      <w:pPr>
        <w:pStyle w:val="76"/>
        <w:numPr>
          <w:ilvl w:val="0"/>
          <w:numId w:val="17"/>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cyan"/>
          <w:u w:val="single"/>
          <w:lang w:val="en-US" w:eastAsia="zh-CN"/>
        </w:rPr>
        <w:t>20</w:t>
      </w:r>
      <w:r>
        <w:rPr>
          <w:rFonts w:hint="eastAsia" w:cs="Times New Roman"/>
          <w:highlight w:val="cyan"/>
          <w:u w:val="single"/>
          <w:lang w:val="en-US" w:eastAsia="zh-CN"/>
        </w:rPr>
        <w:t>25</w:t>
      </w:r>
      <w:r>
        <w:rPr>
          <w:rFonts w:hint="eastAsia" w:ascii="宋体" w:hAnsi="Courier New" w:eastAsia="宋体" w:cs="Times New Roman"/>
          <w:highlight w:val="cyan"/>
          <w:u w:val="single"/>
          <w:lang w:val="en-US" w:eastAsia="zh-CN"/>
        </w:rPr>
        <w:t>年</w:t>
      </w:r>
      <w:r>
        <w:rPr>
          <w:rFonts w:hint="eastAsia" w:cs="Times New Roman"/>
          <w:highlight w:val="cyan"/>
          <w:u w:val="single"/>
          <w:lang w:val="en-US" w:eastAsia="zh-CN"/>
        </w:rPr>
        <w:t xml:space="preserve">  12 </w:t>
      </w:r>
      <w:r>
        <w:rPr>
          <w:rFonts w:hint="eastAsia" w:ascii="宋体" w:hAnsi="Courier New" w:eastAsia="宋体" w:cs="Times New Roman"/>
          <w:highlight w:val="cyan"/>
          <w:u w:val="single"/>
          <w:lang w:val="en-US" w:eastAsia="zh-CN"/>
        </w:rPr>
        <w:t>月</w:t>
      </w:r>
      <w:r>
        <w:rPr>
          <w:rFonts w:hint="eastAsia" w:cs="Times New Roman"/>
          <w:highlight w:val="cyan"/>
          <w:u w:val="single"/>
          <w:lang w:val="en-US" w:eastAsia="zh-CN"/>
        </w:rPr>
        <w:t xml:space="preserve">  15</w:t>
      </w:r>
      <w:r>
        <w:rPr>
          <w:rFonts w:hint="eastAsia" w:ascii="宋体" w:hAnsi="Courier New" w:eastAsia="宋体" w:cs="Times New Roman"/>
          <w:highlight w:val="cyan"/>
          <w:u w:val="single"/>
          <w:lang w:val="en-US" w:eastAsia="zh-CN"/>
        </w:rPr>
        <w:t>日</w:t>
      </w:r>
    </w:p>
    <w:p w14:paraId="41FDA27A">
      <w:pPr>
        <w:pStyle w:val="76"/>
        <w:numPr>
          <w:ilvl w:val="0"/>
          <w:numId w:val="17"/>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w:t>
      </w:r>
      <w:r>
        <w:rPr>
          <w:rFonts w:hint="eastAsia" w:cs="Times New Roman"/>
          <w:b/>
          <w:bCs/>
          <w:highlight w:val="none"/>
          <w:lang w:val="en-US" w:eastAsia="zh-CN"/>
        </w:rPr>
        <w:t>投标人应标报名成功后，在中国重汽e采通平台上获取招标文件</w:t>
      </w:r>
      <w:r>
        <w:rPr>
          <w:rFonts w:hint="eastAsia" w:cs="Times New Roman"/>
          <w:highlight w:val="none"/>
          <w:lang w:val="en-US" w:eastAsia="zh-CN"/>
        </w:rPr>
        <w:t>。</w:t>
      </w:r>
    </w:p>
    <w:p w14:paraId="62CB87C4">
      <w:pPr>
        <w:pStyle w:val="76"/>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：电话答疑或将答疑问题以word文件格式发送至联系人邮件内，并电话联系工作人员查收，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9AC1516">
      <w:pPr>
        <w:pStyle w:val="76"/>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keepNext w:val="0"/>
        <w:keepLines w:val="0"/>
        <w:pageBreakBefore w:val="0"/>
        <w:widowControl w:val="0"/>
        <w:numPr>
          <w:ilvl w:val="0"/>
          <w:numId w:val="17"/>
        </w:numPr>
        <w:kinsoku/>
        <w:wordWrap/>
        <w:overflowPunct/>
        <w:topLinePunct w:val="0"/>
        <w:autoSpaceDE/>
        <w:autoSpaceDN/>
        <w:bidi w:val="0"/>
        <w:adjustRightInd/>
        <w:snapToGrid/>
        <w:ind w:left="0" w:firstLine="0"/>
        <w:textAlignment w:val="auto"/>
        <w:rPr>
          <w:rFonts w:hint="eastAsia"/>
          <w:lang w:val="en-US" w:eastAsia="zh-CN"/>
        </w:rPr>
      </w:pPr>
      <w:r>
        <w:rPr>
          <w:rFonts w:hint="eastAsia"/>
          <w:b/>
          <w:bCs/>
          <w:lang w:val="en-US" w:eastAsia="zh-CN"/>
        </w:rPr>
        <w:t>报名方式</w:t>
      </w:r>
      <w:r>
        <w:rPr>
          <w:rFonts w:hint="eastAsia"/>
          <w:lang w:val="en-US" w:eastAsia="zh-CN"/>
        </w:rPr>
        <w:t>：拟投标人根据招标人在中国重汽官网等公开媒体上发布的招标信息，在“中国重汽e采通”平台报名。按照中国重汽e采通“SRM非生产供应商注册手册”</w:t>
      </w:r>
      <w:r>
        <w:rPr>
          <w:rFonts w:hint="eastAsia"/>
          <w:highlight w:val="none"/>
          <w:lang w:val="en-US" w:eastAsia="zh-CN"/>
        </w:rPr>
        <w:t>（附件）</w:t>
      </w:r>
      <w:r>
        <w:rPr>
          <w:rFonts w:hint="eastAsia"/>
          <w:lang w:val="en-US" w:eastAsia="zh-CN"/>
        </w:rPr>
        <w:t>进行注册，注册完毕后按照“SRM系统供应商用户手</w:t>
      </w:r>
      <w:r>
        <w:rPr>
          <w:rFonts w:hint="eastAsia"/>
          <w:highlight w:val="none"/>
          <w:lang w:val="en-US" w:eastAsia="zh-CN"/>
        </w:rPr>
        <w:t>册（附件）</w:t>
      </w:r>
      <w:r>
        <w:rPr>
          <w:rFonts w:hint="eastAsia"/>
          <w:lang w:val="en-US" w:eastAsia="zh-CN"/>
        </w:rPr>
        <w:t>”，登录重汽e采通平台后进入“供应商应标”，选择对应的项目，点击“应标”后按照招标文件</w:t>
      </w:r>
      <w:r>
        <w:rPr>
          <w:rFonts w:hint="eastAsia"/>
          <w:highlight w:val="none"/>
          <w:lang w:val="en-US" w:eastAsia="zh-CN"/>
        </w:rPr>
        <w:t>中“投标说明-投标文件的组成-资质文件”的要求</w:t>
      </w:r>
      <w:r>
        <w:rPr>
          <w:rFonts w:hint="eastAsia"/>
          <w:lang w:val="en-US" w:eastAsia="zh-CN"/>
        </w:rPr>
        <w:t>准备资料，资质审查通过即为报名成功；公示期间请尽快报名，应标报名成功后，</w:t>
      </w:r>
      <w:r>
        <w:rPr>
          <w:rFonts w:hint="eastAsia"/>
          <w:highlight w:val="none"/>
          <w:lang w:val="en-US" w:eastAsia="zh-CN"/>
        </w:rPr>
        <w:t>进入“供应商投标”环节</w:t>
      </w:r>
      <w:r>
        <w:rPr>
          <w:rFonts w:hint="eastAsia"/>
          <w:lang w:val="en-US" w:eastAsia="zh-CN"/>
        </w:rPr>
        <w:t>。</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w:t>
      </w:r>
      <w:r>
        <w:rPr>
          <w:rFonts w:hint="eastAsia" w:cs="Times New Roman"/>
          <w:highlight w:val="none"/>
          <w:lang w:val="en-US" w:eastAsia="zh-CN"/>
        </w:rPr>
        <w:t>说明</w:t>
      </w:r>
    </w:p>
    <w:p w14:paraId="59493963">
      <w:pPr>
        <w:pStyle w:val="73"/>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highlight w:val="none"/>
        </w:rPr>
      </w:pPr>
      <w:r>
        <w:rPr>
          <w:rFonts w:hint="eastAsia"/>
          <w:b w:val="0"/>
          <w:highlight w:val="yellow"/>
          <w:lang w:val="en-US" w:eastAsia="zh-CN"/>
        </w:rPr>
        <w:t>投标文件</w:t>
      </w:r>
      <w:r>
        <w:rPr>
          <w:rFonts w:hint="eastAsia"/>
          <w:b w:val="0"/>
          <w:highlight w:val="none"/>
          <w:lang w:val="en-US" w:eastAsia="zh-CN"/>
        </w:rPr>
        <w:t>的组成</w:t>
      </w:r>
    </w:p>
    <w:p w14:paraId="5EA048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投标人编写的投标文件由《投标文件（资质标）》、《投标文件（商务标）》（开标一览表）文件组成，共计</w:t>
      </w:r>
      <w:r>
        <w:rPr>
          <w:rFonts w:hint="eastAsia"/>
          <w:highlight w:val="none"/>
          <w:u w:val="single"/>
          <w:lang w:val="en-US" w:eastAsia="zh-CN"/>
        </w:rPr>
        <w:t xml:space="preserve"> 3 </w:t>
      </w:r>
      <w:r>
        <w:rPr>
          <w:rFonts w:hint="eastAsia"/>
          <w:lang w:val="en-US" w:eastAsia="zh-CN"/>
        </w:rPr>
        <w:t>个文件。</w:t>
      </w:r>
    </w:p>
    <w:p w14:paraId="2DD7BA97">
      <w:pPr>
        <w:pStyle w:val="74"/>
        <w:numPr>
          <w:ilvl w:val="0"/>
          <w:numId w:val="19"/>
        </w:numPr>
        <w:ind w:left="425" w:leftChars="0" w:hanging="425" w:firstLineChars="0"/>
        <w:rPr>
          <w:b w:val="0"/>
          <w:bCs/>
          <w:highlight w:val="yellow"/>
        </w:rPr>
      </w:pPr>
      <w:r>
        <w:rPr>
          <w:rFonts w:hint="eastAsia"/>
          <w:b w:val="0"/>
          <w:bCs/>
          <w:highlight w:val="yellow"/>
        </w:rPr>
        <w:t>资质文件：</w:t>
      </w:r>
    </w:p>
    <w:p w14:paraId="7B46681B">
      <w:pPr>
        <w:numPr>
          <w:ilvl w:val="0"/>
          <w:numId w:val="20"/>
        </w:numPr>
        <w:spacing w:line="360" w:lineRule="auto"/>
      </w:pPr>
      <w:r>
        <w:rPr>
          <w:rFonts w:hint="eastAsia"/>
        </w:rPr>
        <w:t>法定代表人身份证明；</w:t>
      </w:r>
    </w:p>
    <w:p w14:paraId="4B1F0268">
      <w:pPr>
        <w:numPr>
          <w:ilvl w:val="0"/>
          <w:numId w:val="20"/>
        </w:numPr>
        <w:spacing w:line="360" w:lineRule="auto"/>
      </w:pPr>
      <w:r>
        <w:rPr>
          <w:rFonts w:hint="eastAsia"/>
        </w:rPr>
        <w:t>法人授权委托书及身份证复印件；</w:t>
      </w:r>
    </w:p>
    <w:p w14:paraId="3ABA0783">
      <w:pPr>
        <w:numPr>
          <w:ilvl w:val="0"/>
          <w:numId w:val="20"/>
        </w:numPr>
        <w:spacing w:line="360" w:lineRule="auto"/>
      </w:pPr>
      <w:r>
        <w:rPr>
          <w:rFonts w:hint="eastAsia"/>
        </w:rPr>
        <w:t>营业执照副本复印件；</w:t>
      </w:r>
    </w:p>
    <w:p w14:paraId="6CC7C6A2">
      <w:pPr>
        <w:numPr>
          <w:ilvl w:val="0"/>
          <w:numId w:val="20"/>
        </w:numPr>
        <w:spacing w:line="360" w:lineRule="auto"/>
      </w:pPr>
      <w:r>
        <w:rPr>
          <w:rFonts w:hint="eastAsia"/>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CB0A9AA">
      <w:pPr>
        <w:numPr>
          <w:ilvl w:val="0"/>
          <w:numId w:val="20"/>
        </w:numPr>
        <w:spacing w:line="360" w:lineRule="auto"/>
      </w:pPr>
      <w:r>
        <w:rPr>
          <w:rFonts w:hint="eastAsia"/>
        </w:rPr>
        <w:t>近三年类似项目业绩及合同复印件（加盖公章，须有客户联系方式及联系人以供招标人核实确认）；</w:t>
      </w:r>
    </w:p>
    <w:p w14:paraId="3D124A1C">
      <w:pPr>
        <w:numPr>
          <w:ilvl w:val="0"/>
          <w:numId w:val="20"/>
        </w:numPr>
        <w:spacing w:line="360" w:lineRule="auto"/>
        <w:rPr>
          <w:sz w:val="20"/>
          <w:szCs w:val="18"/>
        </w:rPr>
      </w:pPr>
      <w:r>
        <w:rPr>
          <w:rFonts w:hint="eastAsia" w:ascii="仿宋" w:hAnsi="仿宋" w:eastAsia="仿宋"/>
          <w:sz w:val="24"/>
          <w:szCs w:val="18"/>
          <w:lang w:val="en-US" w:eastAsia="zh-CN"/>
        </w:rPr>
        <w:t>企业最近半年完税证明、信用证明材料（征信报告）；企业对外担保说明（写明贵单位对外有无对外担保和质押业务，需加盖公章）</w:t>
      </w:r>
    </w:p>
    <w:p w14:paraId="7D569186">
      <w:pPr>
        <w:pStyle w:val="2"/>
        <w:rPr>
          <w:rFonts w:hint="default"/>
          <w:lang w:val="en-US"/>
        </w:rPr>
      </w:pPr>
      <w:r>
        <w:rPr>
          <w:rFonts w:hint="eastAsia" w:ascii="仿宋" w:hAnsi="仿宋" w:eastAsia="仿宋"/>
          <w:sz w:val="24"/>
          <w:szCs w:val="18"/>
          <w:lang w:val="en-US" w:eastAsia="zh-CN"/>
        </w:rPr>
        <w:t>（7）</w:t>
      </w:r>
      <w:r>
        <w:rPr>
          <w:rFonts w:hint="eastAsia" w:ascii="仿宋" w:hAnsi="仿宋" w:eastAsia="仿宋" w:cs="仿宋"/>
          <w:color w:val="000000"/>
          <w:sz w:val="24"/>
          <w:szCs w:val="24"/>
        </w:rPr>
        <w:t>在“国家企业信用信息公示系统”“中国执行信息公开网”“信用中国”“天眼查”“裁判文书网”等信息平台中，无行政处罚及失信记录等信息；</w:t>
      </w:r>
    </w:p>
    <w:p w14:paraId="7B8EDECC">
      <w:pPr>
        <w:numPr>
          <w:ilvl w:val="0"/>
          <w:numId w:val="20"/>
        </w:numPr>
        <w:spacing w:line="360" w:lineRule="auto"/>
        <w:rPr>
          <w:rFonts w:hint="eastAsia" w:ascii="仿宋" w:hAnsi="仿宋" w:eastAsia="仿宋" w:cs="仿宋"/>
          <w:b w:val="0"/>
          <w:bCs/>
          <w:sz w:val="24"/>
          <w:szCs w:val="24"/>
          <w:highlight w:val="none"/>
        </w:rPr>
      </w:pPr>
      <w:r>
        <w:rPr>
          <w:rFonts w:hint="eastAsia" w:ascii="仿宋" w:hAnsi="仿宋" w:eastAsia="仿宋" w:cs="仿宋"/>
          <w:sz w:val="24"/>
          <w:szCs w:val="24"/>
          <w:highlight w:val="none"/>
        </w:rPr>
        <w:t>投标保证金缴纳凭证</w:t>
      </w:r>
    </w:p>
    <w:p w14:paraId="0FCAA68A">
      <w:pPr>
        <w:pStyle w:val="75"/>
        <w:keepNext w:val="0"/>
        <w:keepLines w:val="0"/>
        <w:pageBreakBefore w:val="0"/>
        <w:widowControl w:val="0"/>
        <w:numPr>
          <w:ilvl w:val="0"/>
          <w:numId w:val="21"/>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9"/>
        </w:numPr>
        <w:ind w:left="425" w:leftChars="0" w:hanging="425" w:firstLineChars="0"/>
        <w:rPr>
          <w:rFonts w:hint="eastAsia" w:cs="Times New Roman"/>
          <w:b w:val="0"/>
          <w:bCs/>
          <w:highlight w:val="yellow"/>
        </w:rPr>
      </w:pPr>
      <w:r>
        <w:rPr>
          <w:rFonts w:hint="eastAsia" w:cs="Times New Roman"/>
          <w:b w:val="0"/>
          <w:bCs/>
          <w:highlight w:val="yellow"/>
        </w:rPr>
        <w:t>商务标：</w:t>
      </w:r>
    </w:p>
    <w:p w14:paraId="06300D80">
      <w:pPr>
        <w:numPr>
          <w:ilvl w:val="0"/>
          <w:numId w:val="22"/>
        </w:numPr>
        <w:spacing w:line="360" w:lineRule="auto"/>
        <w:ind w:left="0" w:firstLine="0"/>
      </w:pPr>
      <w:r>
        <w:rPr>
          <w:rFonts w:hint="eastAsia"/>
        </w:rPr>
        <w:t>投标函；</w:t>
      </w:r>
    </w:p>
    <w:p w14:paraId="39330535">
      <w:pPr>
        <w:numPr>
          <w:ilvl w:val="0"/>
          <w:numId w:val="22"/>
        </w:numPr>
        <w:spacing w:line="360" w:lineRule="auto"/>
        <w:ind w:left="0" w:firstLine="0"/>
      </w:pPr>
      <w:r>
        <w:rPr>
          <w:rFonts w:hint="eastAsia"/>
        </w:rPr>
        <w:t>开标一览表、分项报价表；</w:t>
      </w:r>
    </w:p>
    <w:p w14:paraId="66C37FD7">
      <w:pPr>
        <w:pStyle w:val="75"/>
        <w:numPr>
          <w:ilvl w:val="0"/>
          <w:numId w:val="22"/>
        </w:numPr>
        <w:rPr>
          <w:rFonts w:hint="eastAsia" w:cs="Times New Roman"/>
          <w:b w:val="0"/>
          <w:bCs/>
          <w:highlight w:val="none"/>
        </w:rPr>
      </w:pPr>
      <w:r>
        <w:rPr>
          <w:rFonts w:hint="eastAsia"/>
        </w:rPr>
        <w:t>商务条款偏离表；</w:t>
      </w:r>
    </w:p>
    <w:p w14:paraId="4D7E1699">
      <w:pPr>
        <w:pStyle w:val="75"/>
        <w:numPr>
          <w:ilvl w:val="0"/>
          <w:numId w:val="19"/>
        </w:numPr>
        <w:ind w:left="425" w:leftChars="0" w:hanging="425" w:firstLineChars="0"/>
        <w:rPr>
          <w:rFonts w:hint="eastAsia"/>
          <w:lang w:val="en-US" w:eastAsia="zh-CN"/>
        </w:rPr>
      </w:pPr>
      <w:r>
        <w:rPr>
          <w:rFonts w:hint="eastAsia"/>
          <w:lang w:val="en-US" w:eastAsia="zh-CN"/>
        </w:rPr>
        <w:t>技术标</w:t>
      </w:r>
    </w:p>
    <w:p w14:paraId="110B5E15">
      <w:pPr>
        <w:pStyle w:val="75"/>
        <w:numPr>
          <w:ilvl w:val="0"/>
          <w:numId w:val="0"/>
        </w:numPr>
        <w:rPr>
          <w:rFonts w:hint="eastAsia"/>
          <w:lang w:val="en-US" w:eastAsia="zh-CN"/>
        </w:rPr>
      </w:pPr>
      <w:r>
        <w:rPr>
          <w:rFonts w:hint="eastAsia"/>
          <w:lang w:val="en-US" w:eastAsia="zh-CN"/>
        </w:rPr>
        <w:t>（1）技术偏离表</w:t>
      </w:r>
    </w:p>
    <w:p w14:paraId="66534FD8">
      <w:pPr>
        <w:pStyle w:val="75"/>
        <w:numPr>
          <w:ilvl w:val="0"/>
          <w:numId w:val="0"/>
        </w:numPr>
        <w:rPr>
          <w:rFonts w:hint="default"/>
          <w:lang w:val="en-US" w:eastAsia="zh-CN"/>
        </w:rPr>
      </w:pPr>
      <w:r>
        <w:rPr>
          <w:rFonts w:hint="eastAsia"/>
          <w:lang w:val="en-US" w:eastAsia="zh-CN"/>
        </w:rPr>
        <w:t>（2）技术方案</w:t>
      </w:r>
    </w:p>
    <w:p w14:paraId="70E2A45F">
      <w:pPr>
        <w:pStyle w:val="73"/>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F3B372B">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Chars="0"/>
        <w:textAlignment w:val="auto"/>
        <w:rPr>
          <w:rFonts w:hint="eastAsia"/>
          <w:lang w:val="en-US" w:eastAsia="zh-CN"/>
        </w:rPr>
      </w:pPr>
      <w:r>
        <w:rPr>
          <w:rFonts w:hint="eastAsia"/>
          <w:lang w:val="en-US" w:eastAsia="zh-CN"/>
        </w:rPr>
        <w:t>投标方式：在中国重汽e采通平台应标成功后，进入“供应商投标”环节，投递盖章扫描版电子标书</w:t>
      </w:r>
      <w:r>
        <w:rPr>
          <w:rFonts w:hint="eastAsia"/>
          <w:highlight w:val="none"/>
          <w:lang w:val="en-US" w:eastAsia="zh-CN"/>
        </w:rPr>
        <w:t>（包含资质标书、商务标书），</w:t>
      </w:r>
      <w:r>
        <w:rPr>
          <w:rFonts w:hint="eastAsia"/>
          <w:lang w:val="en-US" w:eastAsia="zh-CN"/>
        </w:rPr>
        <w:t>若逾期未在中国重汽e采通平台上传电子标书，一律视为无效投标。</w:t>
      </w:r>
    </w:p>
    <w:p w14:paraId="25974AAC">
      <w:pPr>
        <w:pStyle w:val="72"/>
        <w:rPr>
          <w:rFonts w:hint="eastAsia" w:hAnsi="Courier New" w:cs="Times New Roman"/>
          <w:highlight w:val="none"/>
        </w:rPr>
      </w:pPr>
      <w:bookmarkStart w:id="13"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keepNext w:val="0"/>
        <w:keepLines w:val="0"/>
        <w:pageBreakBefore w:val="0"/>
        <w:widowControl w:val="0"/>
        <w:numPr>
          <w:ilvl w:val="0"/>
          <w:numId w:val="24"/>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rPr>
        <w:t>投标保证金的缴纳</w:t>
      </w:r>
    </w:p>
    <w:p w14:paraId="021ADBC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eastAsia="zh-CN"/>
        </w:rPr>
        <w:t>（</w:t>
      </w:r>
      <w:r>
        <w:rPr>
          <w:rFonts w:hint="eastAsia"/>
          <w:lang w:val="en-US" w:eastAsia="zh-CN"/>
        </w:rPr>
        <w:t>1</w:t>
      </w:r>
      <w:r>
        <w:rPr>
          <w:rFonts w:hint="eastAsia"/>
          <w:lang w:eastAsia="zh-CN"/>
        </w:rPr>
        <w:t>）</w:t>
      </w:r>
      <w:r>
        <w:rPr>
          <w:rFonts w:hint="eastAsia"/>
        </w:rPr>
        <w:t>投标保证金</w:t>
      </w:r>
      <w:r>
        <w:rPr>
          <w:rFonts w:hint="eastAsia"/>
          <w:lang w:val="en-US" w:eastAsia="zh-CN"/>
        </w:rPr>
        <w:t>的缴纳</w:t>
      </w:r>
      <w:r>
        <w:rPr>
          <w:rFonts w:hint="eastAsia"/>
        </w:rPr>
        <w:t>形式：</w:t>
      </w:r>
      <w:r>
        <w:rPr>
          <w:rFonts w:hint="eastAsia"/>
          <w:lang w:val="en-US" w:eastAsia="zh-CN"/>
        </w:rPr>
        <w:t>从银行基本账户转账</w:t>
      </w:r>
    </w:p>
    <w:p w14:paraId="04CD311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lang w:val="en-US" w:eastAsia="zh-CN"/>
        </w:rPr>
      </w:pPr>
      <w:r>
        <w:rPr>
          <w:rFonts w:hint="eastAsia"/>
          <w:lang w:eastAsia="zh-CN"/>
        </w:rPr>
        <w:t>（</w:t>
      </w:r>
      <w:r>
        <w:rPr>
          <w:rFonts w:hint="eastAsia"/>
          <w:lang w:val="en-US" w:eastAsia="zh-CN"/>
        </w:rPr>
        <w:t>2</w:t>
      </w:r>
      <w:r>
        <w:rPr>
          <w:rFonts w:hint="eastAsia"/>
          <w:lang w:eastAsia="zh-CN"/>
        </w:rPr>
        <w:t>）</w:t>
      </w:r>
      <w:r>
        <w:rPr>
          <w:rFonts w:hint="eastAsia"/>
        </w:rPr>
        <w:t>投标保证金的金额：</w:t>
      </w:r>
      <w:r>
        <w:rPr>
          <w:rFonts w:hint="eastAsia"/>
          <w:u w:val="single"/>
        </w:rPr>
        <w:t>人民</w:t>
      </w:r>
      <w:r>
        <w:rPr>
          <w:rFonts w:hint="eastAsia"/>
          <w:highlight w:val="none"/>
          <w:u w:val="single"/>
        </w:rPr>
        <w:t>币</w:t>
      </w:r>
      <w:r>
        <w:rPr>
          <w:rFonts w:hint="eastAsia"/>
          <w:highlight w:val="none"/>
          <w:u w:val="single"/>
          <w:lang w:val="en-US" w:eastAsia="zh-CN"/>
        </w:rPr>
        <w:t>20000</w:t>
      </w:r>
      <w:r>
        <w:rPr>
          <w:rFonts w:hint="eastAsia"/>
          <w:highlight w:val="none"/>
          <w:u w:val="single"/>
        </w:rPr>
        <w:t>元</w:t>
      </w:r>
    </w:p>
    <w:p w14:paraId="2703A442">
      <w:pPr>
        <w:pStyle w:val="75"/>
        <w:keepNext w:val="0"/>
        <w:keepLines w:val="0"/>
        <w:pageBreakBefore w:val="0"/>
        <w:widowControl w:val="0"/>
        <w:numPr>
          <w:ilvl w:val="0"/>
          <w:numId w:val="21"/>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ascii="宋体" w:hAnsi="宋体" w:eastAsia="宋体" w:cs="宋体"/>
          <w:sz w:val="24"/>
          <w:szCs w:val="24"/>
        </w:rPr>
        <w:t>保证金收款账号：</w:t>
      </w:r>
      <w:r>
        <w:rPr>
          <w:rFonts w:ascii="宋体" w:hAnsi="宋体" w:eastAsia="宋体" w:cs="宋体"/>
          <w:sz w:val="24"/>
          <w:szCs w:val="24"/>
        </w:rPr>
        <w:br w:type="textWrapping"/>
      </w:r>
      <w:r>
        <w:rPr>
          <w:rFonts w:ascii="宋体" w:hAnsi="宋体" w:eastAsia="宋体" w:cs="宋体"/>
          <w:sz w:val="24"/>
          <w:szCs w:val="24"/>
        </w:rPr>
        <w:t>招标人：重汽（济南）车桥有限公司</w:t>
      </w:r>
      <w:r>
        <w:rPr>
          <w:rFonts w:ascii="宋体" w:hAnsi="宋体" w:eastAsia="宋体" w:cs="宋体"/>
          <w:sz w:val="24"/>
          <w:szCs w:val="24"/>
        </w:rPr>
        <w:br w:type="textWrapping"/>
      </w:r>
      <w:r>
        <w:rPr>
          <w:rFonts w:ascii="宋体" w:hAnsi="宋体" w:eastAsia="宋体" w:cs="宋体"/>
          <w:sz w:val="24"/>
          <w:szCs w:val="24"/>
        </w:rPr>
        <w:t>招标人地址：济南市高新区世纪大道757号车桥公司</w:t>
      </w:r>
      <w:r>
        <w:rPr>
          <w:rFonts w:ascii="宋体" w:hAnsi="宋体" w:eastAsia="宋体" w:cs="宋体"/>
          <w:sz w:val="24"/>
          <w:szCs w:val="24"/>
        </w:rPr>
        <w:br w:type="textWrapping"/>
      </w: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21"/>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306DE77">
      <w:pPr>
        <w:keepNext w:val="0"/>
        <w:keepLines w:val="0"/>
        <w:pageBreakBefore w:val="0"/>
        <w:widowControl w:val="0"/>
        <w:numPr>
          <w:ilvl w:val="0"/>
          <w:numId w:val="24"/>
        </w:numPr>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rPr>
        <w:t>对于没有中标的</w:t>
      </w:r>
      <w:r>
        <w:rPr>
          <w:rFonts w:hint="eastAsia" w:ascii="宋体" w:hAnsi="宋体" w:eastAsia="宋体" w:cs="宋体"/>
          <w:lang w:eastAsia="zh-CN"/>
        </w:rPr>
        <w:t>投标人</w:t>
      </w:r>
      <w:r>
        <w:rPr>
          <w:rFonts w:hint="eastAsia" w:ascii="宋体" w:hAnsi="宋体" w:eastAsia="宋体" w:cs="宋体"/>
        </w:rPr>
        <w:t>，投标保证金将于招标人内部完成中标人评审并确认最终中标人后在</w:t>
      </w:r>
      <w:r>
        <w:rPr>
          <w:rFonts w:hint="eastAsia" w:ascii="宋体" w:hAnsi="宋体" w:cs="宋体"/>
        </w:rPr>
        <w:t>30个工作日内</w:t>
      </w:r>
      <w:r>
        <w:rPr>
          <w:rFonts w:hint="eastAsia" w:ascii="宋体" w:hAnsi="宋体" w:eastAsia="宋体" w:cs="宋体"/>
        </w:rPr>
        <w:t>予以原路返还（无息）；对于中标方，投标保证金将在签订合同后</w:t>
      </w:r>
      <w:r>
        <w:rPr>
          <w:rFonts w:hint="eastAsia" w:ascii="宋体" w:hAnsi="宋体" w:cs="宋体"/>
        </w:rPr>
        <w:t>30个工作日内</w:t>
      </w:r>
      <w:r>
        <w:rPr>
          <w:rFonts w:hint="eastAsia" w:ascii="宋体" w:hAnsi="宋体" w:eastAsia="宋体" w:cs="宋体"/>
        </w:rPr>
        <w:t>原路返还（无息）。</w:t>
      </w:r>
    </w:p>
    <w:p w14:paraId="271EC8CF">
      <w:pPr>
        <w:keepNext w:val="0"/>
        <w:keepLines w:val="0"/>
        <w:pageBreakBefore w:val="0"/>
        <w:widowControl w:val="0"/>
        <w:numPr>
          <w:ilvl w:val="0"/>
          <w:numId w:val="24"/>
        </w:numPr>
        <w:kinsoku/>
        <w:wordWrap/>
        <w:overflowPunct/>
        <w:topLinePunct w:val="0"/>
        <w:autoSpaceDE/>
        <w:autoSpaceDN/>
        <w:bidi w:val="0"/>
        <w:adjustRightInd/>
        <w:snapToGrid/>
        <w:spacing w:line="360" w:lineRule="auto"/>
        <w:textAlignment w:val="auto"/>
        <w:rPr>
          <w:rFonts w:hint="eastAsia" w:ascii="宋体" w:hAnsi="宋体" w:eastAsia="仿宋_GB2312" w:cs="宋体"/>
          <w:b w:val="0"/>
          <w:bCs w:val="0"/>
          <w:szCs w:val="24"/>
          <w:highlight w:val="none"/>
          <w:lang w:val="en-US" w:eastAsia="zh-CN"/>
        </w:rPr>
      </w:pPr>
      <w:r>
        <w:rPr>
          <w:rFonts w:hint="eastAsia" w:ascii="宋体" w:hAnsi="宋体" w:eastAsia="宋体" w:cs="宋体"/>
        </w:rPr>
        <w:t>发生以下情况时，有权没收保证金：</w:t>
      </w:r>
      <w:r>
        <w:rPr>
          <w:rFonts w:hint="eastAsia" w:ascii="宋体" w:hAnsi="宋体" w:eastAsia="宋体" w:cs="宋体"/>
        </w:rPr>
        <w:br w:type="textWrapping"/>
      </w:r>
      <w:r>
        <w:rPr>
          <w:rFonts w:hint="eastAsia" w:ascii="宋体" w:hAnsi="宋体" w:eastAsia="宋体" w:cs="宋体"/>
          <w:b w:val="0"/>
          <w:bCs w:val="0"/>
          <w:szCs w:val="21"/>
          <w:highlight w:val="none"/>
        </w:rPr>
        <w:t>①供应商在提交响应文件截止时间后撤回响应文件的；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②供应商在响应文件中提供虚假材料的；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③除因不可抗力或谈判文件、询价通知书认可的情形以外，成交供应商不与采购人签订合同的；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④供应商与采购人、其他供应商或者采购代理机构恶意串通、围标、陪标的；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⑥截至开标前3天，投标人无正当理由、未以书面形式向招标人递交说明而在投标截止日不来投标的。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⑦自中标通知书发出之日起30日内，中标人无正当理由投标人无正当签订合同的；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⑧采购文件规定的其他情形</w:t>
      </w:r>
      <w:r>
        <w:rPr>
          <w:rFonts w:hint="eastAsia" w:ascii="宋体" w:hAnsi="宋体" w:eastAsia="宋体" w:cs="宋体"/>
          <w:b w:val="0"/>
          <w:bCs w:val="0"/>
          <w:szCs w:val="21"/>
          <w:highlight w:val="none"/>
          <w:lang w:eastAsia="zh-CN"/>
        </w:rPr>
        <w:t>。</w:t>
      </w:r>
    </w:p>
    <w:bookmarkEnd w:id="13"/>
    <w:p w14:paraId="368B6990">
      <w:pPr>
        <w:pStyle w:val="72"/>
      </w:pPr>
      <w:r>
        <w:rPr>
          <w:rFonts w:hint="eastAsia"/>
          <w:lang w:val="en-US" w:eastAsia="zh-CN"/>
        </w:rPr>
        <w:t>开评标</w:t>
      </w:r>
    </w:p>
    <w:p w14:paraId="00CC8C95">
      <w:pPr>
        <w:pStyle w:val="14"/>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highlight w:val="none"/>
          <w:lang w:val="en-US" w:eastAsia="zh-CN"/>
        </w:rPr>
      </w:pPr>
      <w:r>
        <w:rPr>
          <w:rFonts w:hint="eastAsia"/>
          <w:highlight w:val="none"/>
          <w:lang w:val="en-US" w:eastAsia="zh-CN"/>
        </w:rPr>
        <w:t>开标地点：线上会议</w:t>
      </w:r>
    </w:p>
    <w:p w14:paraId="2C652027">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评标方法</w:t>
      </w:r>
    </w:p>
    <w:p w14:paraId="649C28C4">
      <w:pPr>
        <w:pStyle w:val="75"/>
        <w:keepNext w:val="0"/>
        <w:keepLines w:val="0"/>
        <w:pageBreakBefore w:val="0"/>
        <w:widowControl w:val="0"/>
        <w:numPr>
          <w:ilvl w:val="0"/>
          <w:numId w:val="21"/>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评标方法（综合评标）</w:t>
      </w:r>
    </w:p>
    <w:p w14:paraId="67F90367">
      <w:pPr>
        <w:pStyle w:val="72"/>
        <w:numPr>
          <w:ilvl w:val="0"/>
          <w:numId w:val="0"/>
        </w:numPr>
        <w:rPr>
          <w:rFonts w:hint="eastAsia" w:ascii="宋体" w:hAnsi="宋体" w:eastAsia="宋体" w:cs="宋体"/>
          <w:b w:val="0"/>
          <w:bCs w:val="0"/>
          <w:sz w:val="21"/>
          <w:szCs w:val="21"/>
        </w:rPr>
      </w:pPr>
      <w:r>
        <w:rPr>
          <w:rFonts w:hint="eastAsia" w:ascii="宋体" w:hAnsi="宋体" w:eastAsia="宋体" w:cs="宋体"/>
          <w:b w:val="0"/>
          <w:bCs w:val="0"/>
          <w:sz w:val="21"/>
          <w:szCs w:val="21"/>
        </w:rPr>
        <w:t>评标由依照有关法律、法规组建的评标委员会负责。评标委员会由招标人或其委托的招标代理机构熟悉相关业务的代表，以及有关技术、经济等方面的专家组成。评标委员会成员人数为三人以上单数。其中，技术、经济等方面的专家不少于成员总数的三分之二。评标专家小组负责参照评分标准，按照国家招投标有关规定，本着公平、公正、公开、有序的原则，在最大限度地满足招标文件实质性要求的前提下，按照</w:t>
      </w:r>
      <w:r>
        <w:rPr>
          <w:rFonts w:hint="eastAsia" w:ascii="宋体" w:hAnsi="宋体" w:eastAsia="宋体" w:cs="宋体"/>
          <w:sz w:val="21"/>
          <w:szCs w:val="21"/>
          <w:lang w:val="en-US" w:eastAsia="zh-CN"/>
        </w:rPr>
        <w:t>综合评标</w:t>
      </w:r>
      <w:r>
        <w:rPr>
          <w:rFonts w:hint="eastAsia" w:ascii="宋体" w:hAnsi="宋体" w:eastAsia="宋体" w:cs="宋体"/>
          <w:b w:val="0"/>
          <w:bCs w:val="0"/>
          <w:sz w:val="21"/>
          <w:szCs w:val="21"/>
        </w:rPr>
        <w:t>的原则选择中标厂家，对未中标单位不做任何解释。</w:t>
      </w:r>
    </w:p>
    <w:p w14:paraId="5C98B6A7">
      <w:pPr>
        <w:pStyle w:val="72"/>
        <w:numPr>
          <w:ilvl w:val="0"/>
          <w:numId w:val="0"/>
        </w:numP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评分标准:</w:t>
      </w:r>
    </w:p>
    <w:tbl>
      <w:tblPr>
        <w:tblStyle w:val="30"/>
        <w:tblW w:w="9825" w:type="dxa"/>
        <w:tblInd w:w="-3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3225"/>
        <w:gridCol w:w="775"/>
        <w:gridCol w:w="5000"/>
      </w:tblGrid>
      <w:tr w14:paraId="1859A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1" w:hRule="atLeast"/>
        </w:trPr>
        <w:tc>
          <w:tcPr>
            <w:tcW w:w="825" w:type="dxa"/>
            <w:tcBorders>
              <w:top w:val="single" w:color="auto" w:sz="4" w:space="0"/>
              <w:left w:val="single" w:color="auto" w:sz="4" w:space="0"/>
              <w:bottom w:val="single" w:color="auto" w:sz="4" w:space="0"/>
              <w:right w:val="single" w:color="auto" w:sz="4" w:space="0"/>
            </w:tcBorders>
            <w:vAlign w:val="center"/>
          </w:tcPr>
          <w:p w14:paraId="6C5D50F7">
            <w:pPr>
              <w:spacing w:line="360" w:lineRule="auto"/>
              <w:ind w:right="-6"/>
              <w:jc w:val="center"/>
              <w:rPr>
                <w:rFonts w:hint="eastAsia" w:ascii="宋体" w:hAnsi="宋体" w:eastAsiaTheme="minorEastAsia"/>
                <w:b/>
                <w:sz w:val="18"/>
                <w:szCs w:val="18"/>
                <w:lang w:val="en-US" w:eastAsia="zh-CN"/>
              </w:rPr>
            </w:pPr>
            <w:r>
              <w:rPr>
                <w:rFonts w:hint="eastAsia" w:ascii="宋体" w:hAnsi="宋体"/>
                <w:b/>
                <w:sz w:val="18"/>
                <w:szCs w:val="18"/>
                <w:lang w:val="en-US" w:eastAsia="zh-CN"/>
              </w:rPr>
              <w:t>一</w:t>
            </w:r>
          </w:p>
        </w:tc>
        <w:tc>
          <w:tcPr>
            <w:tcW w:w="9000" w:type="dxa"/>
            <w:gridSpan w:val="3"/>
            <w:tcBorders>
              <w:top w:val="single" w:color="auto" w:sz="4" w:space="0"/>
              <w:left w:val="single" w:color="auto" w:sz="4" w:space="0"/>
              <w:bottom w:val="single" w:color="auto" w:sz="4" w:space="0"/>
              <w:right w:val="single" w:color="auto" w:sz="4" w:space="0"/>
            </w:tcBorders>
            <w:vAlign w:val="center"/>
          </w:tcPr>
          <w:p w14:paraId="2A1F5464">
            <w:pPr>
              <w:spacing w:line="360" w:lineRule="auto"/>
              <w:ind w:right="-6"/>
              <w:jc w:val="center"/>
              <w:rPr>
                <w:rFonts w:hint="eastAsia" w:ascii="宋体" w:hAnsi="宋体" w:eastAsiaTheme="minorEastAsia"/>
                <w:b/>
                <w:sz w:val="18"/>
                <w:szCs w:val="18"/>
                <w:lang w:val="en-US" w:eastAsia="zh-CN"/>
              </w:rPr>
            </w:pPr>
            <w:r>
              <w:rPr>
                <w:rFonts w:hint="eastAsia" w:ascii="宋体" w:hAnsi="宋体" w:eastAsia="宋体" w:cs="宋体"/>
                <w:b/>
                <w:sz w:val="28"/>
                <w:szCs w:val="28"/>
                <w:lang w:val="en-US" w:eastAsia="zh-CN"/>
              </w:rPr>
              <w:t>技术标</w:t>
            </w:r>
          </w:p>
        </w:tc>
      </w:tr>
      <w:tr w14:paraId="59D13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1" w:hRule="atLeast"/>
        </w:trPr>
        <w:tc>
          <w:tcPr>
            <w:tcW w:w="825" w:type="dxa"/>
            <w:tcBorders>
              <w:top w:val="single" w:color="auto" w:sz="4" w:space="0"/>
              <w:left w:val="single" w:color="auto" w:sz="4" w:space="0"/>
              <w:bottom w:val="single" w:color="auto" w:sz="4" w:space="0"/>
              <w:right w:val="single" w:color="auto" w:sz="4" w:space="0"/>
            </w:tcBorders>
            <w:vAlign w:val="center"/>
          </w:tcPr>
          <w:p w14:paraId="4B47D83C">
            <w:pPr>
              <w:spacing w:line="360" w:lineRule="auto"/>
              <w:ind w:right="-6"/>
              <w:jc w:val="center"/>
              <w:rPr>
                <w:rFonts w:ascii="宋体" w:hAnsi="Times New Roman" w:eastAsia="宋体"/>
                <w:b/>
                <w:sz w:val="18"/>
                <w:szCs w:val="18"/>
              </w:rPr>
            </w:pPr>
            <w:r>
              <w:rPr>
                <w:rFonts w:hint="eastAsia" w:ascii="宋体" w:hAnsi="宋体"/>
                <w:b/>
                <w:sz w:val="18"/>
                <w:szCs w:val="18"/>
              </w:rPr>
              <w:t>序号</w:t>
            </w:r>
          </w:p>
        </w:tc>
        <w:tc>
          <w:tcPr>
            <w:tcW w:w="3225" w:type="dxa"/>
            <w:tcBorders>
              <w:top w:val="single" w:color="auto" w:sz="4" w:space="0"/>
              <w:left w:val="single" w:color="auto" w:sz="4" w:space="0"/>
              <w:bottom w:val="single" w:color="auto" w:sz="4" w:space="0"/>
              <w:right w:val="single" w:color="auto" w:sz="4" w:space="0"/>
            </w:tcBorders>
            <w:vAlign w:val="center"/>
          </w:tcPr>
          <w:p w14:paraId="44B3FEBF">
            <w:pPr>
              <w:spacing w:line="360" w:lineRule="auto"/>
              <w:ind w:right="-6"/>
              <w:jc w:val="center"/>
              <w:rPr>
                <w:rFonts w:ascii="宋体" w:hAnsi="Times New Roman" w:eastAsia="宋体"/>
                <w:b/>
                <w:sz w:val="18"/>
                <w:szCs w:val="18"/>
              </w:rPr>
            </w:pPr>
            <w:r>
              <w:rPr>
                <w:rFonts w:hint="eastAsia" w:ascii="宋体" w:hAnsi="宋体"/>
                <w:b/>
                <w:sz w:val="18"/>
                <w:szCs w:val="18"/>
              </w:rPr>
              <w:t>内   容</w:t>
            </w:r>
          </w:p>
        </w:tc>
        <w:tc>
          <w:tcPr>
            <w:tcW w:w="775" w:type="dxa"/>
            <w:tcBorders>
              <w:top w:val="single" w:color="auto" w:sz="4" w:space="0"/>
              <w:left w:val="single" w:color="auto" w:sz="4" w:space="0"/>
              <w:bottom w:val="single" w:color="auto" w:sz="4" w:space="0"/>
              <w:right w:val="single" w:color="auto" w:sz="4" w:space="0"/>
            </w:tcBorders>
            <w:vAlign w:val="center"/>
          </w:tcPr>
          <w:p w14:paraId="200C67B3">
            <w:pPr>
              <w:spacing w:line="360" w:lineRule="auto"/>
              <w:ind w:right="-6"/>
              <w:jc w:val="center"/>
              <w:rPr>
                <w:rFonts w:ascii="宋体" w:hAnsi="Times New Roman" w:eastAsia="宋体"/>
                <w:b/>
                <w:sz w:val="18"/>
                <w:szCs w:val="18"/>
              </w:rPr>
            </w:pPr>
            <w:r>
              <w:rPr>
                <w:rFonts w:hint="eastAsia" w:ascii="宋体" w:hAnsi="宋体"/>
                <w:b/>
                <w:sz w:val="18"/>
                <w:szCs w:val="18"/>
              </w:rPr>
              <w:t>标准分</w:t>
            </w:r>
          </w:p>
        </w:tc>
        <w:tc>
          <w:tcPr>
            <w:tcW w:w="5000" w:type="dxa"/>
            <w:tcBorders>
              <w:top w:val="single" w:color="auto" w:sz="4" w:space="0"/>
              <w:left w:val="single" w:color="auto" w:sz="4" w:space="0"/>
              <w:bottom w:val="single" w:color="auto" w:sz="4" w:space="0"/>
              <w:right w:val="single" w:color="auto" w:sz="4" w:space="0"/>
            </w:tcBorders>
            <w:vAlign w:val="center"/>
          </w:tcPr>
          <w:p w14:paraId="57618EBE">
            <w:pPr>
              <w:spacing w:line="360" w:lineRule="auto"/>
              <w:ind w:right="-6"/>
              <w:jc w:val="center"/>
              <w:rPr>
                <w:rFonts w:ascii="宋体" w:hAnsi="Times New Roman" w:eastAsia="宋体"/>
                <w:b/>
                <w:sz w:val="18"/>
                <w:szCs w:val="18"/>
              </w:rPr>
            </w:pPr>
            <w:r>
              <w:rPr>
                <w:rFonts w:hint="eastAsia" w:ascii="宋体" w:hAnsi="宋体"/>
                <w:b/>
                <w:sz w:val="18"/>
                <w:szCs w:val="18"/>
              </w:rPr>
              <w:t>评分标准</w:t>
            </w:r>
          </w:p>
        </w:tc>
      </w:tr>
      <w:tr w14:paraId="29113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trPr>
        <w:tc>
          <w:tcPr>
            <w:tcW w:w="825" w:type="dxa"/>
            <w:tcBorders>
              <w:top w:val="single" w:color="auto" w:sz="4" w:space="0"/>
              <w:left w:val="single" w:color="auto" w:sz="4" w:space="0"/>
              <w:bottom w:val="single" w:color="auto" w:sz="4" w:space="0"/>
              <w:right w:val="single" w:color="auto" w:sz="4" w:space="0"/>
            </w:tcBorders>
            <w:vAlign w:val="center"/>
          </w:tcPr>
          <w:p w14:paraId="0C1CC10C">
            <w:pPr>
              <w:spacing w:line="420" w:lineRule="exact"/>
              <w:jc w:val="center"/>
              <w:rPr>
                <w:rFonts w:ascii="宋体" w:hAnsi="宋体" w:eastAsia="宋体"/>
                <w:szCs w:val="21"/>
              </w:rPr>
            </w:pPr>
            <w:r>
              <w:rPr>
                <w:rFonts w:hint="eastAsia" w:ascii="宋体" w:hAnsi="宋体"/>
              </w:rPr>
              <w:t>1</w:t>
            </w:r>
          </w:p>
        </w:tc>
        <w:tc>
          <w:tcPr>
            <w:tcW w:w="3225" w:type="dxa"/>
            <w:tcBorders>
              <w:top w:val="single" w:color="auto" w:sz="4" w:space="0"/>
              <w:left w:val="single" w:color="auto" w:sz="4" w:space="0"/>
              <w:bottom w:val="single" w:color="auto" w:sz="4" w:space="0"/>
              <w:right w:val="single" w:color="auto" w:sz="4" w:space="0"/>
            </w:tcBorders>
            <w:vAlign w:val="center"/>
          </w:tcPr>
          <w:p w14:paraId="45D1213B">
            <w:pPr>
              <w:spacing w:line="420" w:lineRule="exact"/>
              <w:rPr>
                <w:rFonts w:hint="eastAsia" w:ascii="宋体" w:hAnsi="Times New Roman" w:eastAsiaTheme="minorEastAsia"/>
                <w:szCs w:val="21"/>
                <w:lang w:eastAsia="zh-CN"/>
              </w:rPr>
            </w:pPr>
            <w:r>
              <w:rPr>
                <w:rFonts w:hint="eastAsia" w:ascii="宋体" w:hAnsi="宋体"/>
                <w:bCs/>
              </w:rPr>
              <w:t>投标人资质</w:t>
            </w:r>
            <w:r>
              <w:rPr>
                <w:rFonts w:hint="eastAsia" w:ascii="宋体" w:hAnsi="宋体"/>
                <w:bCs/>
                <w:lang w:eastAsia="zh-CN"/>
              </w:rPr>
              <w:t>，</w:t>
            </w:r>
            <w:r>
              <w:rPr>
                <w:rFonts w:hint="eastAsia" w:ascii="宋体" w:hAnsi="宋体"/>
                <w:bCs/>
              </w:rPr>
              <w:t>具备有效营业执照且经营范围涵盖相关设备销售</w:t>
            </w:r>
            <w:r>
              <w:rPr>
                <w:rFonts w:hint="eastAsia" w:ascii="宋体" w:hAnsi="宋体"/>
                <w:bCs/>
                <w:lang w:eastAsia="zh-CN"/>
              </w:rPr>
              <w:t>，拥有设备生产或代理授权证明。</w:t>
            </w:r>
          </w:p>
        </w:tc>
        <w:tc>
          <w:tcPr>
            <w:tcW w:w="775" w:type="dxa"/>
            <w:tcBorders>
              <w:top w:val="single" w:color="auto" w:sz="4" w:space="0"/>
              <w:left w:val="single" w:color="auto" w:sz="4" w:space="0"/>
              <w:bottom w:val="single" w:color="auto" w:sz="4" w:space="0"/>
              <w:right w:val="single" w:color="auto" w:sz="4" w:space="0"/>
            </w:tcBorders>
            <w:vAlign w:val="center"/>
          </w:tcPr>
          <w:p w14:paraId="72C59CD2">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1F0D35BB">
            <w:pPr>
              <w:spacing w:line="420" w:lineRule="exact"/>
              <w:rPr>
                <w:rFonts w:hint="default" w:ascii="宋体" w:hAnsi="宋体" w:eastAsiaTheme="minorEastAsia"/>
                <w:bCs/>
                <w:szCs w:val="21"/>
                <w:lang w:val="en-US" w:eastAsia="zh-CN"/>
              </w:rPr>
            </w:pPr>
            <w:r>
              <w:rPr>
                <w:rFonts w:hint="eastAsia" w:ascii="宋体" w:hAnsi="宋体"/>
                <w:bCs/>
              </w:rPr>
              <w:t>投标人资质</w:t>
            </w:r>
            <w:r>
              <w:rPr>
                <w:rFonts w:hint="eastAsia" w:ascii="宋体" w:hAnsi="宋体"/>
                <w:bCs/>
                <w:lang w:eastAsia="zh-CN"/>
              </w:rPr>
              <w:t>，</w:t>
            </w:r>
            <w:r>
              <w:rPr>
                <w:rFonts w:hint="eastAsia" w:ascii="宋体" w:hAnsi="宋体"/>
                <w:bCs/>
              </w:rPr>
              <w:t>具备有效营业执照且经营范围涵盖相关设备销售</w:t>
            </w:r>
            <w:r>
              <w:rPr>
                <w:rFonts w:hint="eastAsia" w:ascii="宋体" w:hAnsi="宋体"/>
                <w:bCs/>
                <w:lang w:eastAsia="zh-CN"/>
              </w:rPr>
              <w:t>，拥有设备生产或代理授权证明。</w:t>
            </w:r>
            <w:r>
              <w:rPr>
                <w:rFonts w:hint="eastAsia" w:ascii="宋体" w:hAnsi="宋体"/>
                <w:bCs/>
              </w:rPr>
              <w:t>视情况得0-</w:t>
            </w:r>
            <w:r>
              <w:rPr>
                <w:rFonts w:hint="eastAsia" w:ascii="宋体" w:hAnsi="宋体"/>
                <w:bCs/>
                <w:lang w:val="en-US" w:eastAsia="zh-CN"/>
              </w:rPr>
              <w:t>10分。</w:t>
            </w:r>
          </w:p>
        </w:tc>
      </w:tr>
      <w:tr w14:paraId="3824E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trPr>
        <w:tc>
          <w:tcPr>
            <w:tcW w:w="825" w:type="dxa"/>
            <w:tcBorders>
              <w:top w:val="single" w:color="auto" w:sz="4" w:space="0"/>
              <w:left w:val="single" w:color="auto" w:sz="4" w:space="0"/>
              <w:bottom w:val="single" w:color="auto" w:sz="4" w:space="0"/>
              <w:right w:val="single" w:color="auto" w:sz="4" w:space="0"/>
            </w:tcBorders>
            <w:vAlign w:val="center"/>
          </w:tcPr>
          <w:p w14:paraId="3BF5ED51">
            <w:pPr>
              <w:spacing w:line="420" w:lineRule="exact"/>
              <w:jc w:val="center"/>
              <w:rPr>
                <w:rFonts w:ascii="宋体" w:hAnsi="宋体" w:eastAsia="宋体"/>
                <w:szCs w:val="21"/>
              </w:rPr>
            </w:pPr>
            <w:r>
              <w:rPr>
                <w:rFonts w:hint="eastAsia" w:ascii="宋体" w:hAnsi="宋体"/>
              </w:rPr>
              <w:t>2</w:t>
            </w:r>
          </w:p>
        </w:tc>
        <w:tc>
          <w:tcPr>
            <w:tcW w:w="3225" w:type="dxa"/>
            <w:tcBorders>
              <w:top w:val="single" w:color="auto" w:sz="4" w:space="0"/>
              <w:left w:val="single" w:color="auto" w:sz="4" w:space="0"/>
              <w:bottom w:val="single" w:color="auto" w:sz="4" w:space="0"/>
              <w:right w:val="single" w:color="auto" w:sz="4" w:space="0"/>
            </w:tcBorders>
            <w:vAlign w:val="center"/>
          </w:tcPr>
          <w:p w14:paraId="2303F4F4">
            <w:pPr>
              <w:spacing w:line="420" w:lineRule="exact"/>
              <w:rPr>
                <w:rFonts w:hint="default" w:ascii="宋体" w:hAnsi="Times New Roman" w:eastAsiaTheme="minorEastAsia"/>
                <w:bCs/>
                <w:szCs w:val="21"/>
                <w:lang w:val="en-US" w:eastAsia="zh-CN"/>
              </w:rPr>
            </w:pPr>
            <w:r>
              <w:rPr>
                <w:rFonts w:hint="eastAsia" w:ascii="宋体" w:hAnsi="宋体"/>
                <w:bCs/>
                <w:lang w:val="en-US" w:eastAsia="zh-CN"/>
              </w:rPr>
              <w:t>总成装配线</w:t>
            </w:r>
            <w:r>
              <w:rPr>
                <w:rFonts w:hint="eastAsia" w:ascii="宋体" w:hAnsi="宋体"/>
                <w:bCs/>
              </w:rPr>
              <w:t>方案</w:t>
            </w:r>
            <w:r>
              <w:rPr>
                <w:rFonts w:hint="eastAsia" w:ascii="宋体" w:hAnsi="宋体"/>
                <w:bCs/>
                <w:lang w:val="en-US" w:eastAsia="zh-CN"/>
              </w:rPr>
              <w:t>布局合理</w:t>
            </w:r>
            <w:r>
              <w:rPr>
                <w:rFonts w:hint="eastAsia" w:ascii="宋体" w:hAnsi="宋体"/>
                <w:bCs/>
              </w:rPr>
              <w:t>、各系统完善、性能可靠，具备自身技术优势</w:t>
            </w:r>
          </w:p>
        </w:tc>
        <w:tc>
          <w:tcPr>
            <w:tcW w:w="775" w:type="dxa"/>
            <w:tcBorders>
              <w:top w:val="single" w:color="auto" w:sz="4" w:space="0"/>
              <w:left w:val="single" w:color="auto" w:sz="4" w:space="0"/>
              <w:bottom w:val="single" w:color="auto" w:sz="4" w:space="0"/>
              <w:right w:val="single" w:color="auto" w:sz="4" w:space="0"/>
            </w:tcBorders>
            <w:vAlign w:val="center"/>
          </w:tcPr>
          <w:p w14:paraId="5F5F477A">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40</w:t>
            </w:r>
          </w:p>
        </w:tc>
        <w:tc>
          <w:tcPr>
            <w:tcW w:w="5000" w:type="dxa"/>
            <w:tcBorders>
              <w:top w:val="single" w:color="auto" w:sz="4" w:space="0"/>
              <w:left w:val="single" w:color="auto" w:sz="4" w:space="0"/>
              <w:bottom w:val="single" w:color="auto" w:sz="4" w:space="0"/>
              <w:right w:val="single" w:color="auto" w:sz="4" w:space="0"/>
            </w:tcBorders>
            <w:vAlign w:val="center"/>
          </w:tcPr>
          <w:p w14:paraId="415118FE">
            <w:pPr>
              <w:spacing w:line="420" w:lineRule="exact"/>
              <w:rPr>
                <w:rFonts w:hint="default" w:ascii="宋体" w:hAnsi="宋体" w:eastAsiaTheme="minorEastAsia"/>
                <w:bCs/>
                <w:szCs w:val="21"/>
                <w:lang w:val="en-US" w:eastAsia="zh-CN"/>
              </w:rPr>
            </w:pPr>
            <w:r>
              <w:rPr>
                <w:rFonts w:hint="eastAsia" w:ascii="宋体" w:hAnsi="宋体"/>
                <w:bCs/>
                <w:lang w:val="en-US" w:eastAsia="zh-CN"/>
              </w:rPr>
              <w:t>产线</w:t>
            </w:r>
            <w:r>
              <w:rPr>
                <w:rFonts w:hint="eastAsia" w:ascii="宋体" w:hAnsi="宋体"/>
                <w:bCs/>
              </w:rPr>
              <w:t>方案</w:t>
            </w:r>
            <w:r>
              <w:rPr>
                <w:rFonts w:hint="eastAsia" w:ascii="宋体" w:hAnsi="宋体"/>
                <w:bCs/>
                <w:lang w:val="en-US" w:eastAsia="zh-CN"/>
              </w:rPr>
              <w:t>布局</w:t>
            </w:r>
            <w:r>
              <w:rPr>
                <w:rFonts w:hint="eastAsia" w:ascii="宋体" w:hAnsi="宋体"/>
                <w:bCs/>
              </w:rPr>
              <w:t>先进、各系统完善、性能可靠，设备主要核心部件，具备自身技术优势，节能环保</w:t>
            </w:r>
            <w:r>
              <w:rPr>
                <w:rFonts w:hint="eastAsia" w:ascii="宋体" w:hAnsi="宋体"/>
                <w:bCs/>
                <w:lang w:eastAsia="zh-CN"/>
              </w:rPr>
              <w:t>；</w:t>
            </w:r>
            <w:r>
              <w:rPr>
                <w:rFonts w:hint="eastAsia" w:ascii="宋体" w:hAnsi="宋体"/>
                <w:bCs/>
                <w:lang w:val="en-US" w:eastAsia="zh-CN"/>
              </w:rPr>
              <w:t>MCY11/MCY12/MCY13/MCY12ZGQ六个系列中后主减总成产品混线生产，装配线结构合理、节拍符合要求，随行工装及线体涉及到的其它工装全部配备，方案合理，</w:t>
            </w:r>
            <w:r>
              <w:rPr>
                <w:rFonts w:hint="eastAsia" w:ascii="宋体" w:hAnsi="宋体"/>
                <w:bCs/>
              </w:rPr>
              <w:t>视情况得0-</w:t>
            </w:r>
            <w:r>
              <w:rPr>
                <w:rFonts w:hint="eastAsia" w:ascii="宋体" w:hAnsi="宋体"/>
                <w:bCs/>
                <w:lang w:val="en-US" w:eastAsia="zh-CN"/>
              </w:rPr>
              <w:t>50分。</w:t>
            </w:r>
          </w:p>
        </w:tc>
      </w:tr>
      <w:tr w14:paraId="6DB1B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5" w:hRule="atLeast"/>
        </w:trPr>
        <w:tc>
          <w:tcPr>
            <w:tcW w:w="825" w:type="dxa"/>
            <w:tcBorders>
              <w:top w:val="single" w:color="auto" w:sz="4" w:space="0"/>
              <w:left w:val="single" w:color="auto" w:sz="4" w:space="0"/>
              <w:bottom w:val="single" w:color="auto" w:sz="4" w:space="0"/>
              <w:right w:val="single" w:color="auto" w:sz="4" w:space="0"/>
            </w:tcBorders>
            <w:vAlign w:val="center"/>
          </w:tcPr>
          <w:p w14:paraId="1E7C97C4">
            <w:pPr>
              <w:spacing w:line="420" w:lineRule="exact"/>
              <w:jc w:val="center"/>
              <w:rPr>
                <w:rFonts w:ascii="宋体" w:hAnsi="宋体" w:eastAsia="宋体"/>
                <w:szCs w:val="21"/>
              </w:rPr>
            </w:pPr>
            <w:r>
              <w:rPr>
                <w:rFonts w:hint="eastAsia" w:ascii="宋体" w:hAnsi="宋体"/>
              </w:rPr>
              <w:t>3</w:t>
            </w:r>
          </w:p>
        </w:tc>
        <w:tc>
          <w:tcPr>
            <w:tcW w:w="3225" w:type="dxa"/>
            <w:tcBorders>
              <w:top w:val="single" w:color="auto" w:sz="4" w:space="0"/>
              <w:left w:val="single" w:color="auto" w:sz="4" w:space="0"/>
              <w:bottom w:val="single" w:color="auto" w:sz="4" w:space="0"/>
              <w:right w:val="single" w:color="auto" w:sz="4" w:space="0"/>
            </w:tcBorders>
            <w:vAlign w:val="center"/>
          </w:tcPr>
          <w:p w14:paraId="388B9A3B">
            <w:pPr>
              <w:spacing w:line="420" w:lineRule="exact"/>
              <w:rPr>
                <w:rFonts w:ascii="宋体" w:hAnsi="Times New Roman" w:eastAsia="宋体"/>
                <w:bCs/>
                <w:szCs w:val="21"/>
              </w:rPr>
            </w:pPr>
            <w:r>
              <w:rPr>
                <w:rFonts w:hint="eastAsia" w:ascii="宋体" w:hAnsi="宋体"/>
                <w:bCs/>
              </w:rPr>
              <w:t>产品维保</w:t>
            </w:r>
          </w:p>
        </w:tc>
        <w:tc>
          <w:tcPr>
            <w:tcW w:w="775" w:type="dxa"/>
            <w:tcBorders>
              <w:top w:val="single" w:color="auto" w:sz="4" w:space="0"/>
              <w:left w:val="single" w:color="auto" w:sz="4" w:space="0"/>
              <w:bottom w:val="single" w:color="auto" w:sz="4" w:space="0"/>
              <w:right w:val="single" w:color="auto" w:sz="4" w:space="0"/>
            </w:tcBorders>
            <w:vAlign w:val="center"/>
          </w:tcPr>
          <w:p w14:paraId="7C98BC7E">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0DA7DF03">
            <w:pPr>
              <w:spacing w:line="420" w:lineRule="exact"/>
              <w:rPr>
                <w:rFonts w:ascii="宋体" w:hAnsi="宋体" w:eastAsia="宋体"/>
                <w:bCs/>
                <w:szCs w:val="21"/>
              </w:rPr>
            </w:pPr>
            <w:r>
              <w:rPr>
                <w:rFonts w:hint="eastAsia" w:ascii="宋体" w:hAnsi="宋体"/>
                <w:bCs/>
              </w:rPr>
              <w:t>易于维修、操作方便，产品附件配置齐全，质量可靠，</w:t>
            </w:r>
            <w:r>
              <w:rPr>
                <w:rFonts w:hint="eastAsia" w:ascii="宋体" w:hAnsi="宋体"/>
                <w:bCs/>
                <w:lang w:val="en-US" w:eastAsia="zh-CN"/>
              </w:rPr>
              <w:t>设备参数调试方便快捷</w:t>
            </w:r>
            <w:r>
              <w:rPr>
                <w:rFonts w:hint="eastAsia" w:ascii="宋体" w:hAnsi="宋体"/>
                <w:bCs/>
              </w:rPr>
              <w:t>，视情况得0-5</w:t>
            </w:r>
            <w:r>
              <w:rPr>
                <w:rFonts w:hint="eastAsia" w:ascii="宋体" w:hAnsi="宋体"/>
                <w:bCs/>
                <w:lang w:val="en-US" w:eastAsia="zh-CN"/>
              </w:rPr>
              <w:t>分。</w:t>
            </w:r>
          </w:p>
        </w:tc>
      </w:tr>
      <w:tr w14:paraId="49681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29CF088C">
            <w:pPr>
              <w:spacing w:line="420" w:lineRule="exact"/>
              <w:jc w:val="center"/>
              <w:rPr>
                <w:rFonts w:hint="eastAsia" w:ascii="宋体" w:hAnsi="宋体" w:eastAsia="宋体"/>
                <w:szCs w:val="21"/>
                <w:lang w:eastAsia="zh-CN"/>
              </w:rPr>
            </w:pPr>
            <w:r>
              <w:rPr>
                <w:rFonts w:hint="eastAsia" w:ascii="宋体" w:hAnsi="宋体" w:eastAsia="宋体"/>
                <w:lang w:val="en-US" w:eastAsia="zh-CN"/>
              </w:rPr>
              <w:t>4</w:t>
            </w:r>
          </w:p>
        </w:tc>
        <w:tc>
          <w:tcPr>
            <w:tcW w:w="3225" w:type="dxa"/>
            <w:tcBorders>
              <w:top w:val="single" w:color="auto" w:sz="4" w:space="0"/>
              <w:left w:val="single" w:color="auto" w:sz="4" w:space="0"/>
              <w:bottom w:val="single" w:color="auto" w:sz="4" w:space="0"/>
              <w:right w:val="single" w:color="auto" w:sz="4" w:space="0"/>
            </w:tcBorders>
            <w:vAlign w:val="center"/>
          </w:tcPr>
          <w:p w14:paraId="638AE003">
            <w:pPr>
              <w:spacing w:line="420" w:lineRule="exact"/>
              <w:rPr>
                <w:rFonts w:hint="eastAsia" w:ascii="宋体" w:hAnsi="Times New Roman" w:eastAsia="宋体"/>
                <w:szCs w:val="21"/>
                <w:lang w:eastAsia="zh-CN"/>
              </w:rPr>
            </w:pPr>
            <w:r>
              <w:rPr>
                <w:rFonts w:hint="eastAsia" w:ascii="宋体" w:hAnsi="宋体" w:eastAsia="宋体"/>
                <w:lang w:val="en-US" w:eastAsia="zh-CN"/>
              </w:rPr>
              <w:t>安全要求</w:t>
            </w:r>
          </w:p>
        </w:tc>
        <w:tc>
          <w:tcPr>
            <w:tcW w:w="775" w:type="dxa"/>
            <w:tcBorders>
              <w:top w:val="single" w:color="auto" w:sz="4" w:space="0"/>
              <w:left w:val="single" w:color="auto" w:sz="4" w:space="0"/>
              <w:bottom w:val="single" w:color="auto" w:sz="4" w:space="0"/>
              <w:right w:val="single" w:color="auto" w:sz="4" w:space="0"/>
            </w:tcBorders>
            <w:vAlign w:val="center"/>
          </w:tcPr>
          <w:p w14:paraId="46EE501B">
            <w:pPr>
              <w:spacing w:line="420" w:lineRule="exact"/>
              <w:jc w:val="center"/>
              <w:rPr>
                <w:rFonts w:ascii="宋体" w:hAnsi="宋体" w:eastAsia="宋体"/>
                <w:szCs w:val="21"/>
              </w:rPr>
            </w:pPr>
            <w:r>
              <w:rPr>
                <w:rFonts w:hint="eastAsia" w:ascii="宋体" w:hAnsi="宋体"/>
                <w:bCs/>
              </w:rPr>
              <w:t>5</w:t>
            </w:r>
          </w:p>
        </w:tc>
        <w:tc>
          <w:tcPr>
            <w:tcW w:w="5000" w:type="dxa"/>
            <w:tcBorders>
              <w:top w:val="single" w:color="auto" w:sz="4" w:space="0"/>
              <w:left w:val="single" w:color="auto" w:sz="4" w:space="0"/>
              <w:bottom w:val="single" w:color="auto" w:sz="4" w:space="0"/>
              <w:right w:val="single" w:color="auto" w:sz="4" w:space="0"/>
            </w:tcBorders>
            <w:vAlign w:val="center"/>
          </w:tcPr>
          <w:p w14:paraId="6E73F6E3">
            <w:pPr>
              <w:spacing w:line="420" w:lineRule="exact"/>
              <w:rPr>
                <w:rFonts w:ascii="宋体" w:hAnsi="Times New Roman" w:eastAsia="宋体"/>
                <w:bCs/>
                <w:szCs w:val="21"/>
              </w:rPr>
            </w:pPr>
            <w:r>
              <w:rPr>
                <w:rFonts w:hint="eastAsia" w:ascii="宋体" w:hAnsi="宋体"/>
                <w:bCs/>
                <w:lang w:val="en-US" w:eastAsia="zh-CN"/>
              </w:rPr>
              <w:t>产线涉及到的压力机等设备必须配备安全光栅及双手下压，压头等工装固定可靠，急停等所有标识均为中文标识</w:t>
            </w:r>
            <w:r>
              <w:rPr>
                <w:rFonts w:hint="eastAsia" w:ascii="宋体" w:hAnsi="宋体"/>
                <w:bCs/>
              </w:rPr>
              <w:t>。</w:t>
            </w:r>
          </w:p>
        </w:tc>
      </w:tr>
      <w:tr w14:paraId="2701F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0840E0F5">
            <w:pPr>
              <w:spacing w:line="420" w:lineRule="exact"/>
              <w:jc w:val="center"/>
              <w:rPr>
                <w:rFonts w:hint="eastAsia" w:ascii="宋体" w:hAnsi="宋体" w:eastAsia="宋体"/>
                <w:szCs w:val="21"/>
                <w:lang w:eastAsia="zh-CN"/>
              </w:rPr>
            </w:pPr>
            <w:r>
              <w:rPr>
                <w:rFonts w:hint="eastAsia" w:ascii="宋体" w:hAnsi="宋体" w:eastAsia="宋体"/>
                <w:lang w:val="en-US" w:eastAsia="zh-CN"/>
              </w:rPr>
              <w:t>5</w:t>
            </w:r>
          </w:p>
        </w:tc>
        <w:tc>
          <w:tcPr>
            <w:tcW w:w="3225" w:type="dxa"/>
            <w:tcBorders>
              <w:top w:val="single" w:color="auto" w:sz="4" w:space="0"/>
              <w:left w:val="single" w:color="auto" w:sz="4" w:space="0"/>
              <w:bottom w:val="single" w:color="auto" w:sz="4" w:space="0"/>
              <w:right w:val="single" w:color="auto" w:sz="4" w:space="0"/>
            </w:tcBorders>
            <w:vAlign w:val="center"/>
          </w:tcPr>
          <w:p w14:paraId="592B4461">
            <w:pPr>
              <w:spacing w:line="420" w:lineRule="exact"/>
              <w:rPr>
                <w:rFonts w:hint="default" w:ascii="宋体" w:hAnsi="Times New Roman" w:eastAsia="宋体"/>
                <w:szCs w:val="21"/>
                <w:lang w:val="en-US" w:eastAsia="zh-CN"/>
              </w:rPr>
            </w:pPr>
            <w:r>
              <w:rPr>
                <w:rFonts w:hint="eastAsia" w:ascii="宋体" w:hAnsi="宋体" w:eastAsia="宋体"/>
                <w:lang w:val="en-US" w:eastAsia="zh-CN"/>
              </w:rPr>
              <w:t>设计经验</w:t>
            </w:r>
          </w:p>
        </w:tc>
        <w:tc>
          <w:tcPr>
            <w:tcW w:w="775" w:type="dxa"/>
            <w:tcBorders>
              <w:top w:val="single" w:color="auto" w:sz="4" w:space="0"/>
              <w:left w:val="single" w:color="auto" w:sz="4" w:space="0"/>
              <w:bottom w:val="single" w:color="auto" w:sz="4" w:space="0"/>
              <w:right w:val="single" w:color="auto" w:sz="4" w:space="0"/>
            </w:tcBorders>
            <w:vAlign w:val="center"/>
          </w:tcPr>
          <w:p w14:paraId="5ECA0EA3">
            <w:pPr>
              <w:spacing w:line="420" w:lineRule="exact"/>
              <w:jc w:val="center"/>
              <w:rPr>
                <w:rFonts w:ascii="宋体" w:hAnsi="宋体" w:eastAsia="宋体"/>
                <w:szCs w:val="21"/>
              </w:rPr>
            </w:pPr>
            <w:r>
              <w:rPr>
                <w:rFonts w:hint="eastAsia" w:ascii="宋体" w:hAnsi="宋体"/>
              </w:rPr>
              <w:t>5</w:t>
            </w:r>
          </w:p>
        </w:tc>
        <w:tc>
          <w:tcPr>
            <w:tcW w:w="5000" w:type="dxa"/>
            <w:tcBorders>
              <w:top w:val="single" w:color="auto" w:sz="4" w:space="0"/>
              <w:left w:val="single" w:color="auto" w:sz="4" w:space="0"/>
              <w:bottom w:val="single" w:color="auto" w:sz="4" w:space="0"/>
              <w:right w:val="single" w:color="auto" w:sz="4" w:space="0"/>
            </w:tcBorders>
            <w:vAlign w:val="center"/>
          </w:tcPr>
          <w:p w14:paraId="5E7F66E5">
            <w:pPr>
              <w:spacing w:line="420" w:lineRule="exact"/>
              <w:rPr>
                <w:rFonts w:ascii="宋体" w:hAnsi="Times New Roman" w:eastAsia="宋体"/>
                <w:bCs/>
                <w:szCs w:val="21"/>
              </w:rPr>
            </w:pPr>
            <w:r>
              <w:rPr>
                <w:rFonts w:hint="eastAsia" w:ascii="宋体" w:hAnsi="宋体"/>
                <w:bCs/>
              </w:rPr>
              <w:t>最近连续三年有国内外知名</w:t>
            </w:r>
            <w:r>
              <w:rPr>
                <w:rFonts w:hint="eastAsia" w:ascii="宋体" w:hAnsi="宋体"/>
                <w:bCs/>
                <w:lang w:val="en-US" w:eastAsia="zh-CN"/>
              </w:rPr>
              <w:t>厂家同类生产线设计</w:t>
            </w:r>
            <w:r>
              <w:rPr>
                <w:rFonts w:hint="eastAsia" w:ascii="宋体" w:hAnsi="宋体"/>
                <w:bCs/>
                <w:lang w:eastAsia="zh-CN"/>
              </w:rPr>
              <w:t>、</w:t>
            </w:r>
            <w:r>
              <w:rPr>
                <w:rFonts w:hint="eastAsia" w:ascii="宋体" w:hAnsi="宋体"/>
                <w:bCs/>
                <w:lang w:val="en-US" w:eastAsia="zh-CN"/>
              </w:rPr>
              <w:t>安装施工经验，并提供从调试完毕后截至目前实际正常运行时间证明，</w:t>
            </w:r>
            <w:r>
              <w:rPr>
                <w:rFonts w:hint="eastAsia" w:ascii="宋体" w:hAnsi="宋体"/>
                <w:bCs/>
              </w:rPr>
              <w:t>提供3份以上投标同类产品开发合同证明材料，得5分；提供3份得4分；提供2份得3分；提供1份证明材料的，得2分；无证明材料的，不得分。</w:t>
            </w:r>
          </w:p>
        </w:tc>
      </w:tr>
      <w:tr w14:paraId="36EDD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20B6378E">
            <w:pPr>
              <w:spacing w:line="420" w:lineRule="exact"/>
              <w:jc w:val="center"/>
              <w:rPr>
                <w:rFonts w:hint="eastAsia" w:ascii="宋体" w:hAnsi="宋体" w:eastAsia="宋体"/>
                <w:szCs w:val="21"/>
                <w:lang w:eastAsia="zh-CN"/>
              </w:rPr>
            </w:pPr>
            <w:r>
              <w:rPr>
                <w:rFonts w:hint="eastAsia" w:ascii="宋体" w:hAnsi="宋体" w:eastAsia="宋体"/>
                <w:lang w:val="en-US" w:eastAsia="zh-CN"/>
              </w:rPr>
              <w:t>6</w:t>
            </w:r>
          </w:p>
        </w:tc>
        <w:tc>
          <w:tcPr>
            <w:tcW w:w="3225" w:type="dxa"/>
            <w:tcBorders>
              <w:top w:val="single" w:color="auto" w:sz="4" w:space="0"/>
              <w:left w:val="single" w:color="auto" w:sz="4" w:space="0"/>
              <w:bottom w:val="single" w:color="auto" w:sz="4" w:space="0"/>
              <w:right w:val="single" w:color="auto" w:sz="4" w:space="0"/>
            </w:tcBorders>
            <w:vAlign w:val="center"/>
          </w:tcPr>
          <w:p w14:paraId="562C6D50">
            <w:pPr>
              <w:spacing w:line="420" w:lineRule="exact"/>
              <w:rPr>
                <w:rFonts w:ascii="宋体" w:hAnsi="宋体" w:eastAsia="宋体"/>
                <w:szCs w:val="21"/>
              </w:rPr>
            </w:pPr>
            <w:r>
              <w:rPr>
                <w:rFonts w:hint="eastAsia" w:ascii="宋体" w:hAnsi="宋体"/>
              </w:rPr>
              <w:t>质量保证</w:t>
            </w:r>
          </w:p>
        </w:tc>
        <w:tc>
          <w:tcPr>
            <w:tcW w:w="775" w:type="dxa"/>
            <w:tcBorders>
              <w:top w:val="single" w:color="auto" w:sz="4" w:space="0"/>
              <w:left w:val="single" w:color="auto" w:sz="4" w:space="0"/>
              <w:bottom w:val="single" w:color="auto" w:sz="4" w:space="0"/>
              <w:right w:val="single" w:color="auto" w:sz="4" w:space="0"/>
            </w:tcBorders>
            <w:vAlign w:val="center"/>
          </w:tcPr>
          <w:p w14:paraId="7CF5394B">
            <w:pPr>
              <w:spacing w:line="420" w:lineRule="exact"/>
              <w:jc w:val="center"/>
              <w:rPr>
                <w:rFonts w:ascii="宋体" w:hAnsi="宋体" w:eastAsia="宋体"/>
                <w:szCs w:val="21"/>
              </w:rPr>
            </w:pPr>
            <w:r>
              <w:rPr>
                <w:rFonts w:hint="eastAsia" w:ascii="宋体" w:hAnsi="宋体"/>
              </w:rPr>
              <w:t>5</w:t>
            </w:r>
          </w:p>
        </w:tc>
        <w:tc>
          <w:tcPr>
            <w:tcW w:w="5000" w:type="dxa"/>
            <w:tcBorders>
              <w:top w:val="single" w:color="auto" w:sz="4" w:space="0"/>
              <w:left w:val="single" w:color="auto" w:sz="4" w:space="0"/>
              <w:bottom w:val="single" w:color="auto" w:sz="4" w:space="0"/>
              <w:right w:val="single" w:color="auto" w:sz="4" w:space="0"/>
            </w:tcBorders>
            <w:vAlign w:val="center"/>
          </w:tcPr>
          <w:p w14:paraId="2D158700">
            <w:pPr>
              <w:spacing w:line="420" w:lineRule="exact"/>
              <w:rPr>
                <w:rFonts w:ascii="宋体" w:hAnsi="Times New Roman" w:eastAsia="宋体"/>
                <w:bCs/>
                <w:szCs w:val="21"/>
              </w:rPr>
            </w:pPr>
            <w:r>
              <w:rPr>
                <w:rFonts w:hint="eastAsia" w:ascii="宋体" w:hAnsi="宋体"/>
                <w:bCs/>
              </w:rPr>
              <w:t>具有良好的质量管理体系和完备的检测体系，保证设备造质量符合要求（提供相应证明材料）。根据提供的资料综合评审，自主赋分。</w:t>
            </w:r>
          </w:p>
        </w:tc>
      </w:tr>
      <w:tr w14:paraId="600A2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5B6604F0">
            <w:pPr>
              <w:spacing w:line="420" w:lineRule="exact"/>
              <w:jc w:val="center"/>
              <w:rPr>
                <w:rFonts w:hint="default" w:ascii="宋体" w:hAnsi="宋体" w:eastAsia="宋体"/>
                <w:lang w:val="en-US" w:eastAsia="zh-CN"/>
              </w:rPr>
            </w:pPr>
            <w:r>
              <w:rPr>
                <w:rFonts w:hint="eastAsia" w:ascii="宋体" w:hAnsi="宋体" w:eastAsia="宋体"/>
                <w:lang w:val="en-US" w:eastAsia="zh-CN"/>
              </w:rPr>
              <w:t>7</w:t>
            </w:r>
          </w:p>
        </w:tc>
        <w:tc>
          <w:tcPr>
            <w:tcW w:w="3225" w:type="dxa"/>
            <w:tcBorders>
              <w:top w:val="single" w:color="auto" w:sz="4" w:space="0"/>
              <w:left w:val="single" w:color="auto" w:sz="4" w:space="0"/>
              <w:bottom w:val="single" w:color="auto" w:sz="4" w:space="0"/>
              <w:right w:val="single" w:color="auto" w:sz="4" w:space="0"/>
            </w:tcBorders>
            <w:vAlign w:val="center"/>
          </w:tcPr>
          <w:p w14:paraId="4C6E19AC">
            <w:pPr>
              <w:spacing w:line="420" w:lineRule="exact"/>
              <w:rPr>
                <w:rFonts w:hint="eastAsia" w:ascii="宋体" w:hAnsi="宋体" w:eastAsiaTheme="minorEastAsia"/>
                <w:lang w:val="en-US" w:eastAsia="zh-CN"/>
              </w:rPr>
            </w:pPr>
            <w:r>
              <w:rPr>
                <w:rFonts w:hint="eastAsia"/>
                <w:szCs w:val="21"/>
                <w:highlight w:val="none"/>
                <w:lang w:val="en-US" w:eastAsia="zh-CN"/>
              </w:rPr>
              <w:t>技术偏离</w:t>
            </w:r>
          </w:p>
        </w:tc>
        <w:tc>
          <w:tcPr>
            <w:tcW w:w="775" w:type="dxa"/>
            <w:tcBorders>
              <w:top w:val="single" w:color="auto" w:sz="4" w:space="0"/>
              <w:left w:val="single" w:color="auto" w:sz="4" w:space="0"/>
              <w:bottom w:val="single" w:color="auto" w:sz="4" w:space="0"/>
              <w:right w:val="single" w:color="auto" w:sz="4" w:space="0"/>
            </w:tcBorders>
            <w:vAlign w:val="center"/>
          </w:tcPr>
          <w:p w14:paraId="0F367836">
            <w:pPr>
              <w:spacing w:line="420" w:lineRule="exact"/>
              <w:jc w:val="center"/>
              <w:rPr>
                <w:rFonts w:hint="eastAsia" w:ascii="宋体" w:hAnsi="宋体" w:eastAsiaTheme="minorEastAsia"/>
                <w:lang w:val="en-US" w:eastAsia="zh-CN"/>
              </w:rPr>
            </w:pPr>
            <w:r>
              <w:rPr>
                <w:rFonts w:hint="eastAsia" w:ascii="宋体" w:hAnsi="宋体"/>
                <w:lang w:val="en-US" w:eastAsia="zh-CN"/>
              </w:rPr>
              <w:t>5</w:t>
            </w:r>
          </w:p>
        </w:tc>
        <w:tc>
          <w:tcPr>
            <w:tcW w:w="5000" w:type="dxa"/>
            <w:tcBorders>
              <w:top w:val="single" w:color="auto" w:sz="4" w:space="0"/>
              <w:left w:val="single" w:color="auto" w:sz="4" w:space="0"/>
              <w:bottom w:val="single" w:color="auto" w:sz="4" w:space="0"/>
              <w:right w:val="single" w:color="auto" w:sz="4" w:space="0"/>
            </w:tcBorders>
            <w:vAlign w:val="center"/>
          </w:tcPr>
          <w:p w14:paraId="0EEFE318">
            <w:pPr>
              <w:spacing w:line="420" w:lineRule="exact"/>
              <w:rPr>
                <w:rFonts w:hint="eastAsia"/>
                <w:szCs w:val="21"/>
                <w:lang w:val="en-US" w:eastAsia="zh-CN"/>
              </w:rPr>
            </w:pPr>
            <w:r>
              <w:rPr>
                <w:rFonts w:hint="eastAsia"/>
                <w:szCs w:val="21"/>
                <w:lang w:val="en-US" w:eastAsia="zh-CN"/>
              </w:rPr>
              <w:t>技术方案优于招标要求的视情况加1-5分；</w:t>
            </w:r>
          </w:p>
          <w:p w14:paraId="4B36BD54">
            <w:pPr>
              <w:spacing w:line="420" w:lineRule="exact"/>
              <w:rPr>
                <w:rFonts w:hint="eastAsia" w:ascii="宋体" w:hAnsi="宋体"/>
                <w:bCs/>
              </w:rPr>
            </w:pPr>
            <w:r>
              <w:rPr>
                <w:rFonts w:hint="eastAsia"/>
                <w:szCs w:val="21"/>
                <w:lang w:val="en-US" w:eastAsia="zh-CN"/>
              </w:rPr>
              <w:t>不满足招标要求的视情况减1-5分。</w:t>
            </w:r>
          </w:p>
        </w:tc>
      </w:tr>
      <w:tr w14:paraId="11825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825" w:type="dxa"/>
            <w:tcBorders>
              <w:top w:val="single" w:color="auto" w:sz="4" w:space="0"/>
              <w:left w:val="single" w:color="auto" w:sz="4" w:space="0"/>
              <w:bottom w:val="single" w:color="auto" w:sz="4" w:space="0"/>
              <w:right w:val="single" w:color="auto" w:sz="4" w:space="0"/>
            </w:tcBorders>
            <w:vAlign w:val="center"/>
          </w:tcPr>
          <w:p w14:paraId="2A1C1F09">
            <w:pPr>
              <w:spacing w:line="420" w:lineRule="exact"/>
              <w:jc w:val="center"/>
              <w:rPr>
                <w:rFonts w:hint="eastAsia" w:ascii="宋体" w:hAnsi="宋体" w:eastAsia="宋体"/>
                <w:szCs w:val="21"/>
                <w:lang w:eastAsia="zh-CN"/>
              </w:rPr>
            </w:pPr>
            <w:r>
              <w:rPr>
                <w:rFonts w:hint="eastAsia" w:ascii="宋体" w:hAnsi="宋体" w:eastAsia="宋体"/>
                <w:lang w:val="en-US" w:eastAsia="zh-CN"/>
              </w:rPr>
              <w:t>8</w:t>
            </w:r>
          </w:p>
        </w:tc>
        <w:tc>
          <w:tcPr>
            <w:tcW w:w="3225" w:type="dxa"/>
            <w:tcBorders>
              <w:top w:val="single" w:color="auto" w:sz="4" w:space="0"/>
              <w:left w:val="single" w:color="auto" w:sz="4" w:space="0"/>
              <w:bottom w:val="single" w:color="auto" w:sz="4" w:space="0"/>
              <w:right w:val="single" w:color="auto" w:sz="4" w:space="0"/>
            </w:tcBorders>
            <w:vAlign w:val="center"/>
          </w:tcPr>
          <w:p w14:paraId="359F46FB">
            <w:pPr>
              <w:spacing w:line="420" w:lineRule="exact"/>
              <w:rPr>
                <w:rFonts w:hint="default" w:ascii="宋体" w:hAnsi="宋体" w:eastAsia="宋体"/>
                <w:szCs w:val="21"/>
                <w:lang w:val="en-US" w:eastAsia="zh-CN"/>
              </w:rPr>
            </w:pPr>
            <w:r>
              <w:rPr>
                <w:rFonts w:hint="eastAsia" w:ascii="宋体" w:hAnsi="宋体" w:eastAsia="宋体"/>
                <w:lang w:val="en-US" w:eastAsia="zh-CN"/>
              </w:rPr>
              <w:t>项目交期</w:t>
            </w:r>
          </w:p>
        </w:tc>
        <w:tc>
          <w:tcPr>
            <w:tcW w:w="775" w:type="dxa"/>
            <w:tcBorders>
              <w:top w:val="single" w:color="auto" w:sz="4" w:space="0"/>
              <w:left w:val="single" w:color="auto" w:sz="4" w:space="0"/>
              <w:bottom w:val="single" w:color="auto" w:sz="4" w:space="0"/>
              <w:right w:val="single" w:color="auto" w:sz="4" w:space="0"/>
            </w:tcBorders>
            <w:vAlign w:val="center"/>
          </w:tcPr>
          <w:p w14:paraId="60818590">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38EA0A20">
            <w:pPr>
              <w:tabs>
                <w:tab w:val="left" w:pos="7854"/>
              </w:tabs>
              <w:rPr>
                <w:rFonts w:hint="default" w:ascii="宋体" w:hAnsi="Times New Roman" w:eastAsiaTheme="minorEastAsia"/>
                <w:bCs/>
                <w:szCs w:val="21"/>
                <w:lang w:val="en-US" w:eastAsia="zh-CN"/>
              </w:rPr>
            </w:pPr>
            <w:r>
              <w:rPr>
                <w:rFonts w:hint="eastAsia"/>
                <w:szCs w:val="21"/>
              </w:rPr>
              <w:t>可以提前完成项目交货，视情况得</w:t>
            </w:r>
            <w:r>
              <w:rPr>
                <w:szCs w:val="21"/>
              </w:rPr>
              <w:t>0-</w:t>
            </w:r>
            <w:r>
              <w:rPr>
                <w:rFonts w:hint="eastAsia"/>
                <w:szCs w:val="21"/>
                <w:lang w:val="en-US" w:eastAsia="zh-CN"/>
              </w:rPr>
              <w:t>10分。</w:t>
            </w:r>
          </w:p>
        </w:tc>
      </w:tr>
      <w:tr w14:paraId="51A9C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825" w:type="dxa"/>
            <w:tcBorders>
              <w:top w:val="single" w:color="auto" w:sz="4" w:space="0"/>
              <w:left w:val="single" w:color="auto" w:sz="4" w:space="0"/>
              <w:bottom w:val="single" w:color="auto" w:sz="4" w:space="0"/>
              <w:right w:val="single" w:color="auto" w:sz="4" w:space="0"/>
            </w:tcBorders>
            <w:vAlign w:val="center"/>
          </w:tcPr>
          <w:p w14:paraId="6C4F7E6E">
            <w:pPr>
              <w:spacing w:line="420" w:lineRule="exact"/>
              <w:jc w:val="center"/>
              <w:rPr>
                <w:rFonts w:hint="default" w:ascii="宋体" w:hAnsi="宋体" w:eastAsia="宋体"/>
                <w:lang w:val="en-US" w:eastAsia="zh-CN"/>
              </w:rPr>
            </w:pPr>
            <w:r>
              <w:rPr>
                <w:rFonts w:hint="eastAsia" w:ascii="宋体" w:hAnsi="宋体" w:eastAsia="宋体"/>
                <w:lang w:val="en-US" w:eastAsia="zh-CN"/>
              </w:rPr>
              <w:t>9</w:t>
            </w:r>
          </w:p>
        </w:tc>
        <w:tc>
          <w:tcPr>
            <w:tcW w:w="3225" w:type="dxa"/>
            <w:tcBorders>
              <w:top w:val="single" w:color="auto" w:sz="4" w:space="0"/>
              <w:left w:val="single" w:color="auto" w:sz="4" w:space="0"/>
              <w:bottom w:val="single" w:color="auto" w:sz="4" w:space="0"/>
              <w:right w:val="single" w:color="auto" w:sz="4" w:space="0"/>
            </w:tcBorders>
            <w:vAlign w:val="center"/>
          </w:tcPr>
          <w:p w14:paraId="5A75D283">
            <w:pPr>
              <w:spacing w:line="420" w:lineRule="exact"/>
              <w:rPr>
                <w:rFonts w:hint="default" w:ascii="宋体" w:hAnsi="宋体" w:eastAsia="宋体"/>
                <w:lang w:val="en-US" w:eastAsia="zh-CN"/>
              </w:rPr>
            </w:pPr>
            <w:r>
              <w:rPr>
                <w:rFonts w:hint="eastAsia" w:ascii="宋体" w:hAnsi="宋体" w:eastAsia="宋体"/>
                <w:lang w:val="en-US" w:eastAsia="zh-CN"/>
              </w:rPr>
              <w:t>电气作业资质</w:t>
            </w:r>
          </w:p>
        </w:tc>
        <w:tc>
          <w:tcPr>
            <w:tcW w:w="775" w:type="dxa"/>
            <w:tcBorders>
              <w:top w:val="single" w:color="auto" w:sz="4" w:space="0"/>
              <w:left w:val="single" w:color="auto" w:sz="4" w:space="0"/>
              <w:bottom w:val="single" w:color="auto" w:sz="4" w:space="0"/>
              <w:right w:val="single" w:color="auto" w:sz="4" w:space="0"/>
            </w:tcBorders>
            <w:vAlign w:val="center"/>
          </w:tcPr>
          <w:p w14:paraId="7A2DC390">
            <w:pPr>
              <w:spacing w:line="420" w:lineRule="exact"/>
              <w:jc w:val="center"/>
              <w:rPr>
                <w:rFonts w:hint="default" w:ascii="宋体" w:hAnsi="宋体" w:eastAsia="宋体"/>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29187FF8">
            <w:pPr>
              <w:tabs>
                <w:tab w:val="left" w:pos="7854"/>
              </w:tabs>
              <w:rPr>
                <w:rFonts w:hint="default" w:eastAsiaTheme="minorEastAsia"/>
                <w:szCs w:val="21"/>
                <w:lang w:val="en-US" w:eastAsia="zh-CN"/>
              </w:rPr>
            </w:pPr>
            <w:r>
              <w:rPr>
                <w:rFonts w:hint="eastAsia"/>
                <w:szCs w:val="21"/>
                <w:lang w:val="en-US" w:eastAsia="zh-CN"/>
              </w:rPr>
              <w:t>项目建设所有接电接气工作及电缆、气管均符合要求，具备电气作业资质，视情况的0-10分</w:t>
            </w:r>
          </w:p>
        </w:tc>
      </w:tr>
      <w:tr w14:paraId="62B81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266F0E3F">
            <w:pPr>
              <w:spacing w:line="420" w:lineRule="exact"/>
              <w:jc w:val="center"/>
              <w:rPr>
                <w:rFonts w:hint="eastAsia" w:ascii="宋体" w:hAnsi="宋体" w:eastAsiaTheme="minorEastAsia"/>
                <w:lang w:val="en-US" w:eastAsia="zh-CN"/>
              </w:rPr>
            </w:pPr>
            <w:r>
              <w:rPr>
                <w:rFonts w:hint="eastAsia" w:ascii="宋体" w:hAnsi="宋体" w:eastAsia="宋体" w:cs="宋体"/>
                <w:b/>
                <w:sz w:val="28"/>
                <w:szCs w:val="28"/>
                <w:lang w:val="en-US" w:eastAsia="zh-CN"/>
              </w:rPr>
              <w:t>二</w:t>
            </w:r>
          </w:p>
        </w:tc>
        <w:tc>
          <w:tcPr>
            <w:tcW w:w="9000" w:type="dxa"/>
            <w:gridSpan w:val="3"/>
            <w:tcBorders>
              <w:top w:val="single" w:color="auto" w:sz="4" w:space="0"/>
              <w:left w:val="single" w:color="auto" w:sz="4" w:space="0"/>
              <w:bottom w:val="single" w:color="auto" w:sz="4" w:space="0"/>
              <w:right w:val="single" w:color="auto" w:sz="4" w:space="0"/>
            </w:tcBorders>
            <w:vAlign w:val="center"/>
          </w:tcPr>
          <w:p w14:paraId="13A6C77C">
            <w:pPr>
              <w:spacing w:line="420" w:lineRule="exact"/>
              <w:rPr>
                <w:rFonts w:hint="eastAsia" w:ascii="宋体" w:hAnsi="宋体" w:eastAsiaTheme="minorEastAsia"/>
                <w:bCs/>
                <w:lang w:val="en-US" w:eastAsia="zh-CN"/>
              </w:rPr>
            </w:pPr>
            <w:r>
              <w:rPr>
                <w:rFonts w:hint="eastAsia" w:ascii="宋体" w:hAnsi="宋体" w:eastAsia="宋体" w:cs="宋体"/>
                <w:b/>
                <w:sz w:val="28"/>
                <w:szCs w:val="28"/>
                <w:lang w:val="en-US" w:eastAsia="zh-CN"/>
              </w:rPr>
              <w:t>商务标</w:t>
            </w:r>
          </w:p>
        </w:tc>
      </w:tr>
      <w:tr w14:paraId="543EA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trPr>
        <w:tc>
          <w:tcPr>
            <w:tcW w:w="9825" w:type="dxa"/>
            <w:gridSpan w:val="4"/>
            <w:tcBorders>
              <w:top w:val="single" w:color="auto" w:sz="4" w:space="0"/>
              <w:left w:val="single" w:color="auto" w:sz="4" w:space="0"/>
              <w:bottom w:val="single" w:color="auto" w:sz="4" w:space="0"/>
              <w:right w:val="single" w:color="auto" w:sz="4" w:space="0"/>
            </w:tcBorders>
            <w:vAlign w:val="center"/>
          </w:tcPr>
          <w:p w14:paraId="3B1E4B31">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1E889481">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1、评标基准价为所有合理有效的最终投标报价的最低价。</w:t>
            </w:r>
          </w:p>
          <w:p w14:paraId="3B726501">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w:t>
            </w:r>
            <w:r>
              <w:rPr>
                <w:rFonts w:hint="eastAsia" w:ascii="宋体" w:hAnsi="宋体" w:eastAsia="宋体" w:cs="Times New Roman"/>
                <w:bCs/>
                <w:sz w:val="24"/>
                <w:szCs w:val="24"/>
                <w:lang w:val="en-US" w:eastAsia="zh-CN"/>
              </w:rPr>
              <w:t>100</w:t>
            </w:r>
            <w:r>
              <w:rPr>
                <w:rFonts w:hint="eastAsia" w:ascii="宋体" w:hAnsi="宋体" w:eastAsia="宋体" w:cs="Times New Roman"/>
                <w:bCs/>
                <w:sz w:val="24"/>
                <w:szCs w:val="24"/>
              </w:rPr>
              <w:t>分；其他投标人的价格得分按下列公式计算：投标价格得分=</w:t>
            </w:r>
            <w:r>
              <w:rPr>
                <w:rFonts w:hint="eastAsia" w:ascii="宋体" w:hAnsi="宋体" w:eastAsia="宋体" w:cs="Times New Roman"/>
                <w:bCs/>
                <w:sz w:val="24"/>
                <w:szCs w:val="24"/>
                <w:lang w:val="en-US" w:eastAsia="zh-CN"/>
              </w:rPr>
              <w:t>100</w:t>
            </w:r>
            <w:r>
              <w:rPr>
                <w:rFonts w:hint="eastAsia" w:ascii="宋体" w:hAnsi="宋体" w:eastAsia="宋体" w:cs="Times New Roman"/>
                <w:bCs/>
                <w:sz w:val="24"/>
                <w:szCs w:val="24"/>
              </w:rPr>
              <w:t>×（评标基准价/投标报价）。</w:t>
            </w:r>
          </w:p>
          <w:p w14:paraId="561E2976">
            <w:pPr>
              <w:spacing w:line="420" w:lineRule="exact"/>
              <w:rPr>
                <w:rFonts w:hint="eastAsia"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3B091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trPr>
        <w:tc>
          <w:tcPr>
            <w:tcW w:w="825" w:type="dxa"/>
            <w:tcBorders>
              <w:top w:val="single" w:color="auto" w:sz="4" w:space="0"/>
              <w:left w:val="single" w:color="auto" w:sz="4" w:space="0"/>
              <w:bottom w:val="single" w:color="auto" w:sz="4" w:space="0"/>
              <w:right w:val="single" w:color="auto" w:sz="4" w:space="0"/>
            </w:tcBorders>
            <w:vAlign w:val="center"/>
          </w:tcPr>
          <w:p w14:paraId="75C6217E">
            <w:pPr>
              <w:spacing w:line="420" w:lineRule="exact"/>
              <w:jc w:val="center"/>
              <w:rPr>
                <w:rFonts w:hint="eastAsia" w:ascii="宋体" w:hAnsi="宋体" w:eastAsiaTheme="minorEastAsia"/>
                <w:lang w:val="en-US" w:eastAsia="zh-CN"/>
              </w:rPr>
            </w:pPr>
            <w:r>
              <w:rPr>
                <w:rFonts w:hint="eastAsia" w:ascii="宋体" w:hAnsi="宋体" w:eastAsia="宋体" w:cs="宋体"/>
                <w:b/>
                <w:sz w:val="28"/>
                <w:szCs w:val="28"/>
                <w:lang w:val="en-US" w:eastAsia="zh-CN"/>
              </w:rPr>
              <w:t>三</w:t>
            </w:r>
          </w:p>
        </w:tc>
        <w:tc>
          <w:tcPr>
            <w:tcW w:w="9000" w:type="dxa"/>
            <w:gridSpan w:val="3"/>
            <w:tcBorders>
              <w:top w:val="single" w:color="auto" w:sz="4" w:space="0"/>
              <w:left w:val="single" w:color="auto" w:sz="4" w:space="0"/>
              <w:bottom w:val="single" w:color="auto" w:sz="4" w:space="0"/>
              <w:right w:val="single" w:color="auto" w:sz="4" w:space="0"/>
            </w:tcBorders>
            <w:vAlign w:val="center"/>
          </w:tcPr>
          <w:p w14:paraId="081CE65A">
            <w:pPr>
              <w:spacing w:line="420" w:lineRule="exact"/>
              <w:rPr>
                <w:rFonts w:hint="eastAsia" w:ascii="宋体" w:hAnsi="宋体"/>
                <w:bCs/>
                <w:lang w:val="en-US" w:eastAsia="zh-CN"/>
              </w:rPr>
            </w:pPr>
            <w:r>
              <w:rPr>
                <w:rFonts w:hint="eastAsia" w:ascii="宋体" w:hAnsi="宋体" w:eastAsia="宋体" w:cs="宋体"/>
                <w:b/>
                <w:sz w:val="28"/>
                <w:szCs w:val="28"/>
                <w:lang w:val="en-US" w:eastAsia="zh-CN"/>
              </w:rPr>
              <w:t>综合得分</w:t>
            </w:r>
          </w:p>
        </w:tc>
      </w:tr>
      <w:tr w14:paraId="08568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trPr>
        <w:tc>
          <w:tcPr>
            <w:tcW w:w="9825" w:type="dxa"/>
            <w:gridSpan w:val="4"/>
            <w:tcBorders>
              <w:top w:val="single" w:color="auto" w:sz="4" w:space="0"/>
              <w:left w:val="single" w:color="auto" w:sz="4" w:space="0"/>
              <w:bottom w:val="single" w:color="auto" w:sz="4" w:space="0"/>
              <w:right w:val="single" w:color="auto" w:sz="4" w:space="0"/>
            </w:tcBorders>
            <w:vAlign w:val="center"/>
          </w:tcPr>
          <w:p w14:paraId="6FC99907">
            <w:pPr>
              <w:spacing w:line="420" w:lineRule="exact"/>
              <w:rPr>
                <w:rFonts w:hint="eastAsia" w:ascii="宋体" w:hAnsi="宋体"/>
                <w:bCs/>
              </w:rPr>
            </w:pPr>
            <w:r>
              <w:rPr>
                <w:rFonts w:hint="eastAsia" w:ascii="宋体" w:hAnsi="Times New Roman" w:eastAsia="宋体" w:cs="Times New Roman"/>
                <w:b/>
                <w:bCs w:val="0"/>
                <w:sz w:val="24"/>
                <w:szCs w:val="24"/>
                <w:lang w:val="en-US" w:eastAsia="zh-CN"/>
              </w:rPr>
              <w:t>综合得分=技术分×30%＋商务标得分×70%</w:t>
            </w:r>
          </w:p>
        </w:tc>
      </w:tr>
    </w:tbl>
    <w:p w14:paraId="78C4BE39">
      <w:pPr>
        <w:pStyle w:val="72"/>
        <w:numPr>
          <w:ilvl w:val="0"/>
          <w:numId w:val="0"/>
        </w:numPr>
        <w:rPr>
          <w:rFonts w:hint="eastAsia" w:ascii="宋体" w:hAnsi="宋体" w:eastAsia="宋体" w:cs="宋体"/>
          <w:b w:val="0"/>
          <w:bCs w:val="0"/>
          <w:sz w:val="21"/>
          <w:szCs w:val="21"/>
        </w:rPr>
      </w:pPr>
    </w:p>
    <w:p w14:paraId="0B2A8F6D">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投标说明-投标文件的组成-资质文件”中的要求</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通过应标资格审查的单位进入投标环节，按照“SRM系统供应商用户手册”，在重汽e采通平台投递电子标书（包含资质标、商务标）；没有通过应标资质审查的单位不能进入投标环节；</w:t>
      </w:r>
    </w:p>
    <w:p w14:paraId="3B34C86F">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21"/>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default" w:ascii="宋体" w:hAnsi="宋体" w:eastAsia="宋体" w:cs="宋体"/>
          <w:color w:val="000000"/>
          <w:kern w:val="2"/>
          <w:sz w:val="21"/>
          <w:szCs w:val="21"/>
          <w:highlight w:val="none"/>
          <w:lang w:val="en-US" w:eastAsia="zh-CN" w:bidi="ar-SA"/>
        </w:rPr>
        <w:t>)</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4" w:name="OLE_LINK27"/>
      <w:bookmarkStart w:id="15" w:name="OLE_LINK28"/>
      <w:bookmarkStart w:id="16" w:name="OLE_LINK26"/>
      <w:bookmarkStart w:id="17" w:name="OLE_LINK25"/>
      <w:bookmarkStart w:id="18" w:name="OLE_LINK29"/>
      <w:r>
        <w:rPr>
          <w:rFonts w:hint="eastAsia" w:ascii="宋体" w:hAnsi="宋体" w:eastAsia="宋体" w:cs="宋体"/>
          <w:bCs/>
          <w:sz w:val="21"/>
          <w:szCs w:val="21"/>
          <w:highlight w:val="none"/>
        </w:rPr>
        <w:t>；</w:t>
      </w:r>
      <w:bookmarkEnd w:id="14"/>
      <w:bookmarkEnd w:id="15"/>
      <w:bookmarkEnd w:id="16"/>
      <w:bookmarkEnd w:id="17"/>
      <w:bookmarkEnd w:id="18"/>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rPr>
          <w:highlight w:val="none"/>
        </w:rPr>
      </w:pPr>
      <w:r>
        <w:rPr>
          <w:rFonts w:hint="eastAsia"/>
          <w:highlight w:val="none"/>
          <w:lang w:val="en-US" w:eastAsia="zh-CN"/>
        </w:rPr>
        <w:t>付款</w:t>
      </w:r>
    </w:p>
    <w:p w14:paraId="7337126B">
      <w:pPr>
        <w:pStyle w:val="29"/>
        <w:spacing w:after="0" w:line="240" w:lineRule="auto"/>
        <w:ind w:left="0" w:leftChars="0" w:firstLine="0" w:firstLineChars="0"/>
        <w:rPr>
          <w:rFonts w:ascii="宋体" w:hAnsi="宋体" w:cs="宋体"/>
          <w:b/>
          <w:bCs/>
          <w:sz w:val="24"/>
          <w:szCs w:val="24"/>
        </w:rPr>
      </w:pPr>
      <w:r>
        <w:rPr>
          <w:rFonts w:hint="eastAsia" w:ascii="宋体" w:hAnsi="宋体" w:cs="宋体"/>
          <w:b/>
          <w:bCs/>
          <w:sz w:val="24"/>
          <w:szCs w:val="24"/>
          <w:u w:val="single"/>
          <w:lang w:val="en-US" w:eastAsia="zh-CN"/>
        </w:rPr>
        <w:t>一、</w:t>
      </w:r>
      <w:r>
        <w:rPr>
          <w:rFonts w:hint="eastAsia" w:ascii="宋体" w:hAnsi="宋体" w:cs="宋体"/>
          <w:b/>
          <w:bCs/>
          <w:sz w:val="24"/>
          <w:szCs w:val="24"/>
          <w:u w:val="single"/>
        </w:rPr>
        <w:t>付款方式：半年期商业汇票（包括银行承兑汇票和商业承兑汇票）</w:t>
      </w:r>
    </w:p>
    <w:p w14:paraId="6913F59F">
      <w:pPr>
        <w:ind w:firstLine="480" w:firstLineChars="200"/>
        <w:rPr>
          <w:rFonts w:ascii="宋体" w:hAnsi="宋体" w:eastAsia="宋体" w:cs="宋体"/>
          <w:sz w:val="24"/>
          <w:szCs w:val="24"/>
        </w:rPr>
      </w:pPr>
      <w:r>
        <w:rPr>
          <w:rFonts w:ascii="宋体" w:hAnsi="宋体" w:eastAsia="宋体" w:cs="宋体"/>
          <w:sz w:val="24"/>
          <w:szCs w:val="24"/>
        </w:rPr>
        <w:t>1.合同生效设备全部到齐无质量问题通过买方初步验收并到货后，卖方开具金额为该合同设备价格30%的增值税专用发票带30%的收据（含复印件二份），经买方依照财务制度审核无误后支付合同价款的30%。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2.设备全部到齐，经现场安装、调试、验收合格交付使用后，卖方提交金额为合同价款60%的收据并附带下列单据，经买方依照财务制度审核无误后支付合同价款的60%。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a.金额为该合同设备价格70%的增值税专用发票（含复印件二份），具体开票信息详见发票信息表，根据表中所列分别开具增值税发票。</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b.该套设备最终验收报告的原件及其复印件两份。</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3.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14:paraId="13D6120C">
      <w:pPr>
        <w:pStyle w:val="29"/>
        <w:spacing w:after="0" w:line="240" w:lineRule="auto"/>
        <w:ind w:left="0" w:leftChars="0" w:firstLine="0" w:firstLineChars="0"/>
        <w:rPr>
          <w:rFonts w:hint="eastAsia" w:ascii="宋体" w:hAnsi="宋体" w:cs="宋体"/>
          <w:b/>
          <w:bCs/>
          <w:sz w:val="24"/>
          <w:szCs w:val="24"/>
          <w:u w:val="single"/>
          <w:lang w:val="en-US" w:eastAsia="zh-CN"/>
        </w:rPr>
      </w:pPr>
      <w:r>
        <w:rPr>
          <w:rFonts w:hint="eastAsia" w:ascii="宋体" w:hAnsi="宋体" w:cs="宋体"/>
          <w:b/>
          <w:bCs/>
          <w:sz w:val="24"/>
          <w:szCs w:val="24"/>
          <w:u w:val="single"/>
          <w:lang w:val="en-US" w:eastAsia="zh-CN"/>
        </w:rPr>
        <w:t>二、交货时间：</w:t>
      </w:r>
    </w:p>
    <w:p w14:paraId="4E0BFD42">
      <w:pPr>
        <w:rPr>
          <w:rFonts w:hint="eastAsia" w:ascii="宋体" w:hAnsi="宋体" w:eastAsia="宋体" w:cs="宋体"/>
          <w:sz w:val="24"/>
          <w:szCs w:val="24"/>
        </w:rPr>
      </w:pPr>
      <w:r>
        <w:rPr>
          <w:rFonts w:hint="eastAsia" w:ascii="宋体" w:hAnsi="宋体" w:eastAsia="宋体" w:cs="宋体"/>
          <w:sz w:val="24"/>
          <w:szCs w:val="24"/>
        </w:rPr>
        <w:t xml:space="preserve">1 </w:t>
      </w:r>
      <w:r>
        <w:rPr>
          <w:rFonts w:hint="eastAsia" w:ascii="宋体" w:hAnsi="宋体" w:eastAsia="宋体" w:cs="宋体"/>
          <w:sz w:val="24"/>
          <w:szCs w:val="24"/>
          <w:lang w:val="en-US" w:eastAsia="zh-CN"/>
        </w:rPr>
        <w:t>.</w:t>
      </w:r>
      <w:r>
        <w:rPr>
          <w:rFonts w:hint="eastAsia" w:ascii="宋体" w:hAnsi="宋体" w:eastAsia="宋体" w:cs="宋体"/>
          <w:sz w:val="24"/>
          <w:szCs w:val="24"/>
        </w:rPr>
        <w:t xml:space="preserve"> 投标方应自</w:t>
      </w:r>
      <w:r>
        <w:rPr>
          <w:rFonts w:hint="eastAsia" w:ascii="宋体" w:hAnsi="宋体" w:eastAsia="宋体" w:cs="宋体"/>
          <w:sz w:val="24"/>
          <w:szCs w:val="24"/>
          <w:lang w:val="en-US" w:eastAsia="zh-CN"/>
        </w:rPr>
        <w:t>合同签定</w:t>
      </w:r>
      <w:r>
        <w:rPr>
          <w:rFonts w:hint="eastAsia" w:ascii="宋体" w:hAnsi="宋体" w:eastAsia="宋体" w:cs="宋体"/>
          <w:sz w:val="24"/>
          <w:szCs w:val="24"/>
        </w:rPr>
        <w:t>之日起，</w:t>
      </w:r>
      <w:r>
        <w:rPr>
          <w:rFonts w:hint="eastAsia" w:ascii="宋体" w:hAnsi="宋体" w:eastAsia="宋体" w:cs="宋体"/>
          <w:sz w:val="24"/>
          <w:szCs w:val="24"/>
          <w:lang w:val="en-US" w:eastAsia="zh-CN"/>
        </w:rPr>
        <w:t>25</w:t>
      </w:r>
      <w:r>
        <w:rPr>
          <w:rFonts w:hint="eastAsia" w:ascii="宋体" w:hAnsi="宋体" w:eastAsia="宋体" w:cs="宋体"/>
          <w:sz w:val="24"/>
          <w:szCs w:val="24"/>
        </w:rPr>
        <w:t>个日历日之内交货至供货地点</w:t>
      </w:r>
    </w:p>
    <w:p w14:paraId="26441D44">
      <w:pPr>
        <w:rPr>
          <w:rFonts w:hint="eastAsia" w:ascii="宋体" w:hAnsi="宋体" w:eastAsia="宋体" w:cs="宋体"/>
          <w:sz w:val="24"/>
          <w:szCs w:val="24"/>
        </w:rPr>
      </w:pPr>
      <w:r>
        <w:rPr>
          <w:rFonts w:hint="eastAsia" w:ascii="宋体" w:hAnsi="宋体" w:eastAsia="宋体" w:cs="宋体"/>
          <w:sz w:val="24"/>
          <w:szCs w:val="24"/>
        </w:rPr>
        <w:t xml:space="preserve">2.  接续 </w:t>
      </w:r>
      <w:r>
        <w:rPr>
          <w:rFonts w:hint="eastAsia" w:ascii="宋体" w:hAnsi="宋体" w:eastAsia="宋体" w:cs="宋体"/>
          <w:sz w:val="24"/>
          <w:szCs w:val="24"/>
          <w:lang w:val="en-US" w:eastAsia="zh-CN"/>
        </w:rPr>
        <w:t>10</w:t>
      </w:r>
      <w:r>
        <w:rPr>
          <w:rFonts w:hint="eastAsia" w:ascii="宋体" w:hAnsi="宋体" w:eastAsia="宋体" w:cs="宋体"/>
          <w:sz w:val="24"/>
          <w:szCs w:val="24"/>
        </w:rPr>
        <w:t xml:space="preserve">  个日历日之内安装调试完毕；</w:t>
      </w:r>
    </w:p>
    <w:p w14:paraId="0D5CDC2C">
      <w:pPr>
        <w:pStyle w:val="29"/>
        <w:spacing w:after="0" w:line="240" w:lineRule="auto"/>
        <w:ind w:left="0" w:leftChars="0" w:firstLine="0" w:firstLineChars="0"/>
        <w:rPr>
          <w:rFonts w:hint="eastAsia" w:ascii="宋体" w:hAnsi="宋体" w:cs="宋体"/>
          <w:b/>
          <w:bCs/>
          <w:sz w:val="24"/>
          <w:szCs w:val="24"/>
          <w:u w:val="single"/>
          <w:lang w:val="en-US" w:eastAsia="zh-CN"/>
        </w:rPr>
      </w:pPr>
      <w:r>
        <w:rPr>
          <w:rFonts w:hint="eastAsia" w:ascii="宋体" w:hAnsi="宋体" w:cs="宋体"/>
          <w:b/>
          <w:bCs/>
          <w:sz w:val="24"/>
          <w:szCs w:val="24"/>
          <w:u w:val="single"/>
          <w:lang w:val="en-US" w:eastAsia="zh-CN"/>
        </w:rPr>
        <w:t>三、质保期：</w:t>
      </w:r>
    </w:p>
    <w:p w14:paraId="6E01231E">
      <w:pPr>
        <w:rPr>
          <w:rFonts w:hint="default" w:ascii="宋体" w:hAnsi="宋体" w:eastAsia="宋体" w:cs="宋体"/>
          <w:sz w:val="24"/>
          <w:szCs w:val="24"/>
          <w:lang w:val="en-US" w:eastAsia="zh-CN"/>
        </w:rPr>
      </w:pPr>
      <w:r>
        <w:rPr>
          <w:rFonts w:hint="eastAsia" w:ascii="宋体" w:hAnsi="宋体" w:eastAsia="宋体" w:cs="宋体"/>
          <w:sz w:val="24"/>
          <w:szCs w:val="24"/>
        </w:rPr>
        <w:t>自终验收签字生效之日起  12 个月。</w:t>
      </w:r>
    </w:p>
    <w:p w14:paraId="7A550442">
      <w:pPr>
        <w:pStyle w:val="72"/>
        <w:numPr>
          <w:ilvl w:val="0"/>
          <w:numId w:val="0"/>
        </w:numPr>
        <w:rPr>
          <w:rFonts w:hint="eastAsia" w:ascii="宋体" w:hAnsi="宋体" w:eastAsia="宋体" w:cs="宋体"/>
          <w:b w:val="0"/>
          <w:bCs w:val="0"/>
          <w:sz w:val="21"/>
          <w:szCs w:val="21"/>
        </w:rPr>
      </w:pPr>
      <w:r>
        <w:rPr>
          <w:rFonts w:hint="eastAsia" w:ascii="宋体" w:hAnsi="宋体" w:eastAsia="宋体" w:cs="宋体"/>
          <w:b w:val="0"/>
          <w:bCs w:val="0"/>
          <w:sz w:val="21"/>
          <w:szCs w:val="21"/>
        </w:rPr>
        <w:t>*注：付款方式及付款比例不允许偏离。</w:t>
      </w:r>
    </w:p>
    <w:p w14:paraId="08EEE773">
      <w:pPr>
        <w:pStyle w:val="72"/>
        <w:rPr>
          <w:rFonts w:ascii="仿宋" w:hAnsi="仿宋" w:eastAsia="仿宋" w:cs="仿宋"/>
          <w:sz w:val="32"/>
          <w:szCs w:val="32"/>
        </w:rPr>
      </w:pPr>
      <w:r>
        <w:rPr>
          <w:rFonts w:hint="eastAsia"/>
          <w:lang w:val="en-US" w:eastAsia="zh-CN"/>
        </w:rPr>
        <w:t>技术要求</w:t>
      </w:r>
    </w:p>
    <w:p w14:paraId="57921828">
      <w:pPr>
        <w:spacing w:line="480" w:lineRule="exact"/>
        <w:jc w:val="center"/>
        <w:rPr>
          <w:rFonts w:hint="eastAsia" w:ascii="仿宋" w:hAnsi="仿宋" w:eastAsia="仿宋" w:cs="仿宋"/>
          <w:sz w:val="32"/>
          <w:szCs w:val="32"/>
        </w:rPr>
      </w:pPr>
    </w:p>
    <w:p w14:paraId="25FE8493">
      <w:pPr>
        <w:spacing w:line="480" w:lineRule="exact"/>
        <w:jc w:val="center"/>
        <w:rPr>
          <w:rFonts w:hint="eastAsia" w:ascii="仿宋" w:hAnsi="仿宋" w:eastAsia="仿宋" w:cs="仿宋"/>
          <w:sz w:val="32"/>
          <w:szCs w:val="32"/>
        </w:rPr>
      </w:pPr>
    </w:p>
    <w:p w14:paraId="3F7984AB">
      <w:pPr>
        <w:spacing w:line="480" w:lineRule="exact"/>
        <w:jc w:val="center"/>
        <w:rPr>
          <w:rFonts w:hint="eastAsia" w:ascii="仿宋" w:hAnsi="仿宋" w:eastAsia="仿宋" w:cs="仿宋"/>
          <w:sz w:val="32"/>
          <w:szCs w:val="32"/>
        </w:rPr>
      </w:pPr>
    </w:p>
    <w:p w14:paraId="13BE54AB">
      <w:pPr>
        <w:pStyle w:val="4"/>
        <w:numPr>
          <w:ilvl w:val="0"/>
          <w:numId w:val="0"/>
        </w:numPr>
        <w:adjustRightInd w:val="0"/>
        <w:snapToGrid w:val="0"/>
        <w:spacing w:before="0" w:after="0" w:line="540" w:lineRule="exact"/>
        <w:jc w:val="center"/>
        <w:rPr>
          <w:rFonts w:hint="eastAsia" w:ascii="仿宋" w:hAnsi="仿宋" w:eastAsia="仿宋"/>
          <w:sz w:val="40"/>
        </w:rPr>
      </w:pPr>
      <w:r>
        <w:rPr>
          <w:rFonts w:hint="eastAsia" w:ascii="仿宋" w:hAnsi="仿宋" w:eastAsia="仿宋"/>
          <w:sz w:val="40"/>
        </w:rPr>
        <w:t>招标文件技术要求</w:t>
      </w:r>
    </w:p>
    <w:p w14:paraId="204B2979"/>
    <w:p w14:paraId="31C15EA6">
      <w:pPr>
        <w:spacing w:line="480" w:lineRule="exact"/>
        <w:ind w:firstLine="377" w:firstLineChars="118"/>
        <w:rPr>
          <w:rFonts w:ascii="仿宋" w:hAnsi="仿宋" w:eastAsia="仿宋" w:cs="仿宋"/>
          <w:sz w:val="32"/>
          <w:szCs w:val="32"/>
        </w:rPr>
      </w:pPr>
    </w:p>
    <w:p w14:paraId="7DE07914">
      <w:pPr>
        <w:spacing w:line="480" w:lineRule="exact"/>
        <w:ind w:firstLine="377" w:firstLineChars="118"/>
        <w:rPr>
          <w:rFonts w:ascii="仿宋" w:hAnsi="仿宋" w:eastAsia="仿宋" w:cs="仿宋"/>
          <w:sz w:val="32"/>
          <w:szCs w:val="32"/>
        </w:rPr>
      </w:pPr>
      <w:r>
        <w:rPr>
          <w:rFonts w:hint="eastAsia" w:ascii="仿宋" w:hAnsi="仿宋" w:eastAsia="仿宋" w:cs="仿宋"/>
          <w:sz w:val="32"/>
          <w:szCs w:val="32"/>
        </w:rPr>
        <w:t>项目名称：</w:t>
      </w:r>
      <w:r>
        <w:rPr>
          <w:rFonts w:hint="eastAsia" w:ascii="仿宋" w:hAnsi="仿宋" w:eastAsia="仿宋" w:cs="仿宋"/>
          <w:bCs/>
          <w:sz w:val="32"/>
          <w:szCs w:val="32"/>
          <w:u w:val="single"/>
        </w:rPr>
        <w:t xml:space="preserve"> 主减总成产能提升</w:t>
      </w:r>
      <w:r>
        <w:rPr>
          <w:rFonts w:hint="eastAsia" w:ascii="仿宋" w:hAnsi="仿宋" w:eastAsia="仿宋" w:cs="仿宋"/>
          <w:bCs/>
          <w:sz w:val="32"/>
          <w:szCs w:val="32"/>
          <w:u w:val="single"/>
          <w:lang w:val="en-US" w:eastAsia="zh-CN"/>
        </w:rPr>
        <w:t>技改</w:t>
      </w:r>
      <w:r>
        <w:rPr>
          <w:rFonts w:hint="eastAsia" w:ascii="仿宋" w:hAnsi="仿宋" w:eastAsia="仿宋" w:cs="仿宋"/>
          <w:bCs/>
          <w:sz w:val="32"/>
          <w:szCs w:val="32"/>
          <w:u w:val="single"/>
        </w:rPr>
        <w:t>项目</w:t>
      </w:r>
      <w:r>
        <w:rPr>
          <w:rFonts w:hint="eastAsia" w:ascii="仿宋" w:hAnsi="仿宋" w:eastAsia="仿宋" w:cs="仿宋"/>
          <w:sz w:val="32"/>
          <w:szCs w:val="32"/>
          <w:u w:val="single"/>
        </w:rPr>
        <w:t xml:space="preserve"> </w:t>
      </w:r>
    </w:p>
    <w:p w14:paraId="18F9A72E">
      <w:pPr>
        <w:spacing w:line="480" w:lineRule="exact"/>
        <w:ind w:firstLine="377" w:firstLineChars="118"/>
        <w:rPr>
          <w:rFonts w:ascii="仿宋" w:hAnsi="仿宋" w:eastAsia="仿宋" w:cs="仿宋"/>
          <w:sz w:val="32"/>
          <w:szCs w:val="32"/>
          <w:u w:val="single"/>
        </w:rPr>
      </w:pPr>
    </w:p>
    <w:p w14:paraId="1F67BF3A">
      <w:pPr>
        <w:spacing w:line="480" w:lineRule="exact"/>
        <w:ind w:firstLine="377" w:firstLineChars="118"/>
        <w:rPr>
          <w:rFonts w:ascii="仿宋" w:hAnsi="仿宋" w:eastAsia="仿宋" w:cs="仿宋"/>
          <w:sz w:val="32"/>
          <w:szCs w:val="32"/>
        </w:rPr>
      </w:pPr>
    </w:p>
    <w:p w14:paraId="5D33540D">
      <w:pPr>
        <w:spacing w:line="480" w:lineRule="exact"/>
        <w:ind w:firstLine="377" w:firstLineChars="118"/>
        <w:rPr>
          <w:rFonts w:ascii="仿宋" w:hAnsi="仿宋" w:eastAsia="仿宋" w:cs="仿宋"/>
          <w:sz w:val="32"/>
          <w:szCs w:val="32"/>
        </w:rPr>
      </w:pPr>
    </w:p>
    <w:p w14:paraId="72717FC7">
      <w:pPr>
        <w:spacing w:line="480" w:lineRule="exact"/>
        <w:ind w:firstLine="377" w:firstLineChars="118"/>
        <w:rPr>
          <w:rFonts w:ascii="仿宋" w:hAnsi="仿宋" w:eastAsia="仿宋" w:cs="仿宋"/>
          <w:sz w:val="32"/>
          <w:szCs w:val="32"/>
        </w:rPr>
      </w:pPr>
      <w:r>
        <w:rPr>
          <w:rFonts w:hint="eastAsia" w:ascii="仿宋" w:hAnsi="仿宋" w:eastAsia="仿宋" w:cs="仿宋"/>
          <w:sz w:val="32"/>
          <w:szCs w:val="32"/>
        </w:rPr>
        <w:t>货物名称：</w:t>
      </w:r>
      <w:r>
        <w:rPr>
          <w:rFonts w:hint="eastAsia" w:ascii="仿宋" w:hAnsi="仿宋" w:eastAsia="仿宋" w:cs="仿宋"/>
          <w:sz w:val="32"/>
          <w:szCs w:val="32"/>
          <w:u w:val="single"/>
          <w:lang w:val="en-US" w:eastAsia="zh-CN"/>
        </w:rPr>
        <w:t xml:space="preserve">  主减总成产能提升装配线 </w:t>
      </w:r>
      <w:r>
        <w:rPr>
          <w:rFonts w:hint="eastAsia" w:ascii="仿宋" w:hAnsi="仿宋" w:eastAsia="仿宋" w:cs="仿宋"/>
          <w:sz w:val="32"/>
          <w:szCs w:val="32"/>
          <w:u w:val="single"/>
        </w:rPr>
        <w:t xml:space="preserve"> </w:t>
      </w:r>
    </w:p>
    <w:p w14:paraId="4B78C44A">
      <w:pPr>
        <w:spacing w:line="480" w:lineRule="exact"/>
        <w:ind w:firstLine="377" w:firstLineChars="118"/>
        <w:rPr>
          <w:rFonts w:ascii="仿宋" w:hAnsi="仿宋" w:eastAsia="仿宋" w:cs="仿宋"/>
          <w:sz w:val="32"/>
          <w:szCs w:val="32"/>
          <w:u w:val="single"/>
        </w:rPr>
      </w:pPr>
    </w:p>
    <w:p w14:paraId="5B603C92">
      <w:pPr>
        <w:spacing w:line="480" w:lineRule="exact"/>
        <w:ind w:firstLine="377" w:firstLineChars="118"/>
        <w:rPr>
          <w:rFonts w:ascii="仿宋" w:hAnsi="仿宋" w:eastAsia="仿宋" w:cs="仿宋"/>
          <w:sz w:val="32"/>
          <w:szCs w:val="32"/>
          <w:u w:val="single"/>
        </w:rPr>
      </w:pPr>
    </w:p>
    <w:p w14:paraId="3539FCDF">
      <w:pPr>
        <w:spacing w:line="480" w:lineRule="exact"/>
        <w:ind w:firstLine="377" w:firstLineChars="118"/>
        <w:rPr>
          <w:rFonts w:ascii="仿宋" w:hAnsi="仿宋" w:eastAsia="仿宋" w:cs="仿宋"/>
          <w:sz w:val="32"/>
          <w:szCs w:val="32"/>
          <w:u w:val="single"/>
        </w:rPr>
      </w:pPr>
    </w:p>
    <w:p w14:paraId="3C47284A">
      <w:pPr>
        <w:spacing w:line="480" w:lineRule="exact"/>
        <w:ind w:firstLine="377" w:firstLineChars="118"/>
        <w:rPr>
          <w:rFonts w:ascii="仿宋" w:hAnsi="仿宋" w:eastAsia="仿宋" w:cs="仿宋"/>
          <w:sz w:val="32"/>
          <w:szCs w:val="32"/>
          <w:u w:val="single"/>
        </w:rPr>
      </w:pPr>
    </w:p>
    <w:p w14:paraId="282261BC">
      <w:pPr>
        <w:spacing w:line="480" w:lineRule="exact"/>
        <w:ind w:firstLine="377" w:firstLineChars="118"/>
        <w:rPr>
          <w:rFonts w:ascii="仿宋" w:hAnsi="仿宋" w:eastAsia="仿宋" w:cs="仿宋"/>
          <w:sz w:val="32"/>
          <w:szCs w:val="32"/>
          <w:u w:val="single"/>
        </w:rPr>
      </w:pPr>
    </w:p>
    <w:p w14:paraId="2B230AA8">
      <w:pPr>
        <w:spacing w:line="480" w:lineRule="exact"/>
        <w:ind w:firstLine="377" w:firstLineChars="118"/>
        <w:rPr>
          <w:rFonts w:ascii="仿宋" w:hAnsi="仿宋" w:eastAsia="仿宋" w:cs="仿宋"/>
          <w:sz w:val="32"/>
          <w:szCs w:val="32"/>
          <w:u w:val="single"/>
        </w:rPr>
      </w:pPr>
    </w:p>
    <w:p w14:paraId="6B167CEA">
      <w:pPr>
        <w:spacing w:line="480" w:lineRule="exact"/>
        <w:ind w:firstLine="377" w:firstLineChars="118"/>
        <w:rPr>
          <w:rFonts w:ascii="仿宋" w:hAnsi="仿宋" w:eastAsia="仿宋" w:cs="仿宋"/>
          <w:sz w:val="32"/>
          <w:szCs w:val="32"/>
          <w:u w:val="single"/>
        </w:rPr>
      </w:pPr>
    </w:p>
    <w:p w14:paraId="1F2BF090">
      <w:pPr>
        <w:spacing w:line="480" w:lineRule="exact"/>
        <w:ind w:firstLine="377" w:firstLineChars="118"/>
        <w:rPr>
          <w:rFonts w:ascii="仿宋" w:hAnsi="仿宋" w:eastAsia="仿宋" w:cs="仿宋"/>
          <w:sz w:val="32"/>
          <w:szCs w:val="32"/>
          <w:u w:val="single"/>
        </w:rPr>
      </w:pPr>
    </w:p>
    <w:p w14:paraId="2BC5B74C">
      <w:pPr>
        <w:spacing w:line="480" w:lineRule="exact"/>
        <w:ind w:firstLine="377" w:firstLineChars="118"/>
        <w:rPr>
          <w:rFonts w:ascii="仿宋" w:hAnsi="仿宋" w:eastAsia="仿宋" w:cs="仿宋"/>
          <w:sz w:val="32"/>
          <w:szCs w:val="32"/>
          <w:u w:val="single"/>
        </w:rPr>
      </w:pPr>
    </w:p>
    <w:p w14:paraId="2CD428FA">
      <w:pPr>
        <w:tabs>
          <w:tab w:val="left" w:pos="3675"/>
        </w:tabs>
        <w:spacing w:line="480" w:lineRule="exact"/>
        <w:ind w:firstLine="377" w:firstLineChars="118"/>
        <w:rPr>
          <w:rFonts w:ascii="仿宋" w:hAnsi="仿宋" w:eastAsia="仿宋" w:cs="仿宋"/>
          <w:sz w:val="32"/>
          <w:szCs w:val="32"/>
          <w:u w:val="single"/>
        </w:rPr>
      </w:pPr>
    </w:p>
    <w:p w14:paraId="1895D2B3">
      <w:pPr>
        <w:tabs>
          <w:tab w:val="left" w:pos="3675"/>
        </w:tabs>
        <w:spacing w:line="480" w:lineRule="exact"/>
        <w:ind w:firstLine="377" w:firstLineChars="118"/>
        <w:rPr>
          <w:rFonts w:ascii="仿宋" w:hAnsi="仿宋" w:eastAsia="仿宋" w:cs="仿宋"/>
          <w:sz w:val="32"/>
          <w:szCs w:val="32"/>
        </w:rPr>
      </w:pPr>
    </w:p>
    <w:p w14:paraId="4CA3A12E">
      <w:pPr>
        <w:spacing w:line="480" w:lineRule="exact"/>
        <w:ind w:firstLine="377" w:firstLineChars="118"/>
        <w:rPr>
          <w:rFonts w:ascii="仿宋" w:hAnsi="仿宋" w:eastAsia="仿宋" w:cs="仿宋"/>
          <w:sz w:val="32"/>
          <w:szCs w:val="32"/>
        </w:rPr>
      </w:pPr>
    </w:p>
    <w:p w14:paraId="3E913E84">
      <w:pPr>
        <w:spacing w:line="480" w:lineRule="exact"/>
        <w:ind w:firstLine="377" w:firstLineChars="118"/>
        <w:jc w:val="center"/>
        <w:rPr>
          <w:rFonts w:ascii="仿宋" w:hAnsi="仿宋" w:eastAsia="仿宋" w:cs="仿宋"/>
          <w:sz w:val="32"/>
          <w:szCs w:val="32"/>
        </w:rPr>
      </w:pPr>
      <w:r>
        <w:rPr>
          <w:rFonts w:hint="eastAsia" w:ascii="仿宋" w:hAnsi="仿宋" w:eastAsia="仿宋" w:cs="仿宋"/>
          <w:sz w:val="32"/>
          <w:szCs w:val="32"/>
        </w:rPr>
        <w:t>项目单位技术负责人签名：</w:t>
      </w:r>
    </w:p>
    <w:p w14:paraId="782F9D9A">
      <w:pPr>
        <w:spacing w:line="480" w:lineRule="exact"/>
        <w:ind w:firstLine="377" w:firstLineChars="118"/>
        <w:jc w:val="center"/>
        <w:rPr>
          <w:rFonts w:ascii="仿宋" w:hAnsi="仿宋" w:eastAsia="仿宋" w:cs="仿宋"/>
          <w:sz w:val="32"/>
          <w:szCs w:val="32"/>
        </w:rPr>
      </w:pPr>
    </w:p>
    <w:p w14:paraId="0DBA26DC">
      <w:pPr>
        <w:spacing w:line="480" w:lineRule="exact"/>
        <w:ind w:firstLine="377" w:firstLineChars="118"/>
        <w:jc w:val="center"/>
        <w:rPr>
          <w:rFonts w:ascii="仿宋" w:hAnsi="仿宋" w:eastAsia="仿宋" w:cs="仿宋"/>
          <w:sz w:val="32"/>
          <w:szCs w:val="32"/>
        </w:rPr>
      </w:pPr>
    </w:p>
    <w:p w14:paraId="18992FF0">
      <w:pPr>
        <w:spacing w:line="480" w:lineRule="exact"/>
        <w:ind w:firstLine="377" w:firstLineChars="118"/>
        <w:jc w:val="center"/>
        <w:rPr>
          <w:rFonts w:ascii="仿宋" w:hAnsi="仿宋" w:eastAsia="仿宋" w:cs="仿宋"/>
          <w:sz w:val="32"/>
          <w:szCs w:val="32"/>
        </w:rPr>
      </w:pPr>
      <w:r>
        <w:rPr>
          <w:rFonts w:hint="eastAsia" w:ascii="仿宋" w:hAnsi="仿宋" w:eastAsia="仿宋" w:cs="仿宋"/>
          <w:sz w:val="32"/>
          <w:szCs w:val="32"/>
        </w:rPr>
        <w:t>时间： 20</w:t>
      </w:r>
      <w:r>
        <w:rPr>
          <w:rFonts w:hint="eastAsia" w:ascii="仿宋" w:hAnsi="仿宋" w:eastAsia="仿宋" w:cs="仿宋"/>
          <w:sz w:val="32"/>
          <w:szCs w:val="32"/>
          <w:lang w:val="en-US" w:eastAsia="zh-CN"/>
        </w:rPr>
        <w:t>25</w:t>
      </w:r>
      <w:r>
        <w:rPr>
          <w:rFonts w:hint="eastAsia" w:ascii="仿宋" w:hAnsi="仿宋" w:eastAsia="仿宋" w:cs="仿宋"/>
          <w:sz w:val="32"/>
          <w:szCs w:val="32"/>
        </w:rPr>
        <w:t>年</w:t>
      </w:r>
      <w:r>
        <w:rPr>
          <w:rFonts w:hint="eastAsia" w:ascii="仿宋" w:hAnsi="仿宋" w:eastAsia="仿宋" w:cs="仿宋"/>
          <w:sz w:val="32"/>
          <w:szCs w:val="32"/>
          <w:lang w:val="en-US" w:eastAsia="zh-CN"/>
        </w:rPr>
        <w:t>11</w:t>
      </w:r>
      <w:r>
        <w:rPr>
          <w:rFonts w:hint="eastAsia" w:ascii="仿宋" w:hAnsi="仿宋" w:eastAsia="仿宋" w:cs="仿宋"/>
          <w:sz w:val="32"/>
          <w:szCs w:val="32"/>
        </w:rPr>
        <w:t>月</w:t>
      </w:r>
      <w:r>
        <w:rPr>
          <w:rFonts w:hint="eastAsia" w:ascii="仿宋" w:hAnsi="仿宋" w:eastAsia="仿宋" w:cs="仿宋"/>
          <w:sz w:val="32"/>
          <w:szCs w:val="32"/>
          <w:lang w:val="en-US" w:eastAsia="zh-CN"/>
        </w:rPr>
        <w:t>20</w:t>
      </w:r>
      <w:r>
        <w:rPr>
          <w:rFonts w:hint="eastAsia" w:ascii="仿宋" w:hAnsi="仿宋" w:eastAsia="仿宋" w:cs="仿宋"/>
          <w:sz w:val="32"/>
          <w:szCs w:val="32"/>
        </w:rPr>
        <w:t>日</w:t>
      </w:r>
    </w:p>
    <w:p w14:paraId="34ECFFC7">
      <w:pPr>
        <w:spacing w:line="480" w:lineRule="exact"/>
        <w:ind w:firstLine="377" w:firstLineChars="118"/>
        <w:jc w:val="center"/>
        <w:rPr>
          <w:rFonts w:ascii="仿宋" w:hAnsi="仿宋" w:eastAsia="仿宋" w:cs="仿宋"/>
          <w:sz w:val="32"/>
          <w:szCs w:val="32"/>
        </w:rPr>
      </w:pPr>
    </w:p>
    <w:p w14:paraId="1D1031D7">
      <w:pPr>
        <w:spacing w:line="480" w:lineRule="exact"/>
        <w:ind w:firstLine="377" w:firstLineChars="118"/>
        <w:jc w:val="center"/>
        <w:rPr>
          <w:rFonts w:ascii="仿宋" w:hAnsi="仿宋" w:eastAsia="仿宋" w:cs="仿宋"/>
          <w:sz w:val="32"/>
          <w:szCs w:val="32"/>
        </w:rPr>
      </w:pPr>
    </w:p>
    <w:p w14:paraId="16A67A70">
      <w:pPr>
        <w:spacing w:line="480" w:lineRule="exact"/>
        <w:ind w:firstLine="377" w:firstLineChars="118"/>
        <w:jc w:val="center"/>
        <w:rPr>
          <w:rFonts w:ascii="仿宋" w:hAnsi="仿宋" w:eastAsia="仿宋" w:cs="仿宋"/>
          <w:sz w:val="32"/>
          <w:szCs w:val="32"/>
        </w:rPr>
      </w:pPr>
    </w:p>
    <w:p w14:paraId="546D16CB">
      <w:pPr>
        <w:spacing w:line="480" w:lineRule="exact"/>
        <w:ind w:firstLine="377" w:firstLineChars="118"/>
        <w:jc w:val="center"/>
        <w:rPr>
          <w:rFonts w:ascii="仿宋" w:hAnsi="仿宋" w:eastAsia="仿宋" w:cs="仿宋"/>
          <w:sz w:val="32"/>
          <w:szCs w:val="32"/>
        </w:rPr>
      </w:pPr>
    </w:p>
    <w:p w14:paraId="4DE3C0D8">
      <w:pPr>
        <w:spacing w:line="480" w:lineRule="exact"/>
        <w:ind w:firstLine="377" w:firstLineChars="118"/>
        <w:jc w:val="center"/>
        <w:rPr>
          <w:rFonts w:ascii="仿宋" w:hAnsi="仿宋" w:eastAsia="仿宋" w:cs="仿宋"/>
          <w:sz w:val="32"/>
          <w:szCs w:val="32"/>
        </w:rPr>
      </w:pPr>
      <w:r>
        <w:rPr>
          <w:rFonts w:hint="eastAsia" w:ascii="仿宋" w:hAnsi="仿宋" w:eastAsia="仿宋" w:cs="仿宋"/>
          <w:sz w:val="32"/>
          <w:szCs w:val="32"/>
        </w:rPr>
        <w:t>（项目单位公章）</w:t>
      </w:r>
    </w:p>
    <w:p w14:paraId="487C714D">
      <w:pPr>
        <w:spacing w:line="480" w:lineRule="exact"/>
        <w:ind w:firstLine="247" w:firstLineChars="118"/>
        <w:rPr>
          <w:rFonts w:ascii="仿宋" w:hAnsi="仿宋" w:eastAsia="仿宋" w:cs="仿宋"/>
          <w:i/>
          <w:iCs/>
        </w:rPr>
      </w:pPr>
      <w:r>
        <w:rPr>
          <w:rFonts w:hint="eastAsia" w:ascii="仿宋" w:hAnsi="仿宋" w:eastAsia="仿宋" w:cs="仿宋"/>
          <w:i/>
          <w:iCs/>
        </w:rPr>
        <w:t xml:space="preserve"> </w:t>
      </w:r>
    </w:p>
    <w:p w14:paraId="6FFC8C6F">
      <w:pPr>
        <w:jc w:val="center"/>
        <w:rPr>
          <w:rFonts w:ascii="仿宋" w:hAnsi="仿宋" w:eastAsia="仿宋" w:cs="仿宋"/>
        </w:rPr>
        <w:sectPr>
          <w:headerReference r:id="rId6" w:type="default"/>
          <w:footerReference r:id="rId7" w:type="default"/>
          <w:pgSz w:w="11906" w:h="16838"/>
          <w:pgMar w:top="1383" w:right="1797" w:bottom="1440" w:left="1797" w:header="1021" w:footer="680" w:gutter="0"/>
          <w:pgNumType w:start="1" w:chapStyle="1"/>
          <w:cols w:space="720" w:num="1"/>
          <w:docGrid w:type="lines" w:linePitch="326" w:charSpace="0"/>
        </w:sectPr>
      </w:pPr>
    </w:p>
    <w:sdt>
      <w:sdtPr>
        <w:rPr>
          <w:rFonts w:ascii="宋体" w:hAnsi="宋体" w:eastAsia="宋体" w:cs="Times New Roman"/>
          <w:kern w:val="2"/>
          <w:sz w:val="21"/>
          <w:szCs w:val="24"/>
          <w:lang w:val="en-US" w:eastAsia="zh-CN" w:bidi="ar-SA"/>
        </w:rPr>
        <w:id w:val="147455532"/>
        <w15:color w:val="DBDBDB"/>
        <w:docPartObj>
          <w:docPartGallery w:val="Table of Contents"/>
          <w:docPartUnique/>
        </w:docPartObj>
      </w:sdtPr>
      <w:sdtEndPr>
        <w:rPr>
          <w:rFonts w:ascii="仿宋" w:hAnsi="仿宋" w:eastAsia="仿宋" w:cs="Times New Roman"/>
          <w:b w:val="0"/>
          <w:bCs/>
          <w:color w:val="auto"/>
          <w:kern w:val="0"/>
          <w:sz w:val="32"/>
          <w:szCs w:val="24"/>
          <w:lang w:val="zh-CN" w:eastAsia="zh-CN" w:bidi="ar-SA"/>
        </w:rPr>
      </w:sdtEndPr>
      <w:sdtContent>
        <w:p w14:paraId="20326106">
          <w:pPr>
            <w:spacing w:before="0" w:beforeLines="0" w:after="0" w:afterLines="0" w:line="240" w:lineRule="auto"/>
            <w:ind w:left="0" w:leftChars="0" w:right="0" w:rightChars="0" w:firstLine="0" w:firstLineChars="0"/>
            <w:jc w:val="center"/>
            <w:rPr>
              <w:sz w:val="40"/>
              <w:szCs w:val="40"/>
            </w:rPr>
          </w:pPr>
          <w:bookmarkStart w:id="19" w:name="_Toc6346"/>
          <w:bookmarkStart w:id="20" w:name="_Toc12714"/>
          <w:bookmarkStart w:id="21" w:name="_Toc16358"/>
          <w:bookmarkStart w:id="22" w:name="_Toc18182"/>
          <w:bookmarkStart w:id="23" w:name="_Toc13555"/>
          <w:bookmarkStart w:id="24" w:name="_Toc4532"/>
          <w:bookmarkStart w:id="25" w:name="_Toc133783966"/>
          <w:bookmarkStart w:id="26" w:name="_Toc7511"/>
          <w:bookmarkStart w:id="27" w:name="_Toc3565"/>
          <w:bookmarkStart w:id="28" w:name="_Toc18606"/>
          <w:bookmarkStart w:id="29" w:name="_Toc28236"/>
          <w:bookmarkStart w:id="30" w:name="_Toc24913"/>
          <w:bookmarkStart w:id="31" w:name="_Toc13605"/>
          <w:bookmarkStart w:id="32" w:name="_Toc21497"/>
          <w:bookmarkStart w:id="33" w:name="_Toc18805"/>
          <w:bookmarkStart w:id="34" w:name="_Toc13988"/>
          <w:bookmarkStart w:id="35" w:name="_Toc24964"/>
          <w:bookmarkStart w:id="36" w:name="_Toc4483"/>
          <w:bookmarkStart w:id="37" w:name="_Toc23870"/>
          <w:bookmarkStart w:id="38" w:name="_Toc12552"/>
          <w:bookmarkStart w:id="39" w:name="_Toc13562"/>
          <w:bookmarkStart w:id="40" w:name="_Toc22649"/>
          <w:bookmarkStart w:id="41" w:name="_Toc32378"/>
          <w:bookmarkStart w:id="42" w:name="_Toc8202"/>
          <w:bookmarkStart w:id="43" w:name="_Toc8032"/>
          <w:bookmarkStart w:id="44" w:name="_Toc14517"/>
          <w:bookmarkStart w:id="45" w:name="_Toc4194"/>
          <w:bookmarkStart w:id="46" w:name="_Toc12563"/>
          <w:bookmarkStart w:id="47" w:name="_Toc11355"/>
          <w:bookmarkStart w:id="48" w:name="_Toc20467"/>
          <w:bookmarkStart w:id="49" w:name="_Toc1884"/>
          <w:bookmarkStart w:id="50" w:name="_Toc19672"/>
          <w:bookmarkStart w:id="51" w:name="_Toc7110"/>
          <w:bookmarkStart w:id="52" w:name="_Toc30738"/>
          <w:bookmarkStart w:id="53" w:name="_Toc3372"/>
          <w:r>
            <w:rPr>
              <w:rFonts w:ascii="宋体" w:hAnsi="宋体" w:eastAsia="宋体"/>
              <w:sz w:val="32"/>
              <w:szCs w:val="40"/>
            </w:rPr>
            <w:t>目录</w:t>
          </w:r>
        </w:p>
        <w:p w14:paraId="4BB82801">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exact"/>
            <w:textAlignment w:val="auto"/>
          </w:pPr>
          <w:r>
            <w:rPr>
              <w:rFonts w:ascii="仿宋" w:hAnsi="仿宋" w:eastAsia="仿宋"/>
              <w:b/>
              <w:bCs/>
              <w:color w:val="auto"/>
              <w:sz w:val="24"/>
              <w:szCs w:val="24"/>
              <w:lang w:val="zh-CN"/>
            </w:rPr>
            <w:fldChar w:fldCharType="begin"/>
          </w:r>
          <w:r>
            <w:rPr>
              <w:rFonts w:ascii="仿宋" w:hAnsi="仿宋" w:eastAsia="仿宋"/>
              <w:b/>
              <w:bCs/>
              <w:color w:val="auto"/>
              <w:sz w:val="24"/>
              <w:szCs w:val="24"/>
              <w:lang w:val="zh-CN"/>
            </w:rPr>
            <w:instrText xml:space="preserve">TOC \o "1-2" \h \u </w:instrText>
          </w:r>
          <w:r>
            <w:rPr>
              <w:rFonts w:ascii="仿宋" w:hAnsi="仿宋" w:eastAsia="仿宋"/>
              <w:b/>
              <w:bCs/>
              <w:color w:val="auto"/>
              <w:sz w:val="24"/>
              <w:szCs w:val="24"/>
              <w:lang w:val="zh-CN"/>
            </w:rPr>
            <w:fldChar w:fldCharType="separate"/>
          </w: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_Toc16942 </w:instrText>
          </w:r>
          <w:r>
            <w:rPr>
              <w:rFonts w:ascii="仿宋" w:hAnsi="仿宋" w:eastAsia="仿宋"/>
              <w:bCs/>
              <w:szCs w:val="24"/>
              <w:lang w:val="zh-CN"/>
            </w:rPr>
            <w:fldChar w:fldCharType="separate"/>
          </w:r>
          <w:r>
            <w:rPr>
              <w:rFonts w:hint="eastAsia" w:ascii="仿宋" w:hAnsi="仿宋" w:eastAsia="仿宋" w:cs="仿宋"/>
              <w:bCs/>
            </w:rPr>
            <w:t>第一章采购货物概况</w:t>
          </w:r>
          <w:r>
            <w:tab/>
          </w:r>
          <w:r>
            <w:fldChar w:fldCharType="begin"/>
          </w:r>
          <w:r>
            <w:instrText xml:space="preserve"> PAGEREF _Toc16942 \h </w:instrText>
          </w:r>
          <w:r>
            <w:fldChar w:fldCharType="separate"/>
          </w:r>
          <w:r>
            <w:t>1</w:t>
          </w:r>
          <w:r>
            <w:fldChar w:fldCharType="end"/>
          </w:r>
          <w:r>
            <w:rPr>
              <w:rFonts w:ascii="仿宋" w:hAnsi="仿宋" w:eastAsia="仿宋"/>
              <w:bCs/>
              <w:color w:val="auto"/>
              <w:szCs w:val="24"/>
              <w:lang w:val="zh-CN"/>
            </w:rPr>
            <w:fldChar w:fldCharType="end"/>
          </w:r>
        </w:p>
        <w:p w14:paraId="5821EEB7">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_Toc14402 </w:instrText>
          </w:r>
          <w:r>
            <w:rPr>
              <w:rFonts w:ascii="仿宋" w:hAnsi="仿宋" w:eastAsia="仿宋"/>
              <w:bCs/>
              <w:szCs w:val="24"/>
              <w:lang w:val="zh-CN"/>
            </w:rPr>
            <w:fldChar w:fldCharType="separate"/>
          </w:r>
          <w:r>
            <w:rPr>
              <w:rFonts w:hint="eastAsia" w:ascii="仿宋" w:hAnsi="仿宋" w:eastAsia="仿宋" w:cs="仿宋"/>
              <w:bCs/>
            </w:rPr>
            <w:t>第一节使用环境</w:t>
          </w:r>
          <w:r>
            <w:tab/>
          </w:r>
          <w:r>
            <w:fldChar w:fldCharType="begin"/>
          </w:r>
          <w:r>
            <w:instrText xml:space="preserve"> PAGEREF _Toc14402 \h </w:instrText>
          </w:r>
          <w:r>
            <w:fldChar w:fldCharType="separate"/>
          </w:r>
          <w:r>
            <w:t>1</w:t>
          </w:r>
          <w:r>
            <w:fldChar w:fldCharType="end"/>
          </w:r>
          <w:r>
            <w:rPr>
              <w:rFonts w:ascii="仿宋" w:hAnsi="仿宋" w:eastAsia="仿宋"/>
              <w:bCs/>
              <w:color w:val="auto"/>
              <w:szCs w:val="24"/>
              <w:lang w:val="zh-CN"/>
            </w:rPr>
            <w:fldChar w:fldCharType="end"/>
          </w:r>
        </w:p>
        <w:p w14:paraId="7EF63FF8">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_Toc32701 </w:instrText>
          </w:r>
          <w:r>
            <w:rPr>
              <w:rFonts w:ascii="仿宋" w:hAnsi="仿宋" w:eastAsia="仿宋"/>
              <w:bCs/>
              <w:szCs w:val="24"/>
              <w:lang w:val="zh-CN"/>
            </w:rPr>
            <w:fldChar w:fldCharType="separate"/>
          </w:r>
          <w:r>
            <w:rPr>
              <w:rFonts w:hint="eastAsia" w:ascii="仿宋" w:hAnsi="仿宋" w:eastAsia="仿宋" w:cs="仿宋"/>
              <w:bCs/>
            </w:rPr>
            <w:t>第二节采购货物概况</w:t>
          </w:r>
          <w:r>
            <w:tab/>
          </w:r>
          <w:r>
            <w:fldChar w:fldCharType="begin"/>
          </w:r>
          <w:r>
            <w:instrText xml:space="preserve"> PAGEREF _Toc32701 \h </w:instrText>
          </w:r>
          <w:r>
            <w:fldChar w:fldCharType="separate"/>
          </w:r>
          <w:r>
            <w:t>1</w:t>
          </w:r>
          <w:r>
            <w:fldChar w:fldCharType="end"/>
          </w:r>
          <w:r>
            <w:rPr>
              <w:rFonts w:ascii="仿宋" w:hAnsi="仿宋" w:eastAsia="仿宋"/>
              <w:bCs/>
              <w:color w:val="auto"/>
              <w:szCs w:val="24"/>
              <w:lang w:val="zh-CN"/>
            </w:rPr>
            <w:fldChar w:fldCharType="end"/>
          </w:r>
        </w:p>
        <w:p w14:paraId="25963576">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_Toc32476 </w:instrText>
          </w:r>
          <w:r>
            <w:rPr>
              <w:rFonts w:ascii="仿宋" w:hAnsi="仿宋" w:eastAsia="仿宋"/>
              <w:bCs/>
              <w:szCs w:val="24"/>
              <w:lang w:val="zh-CN"/>
            </w:rPr>
            <w:fldChar w:fldCharType="separate"/>
          </w:r>
          <w:r>
            <w:rPr>
              <w:rFonts w:hint="eastAsia" w:ascii="仿宋" w:hAnsi="仿宋" w:eastAsia="仿宋" w:cs="仿宋"/>
              <w:bCs/>
            </w:rPr>
            <w:t>第二章技术要求</w:t>
          </w:r>
          <w:r>
            <w:tab/>
          </w:r>
          <w:r>
            <w:fldChar w:fldCharType="begin"/>
          </w:r>
          <w:r>
            <w:instrText xml:space="preserve"> PAGEREF _Toc32476 \h </w:instrText>
          </w:r>
          <w:r>
            <w:fldChar w:fldCharType="separate"/>
          </w:r>
          <w:r>
            <w:t>2</w:t>
          </w:r>
          <w:r>
            <w:fldChar w:fldCharType="end"/>
          </w:r>
          <w:r>
            <w:rPr>
              <w:rFonts w:ascii="仿宋" w:hAnsi="仿宋" w:eastAsia="仿宋"/>
              <w:bCs/>
              <w:color w:val="auto"/>
              <w:szCs w:val="24"/>
              <w:lang w:val="zh-CN"/>
            </w:rPr>
            <w:fldChar w:fldCharType="end"/>
          </w:r>
        </w:p>
        <w:p w14:paraId="2CAB207A">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_Toc18619 </w:instrText>
          </w:r>
          <w:r>
            <w:rPr>
              <w:rFonts w:ascii="仿宋" w:hAnsi="仿宋" w:eastAsia="仿宋"/>
              <w:bCs/>
              <w:szCs w:val="24"/>
              <w:lang w:val="zh-CN"/>
            </w:rPr>
            <w:fldChar w:fldCharType="separate"/>
          </w:r>
          <w:r>
            <w:rPr>
              <w:rFonts w:hint="eastAsia" w:ascii="仿宋" w:hAnsi="仿宋" w:eastAsia="仿宋" w:cs="仿宋"/>
              <w:bCs/>
            </w:rPr>
            <w:t>1</w:t>
          </w:r>
          <w:r>
            <w:rPr>
              <w:rFonts w:hint="eastAsia" w:ascii="仿宋" w:hAnsi="仿宋" w:eastAsia="仿宋" w:cs="仿宋"/>
              <w:bCs/>
              <w:lang w:val="en-US" w:eastAsia="zh-CN"/>
            </w:rPr>
            <w:t xml:space="preserve"> </w:t>
          </w:r>
          <w:r>
            <w:rPr>
              <w:rFonts w:hint="eastAsia" w:ascii="仿宋" w:hAnsi="仿宋" w:eastAsia="仿宋" w:cs="仿宋"/>
              <w:bCs/>
            </w:rPr>
            <w:t>基本要求</w:t>
          </w:r>
          <w:r>
            <w:tab/>
          </w:r>
          <w:r>
            <w:fldChar w:fldCharType="begin"/>
          </w:r>
          <w:r>
            <w:instrText xml:space="preserve"> PAGEREF _Toc18619 \h </w:instrText>
          </w:r>
          <w:r>
            <w:fldChar w:fldCharType="separate"/>
          </w:r>
          <w:r>
            <w:t>2</w:t>
          </w:r>
          <w:r>
            <w:fldChar w:fldCharType="end"/>
          </w:r>
          <w:r>
            <w:rPr>
              <w:rFonts w:ascii="仿宋" w:hAnsi="仿宋" w:eastAsia="仿宋"/>
              <w:bCs/>
              <w:color w:val="auto"/>
              <w:szCs w:val="24"/>
              <w:lang w:val="zh-CN"/>
            </w:rPr>
            <w:fldChar w:fldCharType="end"/>
          </w:r>
        </w:p>
        <w:p w14:paraId="19308B18">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_Toc32154 </w:instrText>
          </w:r>
          <w:r>
            <w:rPr>
              <w:rFonts w:ascii="仿宋" w:hAnsi="仿宋" w:eastAsia="仿宋"/>
              <w:bCs/>
              <w:szCs w:val="24"/>
              <w:lang w:val="zh-CN"/>
            </w:rPr>
            <w:fldChar w:fldCharType="separate"/>
          </w:r>
          <w:r>
            <w:rPr>
              <w:rFonts w:hint="eastAsia" w:ascii="仿宋" w:hAnsi="仿宋" w:eastAsia="仿宋" w:cs="仿宋"/>
              <w:bCs/>
            </w:rPr>
            <w:t xml:space="preserve">2 </w:t>
          </w:r>
          <w:r>
            <w:rPr>
              <w:rFonts w:hint="eastAsia" w:ascii="仿宋" w:hAnsi="仿宋" w:eastAsia="仿宋" w:cs="仿宋"/>
              <w:lang w:bidi="ar"/>
            </w:rPr>
            <w:t>执行标准</w:t>
          </w:r>
          <w:r>
            <w:tab/>
          </w:r>
          <w:r>
            <w:fldChar w:fldCharType="begin"/>
          </w:r>
          <w:r>
            <w:instrText xml:space="preserve"> PAGEREF _Toc32154 \h </w:instrText>
          </w:r>
          <w:r>
            <w:fldChar w:fldCharType="separate"/>
          </w:r>
          <w:r>
            <w:t>4</w:t>
          </w:r>
          <w:r>
            <w:fldChar w:fldCharType="end"/>
          </w:r>
          <w:r>
            <w:rPr>
              <w:rFonts w:ascii="仿宋" w:hAnsi="仿宋" w:eastAsia="仿宋"/>
              <w:bCs/>
              <w:color w:val="auto"/>
              <w:szCs w:val="24"/>
              <w:lang w:val="zh-CN"/>
            </w:rPr>
            <w:fldChar w:fldCharType="end"/>
          </w:r>
        </w:p>
        <w:p w14:paraId="67546308">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_Toc12028 </w:instrText>
          </w:r>
          <w:r>
            <w:rPr>
              <w:rFonts w:ascii="仿宋" w:hAnsi="仿宋" w:eastAsia="仿宋"/>
              <w:bCs/>
              <w:szCs w:val="24"/>
              <w:lang w:val="zh-CN"/>
            </w:rPr>
            <w:fldChar w:fldCharType="separate"/>
          </w:r>
          <w:r>
            <w:rPr>
              <w:rFonts w:hint="eastAsia" w:ascii="仿宋" w:hAnsi="仿宋" w:eastAsia="仿宋" w:cs="仿宋"/>
              <w:bCs/>
            </w:rPr>
            <w:t>3</w:t>
          </w:r>
          <w:r>
            <w:rPr>
              <w:rFonts w:hint="eastAsia" w:ascii="仿宋" w:hAnsi="仿宋" w:eastAsia="仿宋" w:cs="仿宋"/>
              <w:bCs/>
              <w:lang w:val="en-US" w:eastAsia="zh-CN"/>
            </w:rPr>
            <w:t xml:space="preserve"> </w:t>
          </w:r>
          <w:r>
            <w:rPr>
              <w:rFonts w:hint="eastAsia" w:ascii="仿宋" w:hAnsi="仿宋" w:eastAsia="仿宋" w:cs="仿宋"/>
              <w:bCs/>
            </w:rPr>
            <w:t>技术规范</w:t>
          </w:r>
          <w:r>
            <w:tab/>
          </w:r>
          <w:r>
            <w:fldChar w:fldCharType="begin"/>
          </w:r>
          <w:r>
            <w:instrText xml:space="preserve"> PAGEREF _Toc12028 \h </w:instrText>
          </w:r>
          <w:r>
            <w:fldChar w:fldCharType="separate"/>
          </w:r>
          <w:r>
            <w:t>5</w:t>
          </w:r>
          <w:r>
            <w:fldChar w:fldCharType="end"/>
          </w:r>
          <w:r>
            <w:rPr>
              <w:rFonts w:ascii="仿宋" w:hAnsi="仿宋" w:eastAsia="仿宋"/>
              <w:bCs/>
              <w:color w:val="auto"/>
              <w:szCs w:val="24"/>
              <w:lang w:val="zh-CN"/>
            </w:rPr>
            <w:fldChar w:fldCharType="end"/>
          </w:r>
        </w:p>
        <w:p w14:paraId="214D6505">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_Toc21641 </w:instrText>
          </w:r>
          <w:r>
            <w:rPr>
              <w:rFonts w:ascii="仿宋" w:hAnsi="仿宋" w:eastAsia="仿宋"/>
              <w:bCs/>
              <w:szCs w:val="24"/>
              <w:lang w:val="zh-CN"/>
            </w:rPr>
            <w:fldChar w:fldCharType="separate"/>
          </w:r>
          <w:r>
            <w:rPr>
              <w:rFonts w:hint="eastAsia" w:ascii="仿宋" w:hAnsi="仿宋" w:eastAsia="仿宋" w:cs="仿宋"/>
              <w:bCs/>
            </w:rPr>
            <w:t>4</w:t>
          </w:r>
          <w:r>
            <w:rPr>
              <w:rFonts w:hint="eastAsia" w:ascii="仿宋" w:hAnsi="仿宋" w:eastAsia="仿宋" w:cs="仿宋"/>
              <w:bCs/>
              <w:lang w:val="en-US" w:eastAsia="zh-CN"/>
            </w:rPr>
            <w:t xml:space="preserve"> </w:t>
          </w:r>
          <w:r>
            <w:rPr>
              <w:rFonts w:hint="eastAsia" w:ascii="仿宋" w:hAnsi="仿宋" w:eastAsia="仿宋" w:cs="仿宋"/>
              <w:bCs/>
            </w:rPr>
            <w:t>特别提示</w:t>
          </w:r>
          <w:r>
            <w:tab/>
          </w:r>
          <w:r>
            <w:fldChar w:fldCharType="begin"/>
          </w:r>
          <w:r>
            <w:instrText xml:space="preserve"> PAGEREF _Toc21641 \h </w:instrText>
          </w:r>
          <w:r>
            <w:fldChar w:fldCharType="separate"/>
          </w:r>
          <w:r>
            <w:t>14</w:t>
          </w:r>
          <w:r>
            <w:fldChar w:fldCharType="end"/>
          </w:r>
          <w:r>
            <w:rPr>
              <w:rFonts w:ascii="仿宋" w:hAnsi="仿宋" w:eastAsia="仿宋"/>
              <w:bCs/>
              <w:color w:val="auto"/>
              <w:szCs w:val="24"/>
              <w:lang w:val="zh-CN"/>
            </w:rPr>
            <w:fldChar w:fldCharType="end"/>
          </w:r>
        </w:p>
        <w:p w14:paraId="307FDBC9">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_Toc31159 </w:instrText>
          </w:r>
          <w:r>
            <w:rPr>
              <w:rFonts w:ascii="仿宋" w:hAnsi="仿宋" w:eastAsia="仿宋"/>
              <w:bCs/>
              <w:szCs w:val="24"/>
              <w:lang w:val="zh-CN"/>
            </w:rPr>
            <w:fldChar w:fldCharType="separate"/>
          </w:r>
          <w:r>
            <w:rPr>
              <w:rFonts w:hint="eastAsia" w:ascii="仿宋" w:hAnsi="仿宋" w:eastAsia="仿宋" w:cs="仿宋"/>
              <w:bCs/>
            </w:rPr>
            <w:t>第三章</w:t>
          </w:r>
          <w:r>
            <w:rPr>
              <w:rFonts w:hint="eastAsia" w:ascii="仿宋" w:hAnsi="仿宋" w:eastAsia="仿宋" w:cs="仿宋"/>
              <w:bCs/>
              <w:lang w:val="en-US" w:eastAsia="zh-CN"/>
            </w:rPr>
            <w:t xml:space="preserve"> </w:t>
          </w:r>
          <w:r>
            <w:rPr>
              <w:rFonts w:hint="eastAsia" w:ascii="仿宋" w:hAnsi="仿宋" w:eastAsia="仿宋" w:cs="仿宋"/>
              <w:bCs/>
            </w:rPr>
            <w:t>供货范围及供货方式</w:t>
          </w:r>
          <w:r>
            <w:tab/>
          </w:r>
          <w:r>
            <w:fldChar w:fldCharType="begin"/>
          </w:r>
          <w:r>
            <w:instrText xml:space="preserve"> PAGEREF _Toc31159 \h </w:instrText>
          </w:r>
          <w:r>
            <w:fldChar w:fldCharType="separate"/>
          </w:r>
          <w:r>
            <w:t>15</w:t>
          </w:r>
          <w:r>
            <w:fldChar w:fldCharType="end"/>
          </w:r>
          <w:r>
            <w:rPr>
              <w:rFonts w:ascii="仿宋" w:hAnsi="仿宋" w:eastAsia="仿宋"/>
              <w:bCs/>
              <w:color w:val="auto"/>
              <w:szCs w:val="24"/>
              <w:lang w:val="zh-CN"/>
            </w:rPr>
            <w:fldChar w:fldCharType="end"/>
          </w:r>
        </w:p>
        <w:p w14:paraId="6901DE04">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_Toc16351 </w:instrText>
          </w:r>
          <w:r>
            <w:rPr>
              <w:rFonts w:ascii="仿宋" w:hAnsi="仿宋" w:eastAsia="仿宋"/>
              <w:bCs/>
              <w:szCs w:val="24"/>
              <w:lang w:val="zh-CN"/>
            </w:rPr>
            <w:fldChar w:fldCharType="separate"/>
          </w:r>
          <w:r>
            <w:rPr>
              <w:rFonts w:hint="eastAsia" w:ascii="仿宋" w:hAnsi="仿宋" w:eastAsia="仿宋" w:cs="仿宋"/>
              <w:bCs w:val="0"/>
              <w:szCs w:val="24"/>
            </w:rPr>
            <w:t>第一节</w:t>
          </w:r>
          <w:r>
            <w:rPr>
              <w:rFonts w:hint="eastAsia" w:ascii="仿宋" w:hAnsi="仿宋" w:eastAsia="仿宋" w:cs="仿宋"/>
              <w:bCs w:val="0"/>
              <w:szCs w:val="24"/>
              <w:lang w:val="en-US" w:eastAsia="zh-CN"/>
            </w:rPr>
            <w:t xml:space="preserve"> </w:t>
          </w:r>
          <w:r>
            <w:rPr>
              <w:rFonts w:hint="eastAsia" w:ascii="仿宋" w:hAnsi="仿宋" w:eastAsia="仿宋" w:cs="仿宋"/>
              <w:bCs w:val="0"/>
              <w:szCs w:val="24"/>
            </w:rPr>
            <w:t>供货范围</w:t>
          </w:r>
          <w:r>
            <w:tab/>
          </w:r>
          <w:r>
            <w:fldChar w:fldCharType="begin"/>
          </w:r>
          <w:r>
            <w:instrText xml:space="preserve"> PAGEREF _Toc16351 \h </w:instrText>
          </w:r>
          <w:r>
            <w:fldChar w:fldCharType="separate"/>
          </w:r>
          <w:r>
            <w:t>15</w:t>
          </w:r>
          <w:r>
            <w:fldChar w:fldCharType="end"/>
          </w:r>
          <w:r>
            <w:rPr>
              <w:rFonts w:ascii="仿宋" w:hAnsi="仿宋" w:eastAsia="仿宋"/>
              <w:bCs/>
              <w:color w:val="auto"/>
              <w:szCs w:val="24"/>
              <w:lang w:val="zh-CN"/>
            </w:rPr>
            <w:fldChar w:fldCharType="end"/>
          </w:r>
        </w:p>
        <w:p w14:paraId="43041783">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_Toc9917 </w:instrText>
          </w:r>
          <w:r>
            <w:rPr>
              <w:rFonts w:ascii="仿宋" w:hAnsi="仿宋" w:eastAsia="仿宋"/>
              <w:bCs/>
              <w:szCs w:val="24"/>
              <w:lang w:val="zh-CN"/>
            </w:rPr>
            <w:fldChar w:fldCharType="separate"/>
          </w:r>
          <w:r>
            <w:rPr>
              <w:rFonts w:hint="eastAsia" w:ascii="仿宋" w:hAnsi="仿宋" w:eastAsia="仿宋" w:cs="仿宋"/>
              <w:bCs w:val="0"/>
              <w:highlight w:val="none"/>
            </w:rPr>
            <w:t>第二节</w:t>
          </w:r>
          <w:r>
            <w:rPr>
              <w:rFonts w:hint="eastAsia" w:ascii="仿宋" w:hAnsi="仿宋" w:eastAsia="仿宋" w:cs="仿宋"/>
              <w:bCs w:val="0"/>
              <w:highlight w:val="none"/>
              <w:lang w:val="en-US" w:eastAsia="zh-CN"/>
            </w:rPr>
            <w:t xml:space="preserve"> </w:t>
          </w:r>
          <w:r>
            <w:rPr>
              <w:rFonts w:hint="eastAsia" w:ascii="仿宋" w:hAnsi="仿宋" w:eastAsia="仿宋" w:cs="仿宋"/>
              <w:bCs w:val="0"/>
              <w:highlight w:val="none"/>
            </w:rPr>
            <w:t>供货方式</w:t>
          </w:r>
          <w:r>
            <w:tab/>
          </w:r>
          <w:r>
            <w:fldChar w:fldCharType="begin"/>
          </w:r>
          <w:r>
            <w:instrText xml:space="preserve"> PAGEREF _Toc9917 \h </w:instrText>
          </w:r>
          <w:r>
            <w:fldChar w:fldCharType="separate"/>
          </w:r>
          <w:r>
            <w:t>18</w:t>
          </w:r>
          <w:r>
            <w:fldChar w:fldCharType="end"/>
          </w:r>
          <w:r>
            <w:rPr>
              <w:rFonts w:ascii="仿宋" w:hAnsi="仿宋" w:eastAsia="仿宋"/>
              <w:bCs/>
              <w:color w:val="auto"/>
              <w:szCs w:val="24"/>
              <w:lang w:val="zh-CN"/>
            </w:rPr>
            <w:fldChar w:fldCharType="end"/>
          </w:r>
        </w:p>
        <w:p w14:paraId="4282B4E1">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_Toc30422 </w:instrText>
          </w:r>
          <w:r>
            <w:rPr>
              <w:rFonts w:ascii="仿宋" w:hAnsi="仿宋" w:eastAsia="仿宋"/>
              <w:bCs/>
              <w:szCs w:val="24"/>
              <w:lang w:val="zh-CN"/>
            </w:rPr>
            <w:fldChar w:fldCharType="separate"/>
          </w:r>
          <w:r>
            <w:rPr>
              <w:rFonts w:hint="eastAsia" w:ascii="仿宋" w:hAnsi="仿宋" w:eastAsia="仿宋" w:cs="仿宋"/>
              <w:bCs/>
            </w:rPr>
            <w:t>第四章售中售后服务</w:t>
          </w:r>
          <w:r>
            <w:tab/>
          </w:r>
          <w:r>
            <w:fldChar w:fldCharType="begin"/>
          </w:r>
          <w:r>
            <w:instrText xml:space="preserve"> PAGEREF _Toc30422 \h </w:instrText>
          </w:r>
          <w:r>
            <w:fldChar w:fldCharType="separate"/>
          </w:r>
          <w:r>
            <w:t>20</w:t>
          </w:r>
          <w:r>
            <w:fldChar w:fldCharType="end"/>
          </w:r>
          <w:r>
            <w:rPr>
              <w:rFonts w:ascii="仿宋" w:hAnsi="仿宋" w:eastAsia="仿宋"/>
              <w:bCs/>
              <w:color w:val="auto"/>
              <w:szCs w:val="24"/>
              <w:lang w:val="zh-CN"/>
            </w:rPr>
            <w:fldChar w:fldCharType="end"/>
          </w:r>
        </w:p>
        <w:p w14:paraId="27BFA82D">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_Toc9825 </w:instrText>
          </w:r>
          <w:r>
            <w:rPr>
              <w:rFonts w:ascii="仿宋" w:hAnsi="仿宋" w:eastAsia="仿宋"/>
              <w:bCs/>
              <w:szCs w:val="24"/>
              <w:lang w:val="zh-CN"/>
            </w:rPr>
            <w:fldChar w:fldCharType="separate"/>
          </w:r>
          <w:r>
            <w:rPr>
              <w:rFonts w:hint="eastAsia" w:ascii="仿宋" w:hAnsi="仿宋" w:eastAsia="仿宋" w:cs="仿宋"/>
              <w:bCs/>
            </w:rPr>
            <w:t>1技术及培训服务</w:t>
          </w:r>
          <w:r>
            <w:tab/>
          </w:r>
          <w:r>
            <w:fldChar w:fldCharType="begin"/>
          </w:r>
          <w:r>
            <w:instrText xml:space="preserve"> PAGEREF _Toc9825 \h </w:instrText>
          </w:r>
          <w:r>
            <w:fldChar w:fldCharType="separate"/>
          </w:r>
          <w:r>
            <w:t>20</w:t>
          </w:r>
          <w:r>
            <w:fldChar w:fldCharType="end"/>
          </w:r>
          <w:r>
            <w:rPr>
              <w:rFonts w:ascii="仿宋" w:hAnsi="仿宋" w:eastAsia="仿宋"/>
              <w:bCs/>
              <w:color w:val="auto"/>
              <w:szCs w:val="24"/>
              <w:lang w:val="zh-CN"/>
            </w:rPr>
            <w:fldChar w:fldCharType="end"/>
          </w:r>
        </w:p>
        <w:p w14:paraId="2B7AA6D5">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_Toc28265 </w:instrText>
          </w:r>
          <w:r>
            <w:rPr>
              <w:rFonts w:ascii="仿宋" w:hAnsi="仿宋" w:eastAsia="仿宋"/>
              <w:bCs/>
              <w:szCs w:val="24"/>
              <w:lang w:val="zh-CN"/>
            </w:rPr>
            <w:fldChar w:fldCharType="separate"/>
          </w:r>
          <w:r>
            <w:rPr>
              <w:rFonts w:hint="eastAsia" w:ascii="仿宋" w:hAnsi="仿宋" w:eastAsia="仿宋" w:cs="仿宋"/>
              <w:bCs/>
            </w:rPr>
            <w:t>2安装调试服务</w:t>
          </w:r>
          <w:r>
            <w:tab/>
          </w:r>
          <w:r>
            <w:fldChar w:fldCharType="begin"/>
          </w:r>
          <w:r>
            <w:instrText xml:space="preserve"> PAGEREF _Toc28265 \h </w:instrText>
          </w:r>
          <w:r>
            <w:fldChar w:fldCharType="separate"/>
          </w:r>
          <w:r>
            <w:t>21</w:t>
          </w:r>
          <w:r>
            <w:fldChar w:fldCharType="end"/>
          </w:r>
          <w:r>
            <w:rPr>
              <w:rFonts w:ascii="仿宋" w:hAnsi="仿宋" w:eastAsia="仿宋"/>
              <w:bCs/>
              <w:color w:val="auto"/>
              <w:szCs w:val="24"/>
              <w:lang w:val="zh-CN"/>
            </w:rPr>
            <w:fldChar w:fldCharType="end"/>
          </w:r>
        </w:p>
        <w:p w14:paraId="569601E7">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_Toc12232 </w:instrText>
          </w:r>
          <w:r>
            <w:rPr>
              <w:rFonts w:ascii="仿宋" w:hAnsi="仿宋" w:eastAsia="仿宋"/>
              <w:bCs/>
              <w:szCs w:val="24"/>
              <w:lang w:val="zh-CN"/>
            </w:rPr>
            <w:fldChar w:fldCharType="separate"/>
          </w:r>
          <w:r>
            <w:rPr>
              <w:rFonts w:hint="eastAsia" w:ascii="仿宋" w:hAnsi="仿宋" w:eastAsia="仿宋" w:cs="仿宋"/>
              <w:bCs/>
            </w:rPr>
            <w:t>3验收服务</w:t>
          </w:r>
          <w:r>
            <w:tab/>
          </w:r>
          <w:r>
            <w:fldChar w:fldCharType="begin"/>
          </w:r>
          <w:r>
            <w:instrText xml:space="preserve"> PAGEREF _Toc12232 \h </w:instrText>
          </w:r>
          <w:r>
            <w:fldChar w:fldCharType="separate"/>
          </w:r>
          <w:r>
            <w:t>21</w:t>
          </w:r>
          <w:r>
            <w:fldChar w:fldCharType="end"/>
          </w:r>
          <w:r>
            <w:rPr>
              <w:rFonts w:ascii="仿宋" w:hAnsi="仿宋" w:eastAsia="仿宋"/>
              <w:bCs/>
              <w:color w:val="auto"/>
              <w:szCs w:val="24"/>
              <w:lang w:val="zh-CN"/>
            </w:rPr>
            <w:fldChar w:fldCharType="end"/>
          </w:r>
        </w:p>
        <w:p w14:paraId="6EB6EB0F">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_Toc1784 </w:instrText>
          </w:r>
          <w:r>
            <w:rPr>
              <w:rFonts w:ascii="仿宋" w:hAnsi="仿宋" w:eastAsia="仿宋"/>
              <w:bCs/>
              <w:szCs w:val="24"/>
              <w:lang w:val="zh-CN"/>
            </w:rPr>
            <w:fldChar w:fldCharType="separate"/>
          </w:r>
          <w:r>
            <w:rPr>
              <w:rFonts w:hint="eastAsia" w:ascii="仿宋" w:hAnsi="仿宋" w:eastAsia="仿宋" w:cs="仿宋"/>
              <w:bCs/>
            </w:rPr>
            <w:t>4售后服务</w:t>
          </w:r>
          <w:r>
            <w:tab/>
          </w:r>
          <w:r>
            <w:fldChar w:fldCharType="begin"/>
          </w:r>
          <w:r>
            <w:instrText xml:space="preserve"> PAGEREF _Toc1784 \h </w:instrText>
          </w:r>
          <w:r>
            <w:fldChar w:fldCharType="separate"/>
          </w:r>
          <w:r>
            <w:t>21</w:t>
          </w:r>
          <w:r>
            <w:fldChar w:fldCharType="end"/>
          </w:r>
          <w:r>
            <w:rPr>
              <w:rFonts w:ascii="仿宋" w:hAnsi="仿宋" w:eastAsia="仿宋"/>
              <w:bCs/>
              <w:color w:val="auto"/>
              <w:szCs w:val="24"/>
              <w:lang w:val="zh-CN"/>
            </w:rPr>
            <w:fldChar w:fldCharType="end"/>
          </w:r>
        </w:p>
        <w:p w14:paraId="19536D38">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_Toc14447 </w:instrText>
          </w:r>
          <w:r>
            <w:rPr>
              <w:rFonts w:ascii="仿宋" w:hAnsi="仿宋" w:eastAsia="仿宋"/>
              <w:bCs/>
              <w:szCs w:val="24"/>
              <w:lang w:val="zh-CN"/>
            </w:rPr>
            <w:fldChar w:fldCharType="separate"/>
          </w:r>
          <w:r>
            <w:rPr>
              <w:rFonts w:hint="eastAsia" w:ascii="仿宋" w:hAnsi="仿宋" w:eastAsia="仿宋" w:cs="仿宋"/>
              <w:bCs/>
              <w:highlight w:val="none"/>
            </w:rPr>
            <w:t>5其它服务</w:t>
          </w:r>
          <w:r>
            <w:tab/>
          </w:r>
          <w:r>
            <w:fldChar w:fldCharType="begin"/>
          </w:r>
          <w:r>
            <w:instrText xml:space="preserve"> PAGEREF _Toc14447 \h </w:instrText>
          </w:r>
          <w:r>
            <w:fldChar w:fldCharType="separate"/>
          </w:r>
          <w:r>
            <w:t>22</w:t>
          </w:r>
          <w:r>
            <w:fldChar w:fldCharType="end"/>
          </w:r>
          <w:r>
            <w:rPr>
              <w:rFonts w:ascii="仿宋" w:hAnsi="仿宋" w:eastAsia="仿宋"/>
              <w:bCs/>
              <w:color w:val="auto"/>
              <w:szCs w:val="24"/>
              <w:lang w:val="zh-CN"/>
            </w:rPr>
            <w:fldChar w:fldCharType="end"/>
          </w:r>
        </w:p>
        <w:p w14:paraId="1E730FE4">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_Toc9251 </w:instrText>
          </w:r>
          <w:r>
            <w:rPr>
              <w:rFonts w:ascii="仿宋" w:hAnsi="仿宋" w:eastAsia="仿宋"/>
              <w:bCs/>
              <w:szCs w:val="24"/>
              <w:lang w:val="zh-CN"/>
            </w:rPr>
            <w:fldChar w:fldCharType="separate"/>
          </w:r>
          <w:r>
            <w:rPr>
              <w:rFonts w:hint="eastAsia" w:ascii="仿宋" w:hAnsi="仿宋" w:eastAsia="仿宋" w:cs="仿宋"/>
              <w:bCs/>
            </w:rPr>
            <w:t>第五章</w:t>
          </w:r>
          <w:r>
            <w:rPr>
              <w:rFonts w:hint="eastAsia" w:ascii="仿宋" w:hAnsi="仿宋" w:eastAsia="仿宋" w:cs="仿宋"/>
              <w:bCs/>
              <w:lang w:val="en-US" w:eastAsia="zh-CN"/>
            </w:rPr>
            <w:t xml:space="preserve"> </w:t>
          </w:r>
          <w:r>
            <w:rPr>
              <w:rFonts w:hint="eastAsia" w:ascii="仿宋" w:hAnsi="仿宋" w:eastAsia="仿宋" w:cs="仿宋"/>
              <w:bCs/>
            </w:rPr>
            <w:t>预验收和终验收</w:t>
          </w:r>
          <w:r>
            <w:tab/>
          </w:r>
          <w:r>
            <w:fldChar w:fldCharType="begin"/>
          </w:r>
          <w:r>
            <w:instrText xml:space="preserve"> PAGEREF _Toc9251 \h </w:instrText>
          </w:r>
          <w:r>
            <w:fldChar w:fldCharType="separate"/>
          </w:r>
          <w:r>
            <w:t>22</w:t>
          </w:r>
          <w:r>
            <w:fldChar w:fldCharType="end"/>
          </w:r>
          <w:r>
            <w:rPr>
              <w:rFonts w:ascii="仿宋" w:hAnsi="仿宋" w:eastAsia="仿宋"/>
              <w:bCs/>
              <w:color w:val="auto"/>
              <w:szCs w:val="24"/>
              <w:lang w:val="zh-CN"/>
            </w:rPr>
            <w:fldChar w:fldCharType="end"/>
          </w:r>
        </w:p>
        <w:p w14:paraId="5E70F3C8">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_Toc12587 </w:instrText>
          </w:r>
          <w:r>
            <w:rPr>
              <w:rFonts w:ascii="仿宋" w:hAnsi="仿宋" w:eastAsia="仿宋"/>
              <w:bCs/>
              <w:szCs w:val="24"/>
              <w:lang w:val="zh-CN"/>
            </w:rPr>
            <w:fldChar w:fldCharType="separate"/>
          </w:r>
          <w:r>
            <w:rPr>
              <w:rFonts w:hint="eastAsia" w:ascii="仿宋" w:hAnsi="仿宋" w:eastAsia="仿宋" w:cs="仿宋"/>
              <w:bCs/>
            </w:rPr>
            <w:t>1验收的一般约定</w:t>
          </w:r>
          <w:r>
            <w:tab/>
          </w:r>
          <w:r>
            <w:fldChar w:fldCharType="begin"/>
          </w:r>
          <w:r>
            <w:instrText xml:space="preserve"> PAGEREF _Toc12587 \h </w:instrText>
          </w:r>
          <w:r>
            <w:fldChar w:fldCharType="separate"/>
          </w:r>
          <w:r>
            <w:t>22</w:t>
          </w:r>
          <w:r>
            <w:fldChar w:fldCharType="end"/>
          </w:r>
          <w:r>
            <w:rPr>
              <w:rFonts w:ascii="仿宋" w:hAnsi="仿宋" w:eastAsia="仿宋"/>
              <w:bCs/>
              <w:color w:val="auto"/>
              <w:szCs w:val="24"/>
              <w:lang w:val="zh-CN"/>
            </w:rPr>
            <w:fldChar w:fldCharType="end"/>
          </w:r>
        </w:p>
        <w:p w14:paraId="1535E997">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_Toc26712 </w:instrText>
          </w:r>
          <w:r>
            <w:rPr>
              <w:rFonts w:ascii="仿宋" w:hAnsi="仿宋" w:eastAsia="仿宋"/>
              <w:bCs/>
              <w:szCs w:val="24"/>
              <w:lang w:val="zh-CN"/>
            </w:rPr>
            <w:fldChar w:fldCharType="separate"/>
          </w:r>
          <w:r>
            <w:rPr>
              <w:rFonts w:hint="eastAsia" w:ascii="仿宋" w:hAnsi="仿宋" w:eastAsia="仿宋" w:cs="仿宋"/>
              <w:bCs/>
              <w:highlight w:val="none"/>
            </w:rPr>
            <w:t>2检验</w:t>
          </w:r>
          <w:r>
            <w:tab/>
          </w:r>
          <w:r>
            <w:fldChar w:fldCharType="begin"/>
          </w:r>
          <w:r>
            <w:instrText xml:space="preserve"> PAGEREF _Toc26712 \h </w:instrText>
          </w:r>
          <w:r>
            <w:fldChar w:fldCharType="separate"/>
          </w:r>
          <w:r>
            <w:t>22</w:t>
          </w:r>
          <w:r>
            <w:fldChar w:fldCharType="end"/>
          </w:r>
          <w:r>
            <w:rPr>
              <w:rFonts w:ascii="仿宋" w:hAnsi="仿宋" w:eastAsia="仿宋"/>
              <w:bCs/>
              <w:color w:val="auto"/>
              <w:szCs w:val="24"/>
              <w:lang w:val="zh-CN"/>
            </w:rPr>
            <w:fldChar w:fldCharType="end"/>
          </w:r>
        </w:p>
        <w:p w14:paraId="2561FBBB">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_Toc31733 </w:instrText>
          </w:r>
          <w:r>
            <w:rPr>
              <w:rFonts w:ascii="仿宋" w:hAnsi="仿宋" w:eastAsia="仿宋"/>
              <w:bCs/>
              <w:szCs w:val="24"/>
              <w:lang w:val="zh-CN"/>
            </w:rPr>
            <w:fldChar w:fldCharType="separate"/>
          </w:r>
          <w:r>
            <w:rPr>
              <w:rFonts w:hint="eastAsia" w:ascii="仿宋" w:hAnsi="仿宋" w:eastAsia="仿宋" w:cs="仿宋"/>
              <w:bCs/>
            </w:rPr>
            <w:t>3验收条件</w:t>
          </w:r>
          <w:r>
            <w:tab/>
          </w:r>
          <w:r>
            <w:fldChar w:fldCharType="begin"/>
          </w:r>
          <w:r>
            <w:instrText xml:space="preserve"> PAGEREF _Toc31733 \h </w:instrText>
          </w:r>
          <w:r>
            <w:fldChar w:fldCharType="separate"/>
          </w:r>
          <w:r>
            <w:t>23</w:t>
          </w:r>
          <w:r>
            <w:fldChar w:fldCharType="end"/>
          </w:r>
          <w:r>
            <w:rPr>
              <w:rFonts w:ascii="仿宋" w:hAnsi="仿宋" w:eastAsia="仿宋"/>
              <w:bCs/>
              <w:color w:val="auto"/>
              <w:szCs w:val="24"/>
              <w:lang w:val="zh-CN"/>
            </w:rPr>
            <w:fldChar w:fldCharType="end"/>
          </w:r>
        </w:p>
        <w:p w14:paraId="443350A2">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_Toc23010 </w:instrText>
          </w:r>
          <w:r>
            <w:rPr>
              <w:rFonts w:ascii="仿宋" w:hAnsi="仿宋" w:eastAsia="仿宋"/>
              <w:bCs/>
              <w:szCs w:val="24"/>
              <w:lang w:val="zh-CN"/>
            </w:rPr>
            <w:fldChar w:fldCharType="separate"/>
          </w:r>
          <w:r>
            <w:rPr>
              <w:rFonts w:hint="eastAsia" w:ascii="仿宋" w:hAnsi="仿宋" w:eastAsia="仿宋" w:cs="仿宋"/>
              <w:bCs/>
              <w:highlight w:val="none"/>
            </w:rPr>
            <w:t>4终验收基本要求</w:t>
          </w:r>
          <w:r>
            <w:tab/>
          </w:r>
          <w:r>
            <w:fldChar w:fldCharType="begin"/>
          </w:r>
          <w:r>
            <w:instrText xml:space="preserve"> PAGEREF _Toc23010 \h </w:instrText>
          </w:r>
          <w:r>
            <w:fldChar w:fldCharType="separate"/>
          </w:r>
          <w:r>
            <w:t>24</w:t>
          </w:r>
          <w:r>
            <w:fldChar w:fldCharType="end"/>
          </w:r>
          <w:r>
            <w:rPr>
              <w:rFonts w:ascii="仿宋" w:hAnsi="仿宋" w:eastAsia="仿宋"/>
              <w:bCs/>
              <w:color w:val="auto"/>
              <w:szCs w:val="24"/>
              <w:lang w:val="zh-CN"/>
            </w:rPr>
            <w:fldChar w:fldCharType="end"/>
          </w:r>
        </w:p>
        <w:p w14:paraId="137012EE">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_Toc26938 </w:instrText>
          </w:r>
          <w:r>
            <w:rPr>
              <w:rFonts w:ascii="仿宋" w:hAnsi="仿宋" w:eastAsia="仿宋"/>
              <w:bCs/>
              <w:szCs w:val="24"/>
              <w:lang w:val="zh-CN"/>
            </w:rPr>
            <w:fldChar w:fldCharType="separate"/>
          </w:r>
          <w:r>
            <w:rPr>
              <w:rFonts w:hint="eastAsia" w:ascii="仿宋" w:hAnsi="仿宋" w:eastAsia="仿宋" w:cs="仿宋"/>
              <w:bCs/>
            </w:rPr>
            <w:t>第六章投标技术文件一般要求</w:t>
          </w:r>
          <w:r>
            <w:tab/>
          </w:r>
          <w:r>
            <w:fldChar w:fldCharType="begin"/>
          </w:r>
          <w:r>
            <w:instrText xml:space="preserve"> PAGEREF _Toc26938 \h </w:instrText>
          </w:r>
          <w:r>
            <w:fldChar w:fldCharType="separate"/>
          </w:r>
          <w:r>
            <w:t>25</w:t>
          </w:r>
          <w:r>
            <w:fldChar w:fldCharType="end"/>
          </w:r>
          <w:r>
            <w:rPr>
              <w:rFonts w:ascii="仿宋" w:hAnsi="仿宋" w:eastAsia="仿宋"/>
              <w:bCs/>
              <w:color w:val="auto"/>
              <w:szCs w:val="24"/>
              <w:lang w:val="zh-CN"/>
            </w:rPr>
            <w:fldChar w:fldCharType="end"/>
          </w:r>
        </w:p>
        <w:p w14:paraId="3EA9079D">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_Toc9608 </w:instrText>
          </w:r>
          <w:r>
            <w:rPr>
              <w:rFonts w:ascii="仿宋" w:hAnsi="仿宋" w:eastAsia="仿宋"/>
              <w:bCs/>
              <w:szCs w:val="24"/>
              <w:lang w:val="zh-CN"/>
            </w:rPr>
            <w:fldChar w:fldCharType="separate"/>
          </w:r>
          <w:r>
            <w:rPr>
              <w:rFonts w:hint="eastAsia" w:ascii="仿宋" w:hAnsi="仿宋" w:eastAsia="仿宋" w:cs="仿宋"/>
              <w:bCs/>
            </w:rPr>
            <w:t>第七章其它要求</w:t>
          </w:r>
          <w:r>
            <w:tab/>
          </w:r>
          <w:r>
            <w:fldChar w:fldCharType="begin"/>
          </w:r>
          <w:r>
            <w:instrText xml:space="preserve"> PAGEREF _Toc9608 \h </w:instrText>
          </w:r>
          <w:r>
            <w:fldChar w:fldCharType="separate"/>
          </w:r>
          <w:r>
            <w:t>26</w:t>
          </w:r>
          <w:r>
            <w:fldChar w:fldCharType="end"/>
          </w:r>
          <w:r>
            <w:rPr>
              <w:rFonts w:ascii="仿宋" w:hAnsi="仿宋" w:eastAsia="仿宋"/>
              <w:bCs/>
              <w:color w:val="auto"/>
              <w:szCs w:val="24"/>
              <w:lang w:val="zh-CN"/>
            </w:rPr>
            <w:fldChar w:fldCharType="end"/>
          </w:r>
        </w:p>
        <w:p w14:paraId="3BB24B71">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_Toc16521 </w:instrText>
          </w:r>
          <w:r>
            <w:rPr>
              <w:rFonts w:ascii="仿宋" w:hAnsi="仿宋" w:eastAsia="仿宋"/>
              <w:bCs/>
              <w:szCs w:val="24"/>
              <w:lang w:val="zh-CN"/>
            </w:rPr>
            <w:fldChar w:fldCharType="separate"/>
          </w:r>
          <w:r>
            <w:rPr>
              <w:rFonts w:hint="eastAsia" w:ascii="仿宋" w:hAnsi="仿宋" w:eastAsia="仿宋" w:cs="仿宋"/>
              <w:bCs/>
            </w:rPr>
            <w:t>1特殊要求</w:t>
          </w:r>
          <w:r>
            <w:tab/>
          </w:r>
          <w:r>
            <w:fldChar w:fldCharType="begin"/>
          </w:r>
          <w:r>
            <w:instrText xml:space="preserve"> PAGEREF _Toc16521 \h </w:instrText>
          </w:r>
          <w:r>
            <w:fldChar w:fldCharType="separate"/>
          </w:r>
          <w:r>
            <w:t>26</w:t>
          </w:r>
          <w:r>
            <w:fldChar w:fldCharType="end"/>
          </w:r>
          <w:r>
            <w:rPr>
              <w:rFonts w:ascii="仿宋" w:hAnsi="仿宋" w:eastAsia="仿宋"/>
              <w:bCs/>
              <w:color w:val="auto"/>
              <w:szCs w:val="24"/>
              <w:lang w:val="zh-CN"/>
            </w:rPr>
            <w:fldChar w:fldCharType="end"/>
          </w:r>
        </w:p>
        <w:p w14:paraId="16D9A58C">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exact"/>
            <w:textAlignment w:val="auto"/>
          </w:pPr>
          <w:r>
            <w:rPr>
              <w:rFonts w:ascii="仿宋" w:hAnsi="仿宋" w:eastAsia="仿宋"/>
              <w:bCs/>
              <w:color w:val="auto"/>
              <w:szCs w:val="24"/>
              <w:lang w:val="zh-CN"/>
            </w:rPr>
            <w:fldChar w:fldCharType="begin"/>
          </w:r>
          <w:r>
            <w:rPr>
              <w:rFonts w:ascii="仿宋" w:hAnsi="仿宋" w:eastAsia="仿宋"/>
              <w:bCs/>
              <w:szCs w:val="24"/>
              <w:lang w:val="zh-CN"/>
            </w:rPr>
            <w:instrText xml:space="preserve"> HYPERLINK \l _Toc4853 </w:instrText>
          </w:r>
          <w:r>
            <w:rPr>
              <w:rFonts w:ascii="仿宋" w:hAnsi="仿宋" w:eastAsia="仿宋"/>
              <w:bCs/>
              <w:szCs w:val="24"/>
              <w:lang w:val="zh-CN"/>
            </w:rPr>
            <w:fldChar w:fldCharType="separate"/>
          </w:r>
          <w:r>
            <w:rPr>
              <w:rFonts w:hint="eastAsia" w:ascii="仿宋" w:hAnsi="仿宋" w:eastAsia="仿宋" w:cs="仿宋"/>
              <w:bCs/>
            </w:rPr>
            <w:t>2说明</w:t>
          </w:r>
          <w:r>
            <w:tab/>
          </w:r>
          <w:r>
            <w:fldChar w:fldCharType="begin"/>
          </w:r>
          <w:r>
            <w:instrText xml:space="preserve"> PAGEREF _Toc4853 \h </w:instrText>
          </w:r>
          <w:r>
            <w:fldChar w:fldCharType="separate"/>
          </w:r>
          <w:r>
            <w:t>27</w:t>
          </w:r>
          <w:r>
            <w:fldChar w:fldCharType="end"/>
          </w:r>
          <w:r>
            <w:rPr>
              <w:rFonts w:ascii="仿宋" w:hAnsi="仿宋" w:eastAsia="仿宋"/>
              <w:bCs/>
              <w:color w:val="auto"/>
              <w:szCs w:val="24"/>
              <w:lang w:val="zh-CN"/>
            </w:rPr>
            <w:fldChar w:fldCharType="end"/>
          </w:r>
        </w:p>
        <w:p w14:paraId="6B720B40">
          <w:pPr>
            <w:spacing w:line="360" w:lineRule="auto"/>
            <w:rPr>
              <w:b/>
              <w:bCs/>
            </w:rPr>
          </w:pPr>
          <w:r>
            <w:rPr>
              <w:rFonts w:ascii="仿宋" w:hAnsi="仿宋" w:eastAsia="仿宋"/>
              <w:bCs/>
              <w:color w:val="auto"/>
              <w:szCs w:val="24"/>
              <w:lang w:val="zh-CN"/>
            </w:rPr>
            <w:fldChar w:fldCharType="end"/>
          </w:r>
        </w:p>
      </w:sdtContent>
    </w:sdt>
    <w:p w14:paraId="25E770E6">
      <w:pPr>
        <w:pStyle w:val="117"/>
        <w:tabs>
          <w:tab w:val="right" w:leader="dot" w:pos="8312"/>
        </w:tabs>
      </w:pPr>
    </w:p>
    <w:p w14:paraId="10182410">
      <w:pPr>
        <w:adjustRightInd w:val="0"/>
        <w:snapToGrid w:val="0"/>
        <w:spacing w:before="163" w:beforeLines="50" w:after="163" w:afterLines="50" w:line="360" w:lineRule="auto"/>
        <w:jc w:val="center"/>
        <w:outlineLvl w:val="0"/>
        <w:rPr>
          <w:rFonts w:ascii="仿宋" w:hAnsi="仿宋" w:eastAsia="仿宋" w:cs="仿宋"/>
          <w:b/>
          <w:bCs/>
        </w:rPr>
      </w:pPr>
    </w:p>
    <w:p w14:paraId="5CBA417D">
      <w:pPr>
        <w:adjustRightInd w:val="0"/>
        <w:snapToGrid w:val="0"/>
        <w:spacing w:before="163" w:beforeLines="50" w:after="163" w:afterLines="50" w:line="360" w:lineRule="auto"/>
        <w:jc w:val="center"/>
        <w:outlineLvl w:val="0"/>
        <w:rPr>
          <w:rFonts w:ascii="仿宋" w:hAnsi="仿宋" w:eastAsia="仿宋" w:cs="仿宋"/>
        </w:rPr>
        <w:sectPr>
          <w:footerReference r:id="rId8" w:type="default"/>
          <w:pgSz w:w="11906" w:h="16838"/>
          <w:pgMar w:top="1383" w:right="1797" w:bottom="1440" w:left="1797" w:header="1021" w:footer="680" w:gutter="0"/>
          <w:pgNumType w:start="1" w:chapStyle="1"/>
          <w:cols w:space="720" w:num="1"/>
          <w:docGrid w:type="lines" w:linePitch="326" w:charSpace="0"/>
        </w:sectPr>
      </w:pPr>
      <w:bookmarkStart w:id="54" w:name="_Toc6957"/>
      <w:bookmarkStart w:id="55" w:name="_Toc4029"/>
      <w:bookmarkStart w:id="56" w:name="_Toc20272"/>
    </w:p>
    <w:p w14:paraId="272DBC20">
      <w:pPr>
        <w:adjustRightInd w:val="0"/>
        <w:snapToGrid w:val="0"/>
        <w:spacing w:before="163" w:beforeLines="50" w:after="163" w:afterLines="50" w:line="360" w:lineRule="auto"/>
        <w:jc w:val="center"/>
        <w:outlineLvl w:val="0"/>
        <w:rPr>
          <w:rFonts w:ascii="仿宋" w:hAnsi="仿宋" w:eastAsia="仿宋" w:cs="仿宋"/>
          <w:b/>
          <w:bCs/>
        </w:rPr>
      </w:pPr>
      <w:bookmarkStart w:id="57" w:name="_Toc19716"/>
      <w:bookmarkStart w:id="58" w:name="_Toc2042"/>
      <w:bookmarkStart w:id="59" w:name="_Toc19570"/>
      <w:bookmarkStart w:id="60" w:name="_Toc73112396"/>
      <w:bookmarkStart w:id="61" w:name="_Toc2174"/>
      <w:bookmarkStart w:id="62" w:name="_Toc7975"/>
      <w:bookmarkStart w:id="63" w:name="_Toc16942"/>
      <w:r>
        <w:rPr>
          <w:rFonts w:hint="eastAsia" w:ascii="仿宋" w:hAnsi="仿宋" w:eastAsia="仿宋" w:cs="仿宋"/>
          <w:b/>
          <w:bCs/>
        </w:rPr>
        <w:t>第一章采购货物概况</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Start w:id="64" w:name="_Toc133783967"/>
    </w:p>
    <w:p w14:paraId="4169BAFB">
      <w:pPr>
        <w:adjustRightInd w:val="0"/>
        <w:snapToGrid w:val="0"/>
        <w:spacing w:line="360" w:lineRule="auto"/>
        <w:jc w:val="center"/>
        <w:outlineLvl w:val="1"/>
        <w:rPr>
          <w:rFonts w:ascii="仿宋" w:hAnsi="仿宋" w:eastAsia="仿宋" w:cs="仿宋"/>
          <w:b/>
          <w:bCs/>
        </w:rPr>
      </w:pPr>
      <w:bookmarkStart w:id="65" w:name="_Toc5983"/>
      <w:bookmarkStart w:id="66" w:name="_Toc892"/>
      <w:bookmarkStart w:id="67" w:name="_Toc864"/>
      <w:bookmarkStart w:id="68" w:name="_Toc5826"/>
      <w:bookmarkStart w:id="69" w:name="_Toc11763"/>
      <w:bookmarkStart w:id="70" w:name="_Toc16714"/>
      <w:bookmarkStart w:id="71" w:name="_Toc28361"/>
      <w:bookmarkStart w:id="72" w:name="_Toc5420"/>
      <w:bookmarkStart w:id="73" w:name="_Toc29157"/>
      <w:bookmarkStart w:id="74" w:name="_Toc9983"/>
      <w:bookmarkStart w:id="75" w:name="_Toc4004"/>
      <w:bookmarkStart w:id="76" w:name="_Toc2996"/>
      <w:bookmarkStart w:id="77" w:name="_Toc22424"/>
      <w:bookmarkStart w:id="78" w:name="_Toc19070"/>
      <w:bookmarkStart w:id="79" w:name="_Toc17474"/>
      <w:bookmarkStart w:id="80" w:name="_Toc21756"/>
      <w:bookmarkStart w:id="81" w:name="_Toc5172"/>
      <w:bookmarkStart w:id="82" w:name="_Toc7333"/>
      <w:bookmarkStart w:id="83" w:name="_Toc29927"/>
      <w:bookmarkStart w:id="84" w:name="_Toc6606"/>
      <w:bookmarkStart w:id="85" w:name="_Toc21892"/>
      <w:bookmarkStart w:id="86" w:name="_Toc11411"/>
      <w:bookmarkStart w:id="87" w:name="_Toc29605"/>
      <w:bookmarkStart w:id="88" w:name="_Toc30808"/>
      <w:bookmarkStart w:id="89" w:name="_Toc22942"/>
      <w:bookmarkStart w:id="90" w:name="_Toc31000"/>
      <w:bookmarkStart w:id="91" w:name="_Toc30245"/>
      <w:bookmarkStart w:id="92" w:name="_Toc5400"/>
      <w:bookmarkStart w:id="93" w:name="_Toc24689"/>
      <w:bookmarkStart w:id="94" w:name="_Toc7159"/>
      <w:bookmarkStart w:id="95" w:name="_Toc6498"/>
      <w:bookmarkStart w:id="96" w:name="_Toc7515"/>
      <w:bookmarkStart w:id="97" w:name="_Toc30246"/>
      <w:bookmarkStart w:id="98" w:name="_Toc5609"/>
      <w:bookmarkStart w:id="99" w:name="_Toc6436"/>
      <w:bookmarkStart w:id="100" w:name="_Toc2940"/>
      <w:bookmarkStart w:id="101" w:name="_Toc25011"/>
      <w:bookmarkStart w:id="102" w:name="_Toc73112397"/>
      <w:bookmarkStart w:id="103" w:name="_Toc10612"/>
      <w:bookmarkStart w:id="104" w:name="_Toc2152"/>
      <w:bookmarkStart w:id="105" w:name="_Toc14402"/>
      <w:bookmarkStart w:id="106" w:name="_Toc8362"/>
      <w:bookmarkStart w:id="107" w:name="_Toc27214"/>
      <w:r>
        <w:rPr>
          <w:rFonts w:hint="eastAsia" w:ascii="仿宋" w:hAnsi="仿宋" w:eastAsia="仿宋" w:cs="仿宋"/>
          <w:b/>
          <w:bCs/>
        </w:rPr>
        <w:t>第一节使用环境</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678C1566">
      <w:pPr>
        <w:pStyle w:val="16"/>
        <w:tabs>
          <w:tab w:val="left" w:pos="0"/>
        </w:tabs>
        <w:snapToGrid w:val="0"/>
        <w:spacing w:line="360" w:lineRule="auto"/>
        <w:ind w:firstLine="480" w:firstLineChars="200"/>
        <w:rPr>
          <w:rFonts w:ascii="仿宋" w:hAnsi="仿宋" w:eastAsia="仿宋" w:cs="仿宋"/>
        </w:rPr>
      </w:pPr>
      <w:r>
        <w:rPr>
          <w:rFonts w:hint="eastAsia" w:ascii="仿宋" w:hAnsi="仿宋" w:eastAsia="仿宋" w:cs="仿宋"/>
        </w:rPr>
        <w:t>1项目名称：</w:t>
      </w:r>
      <w:r>
        <w:rPr>
          <w:rFonts w:hint="eastAsia" w:ascii="仿宋" w:hAnsi="仿宋" w:eastAsia="仿宋" w:cs="仿宋"/>
          <w:shd w:val="pct10" w:color="auto" w:fill="FFFFFF"/>
        </w:rPr>
        <w:t>主减总成产能提升</w:t>
      </w:r>
      <w:r>
        <w:rPr>
          <w:rFonts w:hint="eastAsia" w:ascii="仿宋" w:hAnsi="仿宋" w:eastAsia="仿宋" w:cs="仿宋"/>
          <w:shd w:val="pct10" w:color="auto" w:fill="FFFFFF"/>
          <w:lang w:val="en-US" w:eastAsia="zh-CN"/>
        </w:rPr>
        <w:t>技改</w:t>
      </w:r>
      <w:r>
        <w:rPr>
          <w:rFonts w:hint="eastAsia" w:ascii="仿宋" w:hAnsi="仿宋" w:eastAsia="仿宋" w:cs="仿宋"/>
          <w:shd w:val="pct10" w:color="auto" w:fill="FFFFFF"/>
        </w:rPr>
        <w:t>项目</w:t>
      </w:r>
    </w:p>
    <w:p w14:paraId="01FB830A">
      <w:pPr>
        <w:pStyle w:val="16"/>
        <w:snapToGrid w:val="0"/>
        <w:spacing w:line="360" w:lineRule="auto"/>
        <w:ind w:firstLine="480" w:firstLineChars="200"/>
        <w:rPr>
          <w:rFonts w:ascii="仿宋" w:hAnsi="仿宋" w:eastAsia="仿宋" w:cs="仿宋"/>
          <w:shd w:val="pct10" w:color="auto" w:fill="FFFFFF"/>
        </w:rPr>
      </w:pPr>
      <w:r>
        <w:rPr>
          <w:rFonts w:hint="eastAsia" w:ascii="仿宋" w:hAnsi="仿宋" w:eastAsia="仿宋" w:cs="仿宋"/>
        </w:rPr>
        <w:t>2建设地点：</w:t>
      </w:r>
      <w:r>
        <w:rPr>
          <w:rFonts w:hint="eastAsia" w:ascii="仿宋" w:hAnsi="仿宋" w:eastAsia="仿宋" w:cs="仿宋"/>
          <w:shd w:val="pct10" w:color="auto" w:fill="FFFFFF"/>
        </w:rPr>
        <w:t>重汽(济南)车桥有限公司</w:t>
      </w:r>
      <w:r>
        <w:rPr>
          <w:rFonts w:hint="eastAsia" w:ascii="仿宋" w:hAnsi="仿宋" w:eastAsia="仿宋" w:cs="仿宋"/>
        </w:rPr>
        <w:t>（工地）</w:t>
      </w:r>
    </w:p>
    <w:p w14:paraId="198BFC96">
      <w:pPr>
        <w:pStyle w:val="16"/>
        <w:snapToGrid w:val="0"/>
        <w:spacing w:line="360" w:lineRule="auto"/>
        <w:ind w:firstLine="480" w:firstLineChars="200"/>
        <w:rPr>
          <w:rFonts w:ascii="仿宋" w:hAnsi="仿宋" w:eastAsia="仿宋" w:cs="仿宋"/>
          <w:shd w:val="pct10" w:color="auto" w:fill="FFFFFF"/>
        </w:rPr>
      </w:pPr>
      <w:r>
        <w:rPr>
          <w:rFonts w:hint="eastAsia" w:ascii="仿宋" w:hAnsi="仿宋" w:eastAsia="仿宋" w:cs="仿宋"/>
        </w:rPr>
        <w:t>3使用地点：</w:t>
      </w:r>
      <w:r>
        <w:rPr>
          <w:rFonts w:hint="eastAsia" w:ascii="仿宋" w:hAnsi="仿宋" w:eastAsia="仿宋" w:cs="仿宋"/>
          <w:shd w:val="pct10" w:color="auto" w:fill="FFFFFF"/>
        </w:rPr>
        <w:t>车桥公司</w:t>
      </w:r>
      <w:r>
        <w:rPr>
          <w:rFonts w:hint="eastAsia" w:ascii="仿宋" w:hAnsi="仿宋" w:eastAsia="仿宋" w:cs="仿宋"/>
          <w:shd w:val="pct10" w:color="auto" w:fill="FFFFFF"/>
          <w:lang w:val="en-US" w:eastAsia="zh-CN"/>
        </w:rPr>
        <w:t>主减速器部主减装配车间</w:t>
      </w:r>
      <w:r>
        <w:rPr>
          <w:rFonts w:hint="eastAsia" w:ascii="仿宋" w:hAnsi="仿宋" w:eastAsia="仿宋" w:cs="仿宋"/>
        </w:rPr>
        <w:t>（室内）</w:t>
      </w:r>
    </w:p>
    <w:p w14:paraId="6A033010">
      <w:pPr>
        <w:pStyle w:val="16"/>
        <w:snapToGrid w:val="0"/>
        <w:spacing w:line="360" w:lineRule="auto"/>
        <w:ind w:firstLine="480" w:firstLineChars="200"/>
        <w:rPr>
          <w:rFonts w:ascii="仿宋" w:hAnsi="仿宋" w:eastAsia="仿宋" w:cs="仿宋"/>
        </w:rPr>
      </w:pPr>
      <w:r>
        <w:rPr>
          <w:rFonts w:hint="eastAsia" w:ascii="仿宋" w:hAnsi="仿宋" w:eastAsia="仿宋" w:cs="仿宋"/>
        </w:rPr>
        <w:t>4工作制度：全年工作</w:t>
      </w:r>
      <w:r>
        <w:rPr>
          <w:rFonts w:hint="eastAsia" w:ascii="仿宋" w:hAnsi="仿宋" w:eastAsia="仿宋" w:cs="仿宋"/>
          <w:shd w:val="pct10" w:color="auto" w:fill="FFFFFF"/>
        </w:rPr>
        <w:t>300</w:t>
      </w:r>
      <w:r>
        <w:rPr>
          <w:rFonts w:hint="eastAsia" w:ascii="仿宋" w:hAnsi="仿宋" w:eastAsia="仿宋" w:cs="仿宋"/>
        </w:rPr>
        <w:t>天、</w:t>
      </w:r>
      <w:r>
        <w:rPr>
          <w:rFonts w:hint="eastAsia" w:ascii="仿宋" w:hAnsi="仿宋" w:eastAsia="仿宋" w:cs="仿宋"/>
          <w:lang w:val="en-US" w:eastAsia="zh-CN"/>
        </w:rPr>
        <w:t>2</w:t>
      </w:r>
      <w:r>
        <w:rPr>
          <w:rFonts w:hint="eastAsia" w:ascii="仿宋" w:hAnsi="仿宋" w:eastAsia="仿宋" w:cs="仿宋"/>
        </w:rPr>
        <w:t xml:space="preserve">班制、设备年时基数 </w:t>
      </w:r>
      <w:r>
        <w:rPr>
          <w:rFonts w:hint="eastAsia" w:ascii="仿宋" w:hAnsi="仿宋" w:eastAsia="仿宋" w:cs="仿宋"/>
          <w:shd w:val="pct10" w:color="auto" w:fill="FFFFFF"/>
        </w:rPr>
        <w:t>7200</w:t>
      </w:r>
      <w:r>
        <w:rPr>
          <w:rFonts w:hint="eastAsia" w:ascii="仿宋" w:hAnsi="仿宋" w:eastAsia="仿宋" w:cs="仿宋"/>
        </w:rPr>
        <w:t xml:space="preserve"> 小时</w:t>
      </w:r>
    </w:p>
    <w:p w14:paraId="07F35D3B">
      <w:pPr>
        <w:pStyle w:val="16"/>
        <w:snapToGrid w:val="0"/>
        <w:spacing w:line="360" w:lineRule="auto"/>
        <w:ind w:firstLine="480" w:firstLineChars="200"/>
        <w:rPr>
          <w:rFonts w:ascii="仿宋" w:hAnsi="仿宋" w:eastAsia="仿宋" w:cs="仿宋"/>
        </w:rPr>
      </w:pPr>
      <w:r>
        <w:rPr>
          <w:rFonts w:hint="eastAsia" w:ascii="仿宋" w:hAnsi="仿宋" w:eastAsia="仿宋" w:cs="仿宋"/>
        </w:rPr>
        <w:t>5使用地点区域自然环境：</w:t>
      </w:r>
    </w:p>
    <w:p w14:paraId="05C5E0B9">
      <w:pPr>
        <w:pStyle w:val="16"/>
        <w:snapToGrid w:val="0"/>
        <w:spacing w:line="360" w:lineRule="auto"/>
        <w:ind w:firstLine="480" w:firstLineChars="200"/>
        <w:rPr>
          <w:rFonts w:ascii="仿宋" w:hAnsi="仿宋" w:eastAsia="仿宋" w:cs="仿宋"/>
        </w:rPr>
      </w:pPr>
      <w:r>
        <w:rPr>
          <w:rFonts w:hint="eastAsia" w:ascii="仿宋" w:hAnsi="仿宋" w:eastAsia="仿宋" w:cs="仿宋"/>
        </w:rPr>
        <w:t>5.1海拨高度：1000m以下。</w:t>
      </w:r>
    </w:p>
    <w:p w14:paraId="3C0ADC7C">
      <w:pPr>
        <w:pStyle w:val="16"/>
        <w:snapToGrid w:val="0"/>
        <w:spacing w:line="360" w:lineRule="auto"/>
        <w:ind w:firstLine="480" w:firstLineChars="200"/>
        <w:rPr>
          <w:rFonts w:ascii="仿宋" w:hAnsi="仿宋" w:eastAsia="仿宋" w:cs="仿宋"/>
        </w:rPr>
      </w:pPr>
      <w:r>
        <w:rPr>
          <w:rFonts w:hint="eastAsia" w:ascii="仿宋" w:hAnsi="仿宋" w:eastAsia="仿宋" w:cs="仿宋"/>
        </w:rPr>
        <w:t>5.2环境温度：室外极端最低温度-19.7℃、极端最高温度42℃，昼夜最大温差25℃；室内温度5～40℃。</w:t>
      </w:r>
    </w:p>
    <w:p w14:paraId="5F3591C7">
      <w:pPr>
        <w:pStyle w:val="16"/>
        <w:snapToGrid w:val="0"/>
        <w:spacing w:line="360" w:lineRule="auto"/>
        <w:ind w:firstLine="480" w:firstLineChars="200"/>
        <w:rPr>
          <w:rFonts w:ascii="仿宋" w:hAnsi="仿宋" w:eastAsia="仿宋" w:cs="仿宋"/>
        </w:rPr>
      </w:pPr>
      <w:r>
        <w:rPr>
          <w:rFonts w:hint="eastAsia" w:ascii="仿宋" w:hAnsi="仿宋" w:eastAsia="仿宋" w:cs="仿宋"/>
        </w:rPr>
        <w:t>5.3相对湿度：年平均59%，最大95%、最小15%。</w:t>
      </w:r>
    </w:p>
    <w:p w14:paraId="790D2897">
      <w:pPr>
        <w:pStyle w:val="16"/>
        <w:snapToGrid w:val="0"/>
        <w:spacing w:line="360" w:lineRule="auto"/>
        <w:ind w:firstLine="480" w:firstLineChars="200"/>
        <w:rPr>
          <w:rFonts w:ascii="仿宋" w:hAnsi="仿宋" w:eastAsia="仿宋" w:cs="仿宋"/>
        </w:rPr>
      </w:pPr>
      <w:r>
        <w:rPr>
          <w:rFonts w:hint="eastAsia" w:ascii="仿宋" w:hAnsi="仿宋" w:eastAsia="仿宋" w:cs="仿宋"/>
        </w:rPr>
        <w:t>5.4 地震裂度：七度。</w:t>
      </w:r>
    </w:p>
    <w:p w14:paraId="0902B87E">
      <w:pPr>
        <w:pStyle w:val="16"/>
        <w:snapToGrid w:val="0"/>
        <w:spacing w:line="360" w:lineRule="auto"/>
        <w:ind w:firstLine="480" w:firstLineChars="200"/>
        <w:rPr>
          <w:rFonts w:ascii="仿宋" w:hAnsi="仿宋" w:eastAsia="仿宋" w:cs="仿宋"/>
        </w:rPr>
      </w:pPr>
      <w:r>
        <w:rPr>
          <w:rFonts w:hint="eastAsia" w:ascii="仿宋" w:hAnsi="仿宋" w:eastAsia="仿宋" w:cs="仿宋"/>
        </w:rPr>
        <w:t>6能源环境：</w:t>
      </w:r>
    </w:p>
    <w:p w14:paraId="39B88C4B">
      <w:pPr>
        <w:pStyle w:val="16"/>
        <w:snapToGrid w:val="0"/>
        <w:spacing w:line="360" w:lineRule="auto"/>
        <w:ind w:firstLine="480" w:firstLineChars="200"/>
        <w:rPr>
          <w:rFonts w:ascii="仿宋" w:hAnsi="仿宋" w:eastAsia="仿宋" w:cs="仿宋"/>
        </w:rPr>
      </w:pPr>
      <w:r>
        <w:rPr>
          <w:rFonts w:hint="eastAsia" w:ascii="仿宋" w:hAnsi="仿宋" w:eastAsia="仿宋" w:cs="仿宋"/>
        </w:rPr>
        <w:t>6.1电力：中国制式，供电电压</w:t>
      </w:r>
      <w:r>
        <w:rPr>
          <w:rFonts w:hint="eastAsia" w:ascii="仿宋" w:hAnsi="仿宋" w:eastAsia="仿宋" w:cs="仿宋"/>
          <w:u w:val="single"/>
          <w:shd w:val="pct10" w:color="auto" w:fill="FFFFFF"/>
        </w:rPr>
        <w:t>380V±15%/220V±15%</w:t>
      </w:r>
      <w:r>
        <w:rPr>
          <w:rFonts w:hint="eastAsia" w:ascii="仿宋" w:hAnsi="仿宋" w:eastAsia="仿宋" w:cs="仿宋"/>
        </w:rPr>
        <w:t>，供电频率50Hz±2%。</w:t>
      </w:r>
    </w:p>
    <w:p w14:paraId="5D28335A">
      <w:pPr>
        <w:snapToGrid w:val="0"/>
        <w:spacing w:line="360" w:lineRule="auto"/>
        <w:ind w:firstLine="420" w:firstLineChars="200"/>
        <w:rPr>
          <w:rFonts w:ascii="仿宋" w:hAnsi="仿宋" w:eastAsia="仿宋" w:cs="仿宋"/>
        </w:rPr>
      </w:pPr>
      <w:r>
        <w:rPr>
          <w:rFonts w:hint="eastAsia" w:ascii="仿宋" w:hAnsi="仿宋" w:eastAsia="仿宋" w:cs="仿宋"/>
        </w:rPr>
        <w:t xml:space="preserve">6.2 </w:t>
      </w:r>
      <w:r>
        <w:rPr>
          <w:rFonts w:hint="eastAsia" w:ascii="仿宋" w:hAnsi="仿宋" w:eastAsia="仿宋" w:cs="仿宋"/>
          <w:kern w:val="0"/>
        </w:rPr>
        <w:t>给水：市政自来水</w:t>
      </w:r>
    </w:p>
    <w:p w14:paraId="122F0FF4">
      <w:pPr>
        <w:pStyle w:val="16"/>
        <w:snapToGrid w:val="0"/>
        <w:spacing w:line="360" w:lineRule="auto"/>
        <w:ind w:firstLine="480" w:firstLineChars="200"/>
        <w:rPr>
          <w:rFonts w:ascii="仿宋" w:hAnsi="仿宋" w:eastAsia="仿宋" w:cs="仿宋"/>
        </w:rPr>
      </w:pPr>
      <w:r>
        <w:rPr>
          <w:rFonts w:hint="eastAsia" w:ascii="仿宋" w:hAnsi="仿宋" w:eastAsia="仿宋" w:cs="仿宋"/>
        </w:rPr>
        <w:t>6.3压缩空气：自备空压机自产压缩空气，压力范围</w:t>
      </w:r>
      <w:r>
        <w:rPr>
          <w:rFonts w:hint="eastAsia" w:ascii="仿宋" w:hAnsi="仿宋" w:eastAsia="仿宋" w:cs="仿宋"/>
          <w:u w:val="single"/>
          <w:shd w:val="pct10" w:color="auto" w:fill="FFFFFF"/>
        </w:rPr>
        <w:t>0.5±0.1MPa</w:t>
      </w:r>
      <w:r>
        <w:rPr>
          <w:rFonts w:hint="eastAsia" w:ascii="仿宋" w:hAnsi="仿宋" w:eastAsia="仿宋" w:cs="仿宋"/>
        </w:rPr>
        <w:t>。</w:t>
      </w:r>
      <w:bookmarkStart w:id="108" w:name="_Toc27857"/>
      <w:bookmarkStart w:id="109" w:name="_Toc5421"/>
      <w:bookmarkStart w:id="110" w:name="_Toc18569"/>
      <w:bookmarkStart w:id="111" w:name="_Toc6433"/>
      <w:bookmarkStart w:id="112" w:name="_Toc8728"/>
      <w:bookmarkStart w:id="113" w:name="_Toc9561"/>
      <w:bookmarkStart w:id="114" w:name="_Toc6636"/>
      <w:bookmarkStart w:id="115" w:name="_Toc31241"/>
      <w:bookmarkStart w:id="116" w:name="_Toc17605"/>
      <w:bookmarkStart w:id="117" w:name="_Toc5374"/>
      <w:bookmarkStart w:id="118" w:name="_Toc429"/>
      <w:bookmarkStart w:id="119" w:name="_Toc29019"/>
      <w:bookmarkStart w:id="120" w:name="_Toc9143"/>
      <w:bookmarkStart w:id="121" w:name="_Toc12401"/>
      <w:bookmarkStart w:id="122" w:name="_Toc13324"/>
      <w:bookmarkStart w:id="123" w:name="_Toc24481"/>
      <w:bookmarkStart w:id="124" w:name="_Toc29333"/>
      <w:bookmarkStart w:id="125" w:name="_Toc17682"/>
      <w:bookmarkStart w:id="126" w:name="_Toc8740"/>
      <w:bookmarkStart w:id="127" w:name="_Toc27449"/>
      <w:bookmarkStart w:id="128" w:name="_Toc4175"/>
      <w:bookmarkStart w:id="129" w:name="_Toc15369"/>
      <w:bookmarkStart w:id="130" w:name="_Toc23473"/>
      <w:bookmarkStart w:id="131" w:name="_Toc30431"/>
      <w:bookmarkStart w:id="132" w:name="_Toc17543"/>
      <w:bookmarkStart w:id="133" w:name="_Toc24563"/>
      <w:bookmarkStart w:id="134" w:name="_Toc11744"/>
      <w:bookmarkStart w:id="135" w:name="_Toc5282"/>
      <w:bookmarkStart w:id="136" w:name="_Toc9784"/>
      <w:bookmarkStart w:id="137" w:name="_Toc9671"/>
      <w:bookmarkStart w:id="138" w:name="_Toc133783968"/>
      <w:bookmarkStart w:id="139" w:name="_Toc22983"/>
      <w:bookmarkStart w:id="140" w:name="_Toc21616"/>
    </w:p>
    <w:p w14:paraId="2F4D65C2">
      <w:pPr>
        <w:adjustRightInd w:val="0"/>
        <w:snapToGrid w:val="0"/>
        <w:spacing w:line="360" w:lineRule="auto"/>
        <w:jc w:val="center"/>
        <w:outlineLvl w:val="1"/>
        <w:rPr>
          <w:rFonts w:ascii="仿宋" w:hAnsi="仿宋" w:eastAsia="仿宋" w:cs="仿宋"/>
        </w:rPr>
      </w:pPr>
      <w:bookmarkStart w:id="141" w:name="_Toc32701"/>
      <w:bookmarkStart w:id="142" w:name="_Toc8560"/>
      <w:bookmarkStart w:id="143" w:name="_Toc1424"/>
      <w:bookmarkStart w:id="144" w:name="_Toc18778"/>
      <w:bookmarkStart w:id="145" w:name="_Toc32599"/>
      <w:bookmarkStart w:id="146" w:name="_Toc10013"/>
      <w:bookmarkStart w:id="147" w:name="_Toc17750"/>
      <w:bookmarkStart w:id="148" w:name="_Toc73112398"/>
      <w:bookmarkStart w:id="149" w:name="_Toc13544"/>
      <w:bookmarkStart w:id="150" w:name="_Toc24559"/>
      <w:bookmarkStart w:id="151" w:name="_Toc21957"/>
      <w:bookmarkStart w:id="152" w:name="_Toc29190"/>
      <w:bookmarkStart w:id="153" w:name="_Toc1523"/>
      <w:bookmarkStart w:id="154" w:name="_Toc18032"/>
      <w:bookmarkStart w:id="155" w:name="_Toc21302"/>
      <w:r>
        <w:rPr>
          <w:rFonts w:hint="eastAsia" w:ascii="仿宋" w:hAnsi="仿宋" w:eastAsia="仿宋" w:cs="仿宋"/>
          <w:b/>
          <w:bCs/>
        </w:rPr>
        <w:t>第二节采购货物概况</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14:paraId="54C10CA4">
      <w:pPr>
        <w:pStyle w:val="16"/>
        <w:snapToGrid w:val="0"/>
        <w:spacing w:line="360" w:lineRule="auto"/>
        <w:ind w:firstLine="480" w:firstLineChars="200"/>
        <w:rPr>
          <w:rFonts w:ascii="仿宋" w:hAnsi="仿宋" w:eastAsia="仿宋" w:cs="仿宋"/>
        </w:rPr>
      </w:pPr>
      <w:r>
        <w:rPr>
          <w:rFonts w:hint="eastAsia" w:ascii="仿宋" w:hAnsi="仿宋" w:eastAsia="仿宋" w:cs="仿宋"/>
        </w:rPr>
        <w:t>1货物（或生产线）：</w:t>
      </w:r>
      <w:r>
        <w:rPr>
          <w:rFonts w:hint="eastAsia" w:ascii="仿宋" w:hAnsi="仿宋" w:eastAsia="仿宋" w:cs="仿宋"/>
          <w:u w:val="single"/>
          <w:shd w:val="pct10" w:color="auto" w:fill="FFFFFF"/>
          <w:lang w:val="en-US" w:eastAsia="zh-CN"/>
        </w:rPr>
        <w:t>主减总成产能提升装配线</w:t>
      </w:r>
      <w:r>
        <w:rPr>
          <w:rFonts w:hint="eastAsia" w:ascii="仿宋" w:hAnsi="仿宋" w:eastAsia="仿宋" w:cs="仿宋"/>
        </w:rPr>
        <w:t xml:space="preserve"> （详见下表）</w:t>
      </w:r>
    </w:p>
    <w:p w14:paraId="6AAC5B25">
      <w:pPr>
        <w:pStyle w:val="16"/>
        <w:snapToGrid w:val="0"/>
        <w:spacing w:line="360" w:lineRule="auto"/>
        <w:ind w:firstLine="480" w:firstLineChars="200"/>
        <w:rPr>
          <w:rFonts w:ascii="仿宋" w:hAnsi="仿宋" w:eastAsia="仿宋" w:cs="仿宋"/>
        </w:rPr>
      </w:pPr>
      <w:r>
        <w:rPr>
          <w:rFonts w:hint="eastAsia" w:ascii="仿宋" w:hAnsi="仿宋" w:eastAsia="仿宋" w:cs="仿宋"/>
        </w:rPr>
        <w:t>2货物（或生产线）数量：</w:t>
      </w:r>
      <w:r>
        <w:rPr>
          <w:rFonts w:hint="eastAsia" w:ascii="仿宋" w:hAnsi="仿宋" w:eastAsia="仿宋" w:cs="仿宋"/>
          <w:u w:val="single"/>
          <w:shd w:val="pct10" w:color="auto" w:fill="FFFFFF"/>
          <w:lang w:val="en-US" w:eastAsia="zh-CN"/>
        </w:rPr>
        <w:t>1</w:t>
      </w:r>
      <w:r>
        <w:rPr>
          <w:rFonts w:hint="eastAsia" w:ascii="仿宋" w:hAnsi="仿宋" w:eastAsia="仿宋" w:cs="仿宋"/>
          <w:u w:val="single"/>
          <w:shd w:val="pct10" w:color="auto" w:fill="FFFFFF"/>
        </w:rPr>
        <w:t>套</w:t>
      </w:r>
      <w:r>
        <w:rPr>
          <w:rFonts w:hint="eastAsia" w:ascii="仿宋" w:hAnsi="仿宋" w:eastAsia="仿宋" w:cs="仿宋"/>
        </w:rPr>
        <w:t>（详见下表）</w:t>
      </w:r>
    </w:p>
    <w:p w14:paraId="458D8033">
      <w:pPr>
        <w:pStyle w:val="16"/>
        <w:snapToGrid w:val="0"/>
        <w:spacing w:line="360" w:lineRule="auto"/>
        <w:ind w:firstLine="480" w:firstLineChars="200"/>
        <w:rPr>
          <w:rFonts w:ascii="仿宋" w:hAnsi="仿宋" w:eastAsia="仿宋" w:cs="仿宋"/>
        </w:rPr>
      </w:pPr>
      <w:r>
        <w:rPr>
          <w:rFonts w:hint="eastAsia" w:ascii="仿宋" w:hAnsi="仿宋" w:eastAsia="仿宋" w:cs="仿宋"/>
        </w:rPr>
        <w:t>采购货物（或生产线）主要构成一览表</w:t>
      </w:r>
    </w:p>
    <w:tbl>
      <w:tblPr>
        <w:tblStyle w:val="30"/>
        <w:tblW w:w="78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6"/>
        <w:gridCol w:w="1100"/>
        <w:gridCol w:w="2299"/>
        <w:gridCol w:w="720"/>
        <w:gridCol w:w="787"/>
        <w:gridCol w:w="1439"/>
        <w:gridCol w:w="798"/>
      </w:tblGrid>
      <w:tr w14:paraId="11D89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6" w:type="dxa"/>
            <w:shd w:val="clear" w:color="auto" w:fill="auto"/>
            <w:vAlign w:val="center"/>
          </w:tcPr>
          <w:p w14:paraId="46801237">
            <w:pPr>
              <w:pStyle w:val="16"/>
              <w:snapToGrid w:val="0"/>
              <w:spacing w:line="240" w:lineRule="auto"/>
              <w:ind w:firstLine="0" w:firstLineChars="0"/>
              <w:jc w:val="center"/>
              <w:rPr>
                <w:rFonts w:ascii="仿宋" w:hAnsi="仿宋" w:eastAsia="仿宋" w:cs="仿宋"/>
                <w:sz w:val="21"/>
                <w:szCs w:val="21"/>
                <w:highlight w:val="none"/>
              </w:rPr>
            </w:pPr>
            <w:r>
              <w:rPr>
                <w:rFonts w:hint="eastAsia" w:ascii="仿宋" w:hAnsi="仿宋" w:eastAsia="仿宋" w:cs="仿宋"/>
                <w:kern w:val="2"/>
                <w:sz w:val="21"/>
                <w:szCs w:val="21"/>
                <w:highlight w:val="none"/>
              </w:rPr>
              <w:t>序号</w:t>
            </w:r>
          </w:p>
        </w:tc>
        <w:tc>
          <w:tcPr>
            <w:tcW w:w="1100" w:type="dxa"/>
            <w:shd w:val="clear" w:color="auto" w:fill="auto"/>
            <w:vAlign w:val="center"/>
          </w:tcPr>
          <w:p w14:paraId="4F72DBA5">
            <w:pPr>
              <w:pStyle w:val="16"/>
              <w:snapToGrid w:val="0"/>
              <w:spacing w:line="240" w:lineRule="auto"/>
              <w:ind w:firstLine="0" w:firstLineChars="0"/>
              <w:jc w:val="center"/>
              <w:rPr>
                <w:rFonts w:ascii="仿宋" w:hAnsi="仿宋" w:eastAsia="仿宋" w:cs="仿宋"/>
                <w:kern w:val="2"/>
                <w:sz w:val="21"/>
                <w:szCs w:val="21"/>
                <w:highlight w:val="none"/>
              </w:rPr>
            </w:pPr>
            <w:r>
              <w:rPr>
                <w:rFonts w:hint="eastAsia" w:ascii="仿宋" w:hAnsi="仿宋" w:eastAsia="仿宋" w:cs="仿宋"/>
                <w:kern w:val="2"/>
                <w:sz w:val="21"/>
                <w:szCs w:val="21"/>
                <w:highlight w:val="none"/>
              </w:rPr>
              <w:t>货物名称</w:t>
            </w:r>
          </w:p>
        </w:tc>
        <w:tc>
          <w:tcPr>
            <w:tcW w:w="2299" w:type="dxa"/>
            <w:shd w:val="clear" w:color="auto" w:fill="auto"/>
            <w:vAlign w:val="center"/>
          </w:tcPr>
          <w:p w14:paraId="08B40936">
            <w:pPr>
              <w:pStyle w:val="16"/>
              <w:snapToGrid w:val="0"/>
              <w:spacing w:line="240" w:lineRule="auto"/>
              <w:ind w:firstLine="0" w:firstLineChars="0"/>
              <w:jc w:val="center"/>
              <w:rPr>
                <w:rFonts w:hint="default" w:ascii="仿宋" w:hAnsi="仿宋" w:eastAsia="仿宋" w:cs="仿宋"/>
                <w:kern w:val="2"/>
                <w:sz w:val="21"/>
                <w:szCs w:val="21"/>
                <w:highlight w:val="none"/>
                <w:lang w:val="en-US" w:eastAsia="zh-CN"/>
              </w:rPr>
            </w:pPr>
            <w:r>
              <w:rPr>
                <w:rFonts w:hint="eastAsia" w:ascii="仿宋" w:hAnsi="仿宋" w:eastAsia="仿宋" w:cs="仿宋"/>
                <w:kern w:val="2"/>
                <w:sz w:val="21"/>
                <w:szCs w:val="21"/>
                <w:highlight w:val="none"/>
                <w:lang w:val="en-US" w:eastAsia="zh-CN"/>
              </w:rPr>
              <w:t>主要功能</w:t>
            </w:r>
          </w:p>
        </w:tc>
        <w:tc>
          <w:tcPr>
            <w:tcW w:w="720" w:type="dxa"/>
            <w:shd w:val="clear" w:color="auto" w:fill="auto"/>
            <w:vAlign w:val="center"/>
          </w:tcPr>
          <w:p w14:paraId="5A8015D9">
            <w:pPr>
              <w:pStyle w:val="16"/>
              <w:snapToGrid w:val="0"/>
              <w:spacing w:line="240" w:lineRule="auto"/>
              <w:ind w:firstLine="0" w:firstLineChars="0"/>
              <w:jc w:val="center"/>
              <w:rPr>
                <w:rFonts w:ascii="仿宋" w:hAnsi="仿宋" w:eastAsia="仿宋" w:cs="仿宋"/>
                <w:kern w:val="2"/>
                <w:sz w:val="21"/>
                <w:szCs w:val="21"/>
                <w:highlight w:val="none"/>
              </w:rPr>
            </w:pPr>
            <w:r>
              <w:rPr>
                <w:rFonts w:hint="eastAsia" w:ascii="仿宋" w:hAnsi="仿宋" w:eastAsia="仿宋" w:cs="仿宋"/>
                <w:kern w:val="2"/>
                <w:sz w:val="21"/>
                <w:szCs w:val="21"/>
                <w:highlight w:val="none"/>
              </w:rPr>
              <w:t>单位</w:t>
            </w:r>
          </w:p>
        </w:tc>
        <w:tc>
          <w:tcPr>
            <w:tcW w:w="787" w:type="dxa"/>
            <w:shd w:val="clear" w:color="auto" w:fill="auto"/>
            <w:vAlign w:val="center"/>
          </w:tcPr>
          <w:p w14:paraId="4D7AC199">
            <w:pPr>
              <w:pStyle w:val="16"/>
              <w:snapToGrid w:val="0"/>
              <w:spacing w:line="240" w:lineRule="auto"/>
              <w:ind w:firstLine="0" w:firstLineChars="0"/>
              <w:jc w:val="center"/>
              <w:rPr>
                <w:rFonts w:ascii="仿宋" w:hAnsi="仿宋" w:eastAsia="仿宋" w:cs="仿宋"/>
                <w:kern w:val="2"/>
                <w:sz w:val="21"/>
                <w:szCs w:val="21"/>
                <w:highlight w:val="none"/>
              </w:rPr>
            </w:pPr>
            <w:r>
              <w:rPr>
                <w:rFonts w:hint="eastAsia" w:ascii="仿宋" w:hAnsi="仿宋" w:eastAsia="仿宋" w:cs="仿宋"/>
                <w:kern w:val="2"/>
                <w:sz w:val="21"/>
                <w:szCs w:val="21"/>
                <w:highlight w:val="none"/>
              </w:rPr>
              <w:t>数量</w:t>
            </w:r>
          </w:p>
        </w:tc>
        <w:tc>
          <w:tcPr>
            <w:tcW w:w="1439" w:type="dxa"/>
            <w:shd w:val="clear" w:color="auto" w:fill="auto"/>
            <w:vAlign w:val="center"/>
          </w:tcPr>
          <w:p w14:paraId="7AA13BE8">
            <w:pPr>
              <w:pStyle w:val="16"/>
              <w:snapToGrid w:val="0"/>
              <w:spacing w:line="240" w:lineRule="auto"/>
              <w:ind w:firstLine="0" w:firstLineChars="0"/>
              <w:jc w:val="center"/>
              <w:rPr>
                <w:rFonts w:ascii="仿宋" w:hAnsi="仿宋" w:eastAsia="仿宋" w:cs="仿宋"/>
                <w:kern w:val="2"/>
                <w:sz w:val="21"/>
                <w:szCs w:val="21"/>
                <w:highlight w:val="none"/>
              </w:rPr>
            </w:pPr>
            <w:r>
              <w:rPr>
                <w:rFonts w:hint="eastAsia" w:ascii="仿宋" w:hAnsi="仿宋" w:eastAsia="仿宋" w:cs="仿宋"/>
                <w:kern w:val="2"/>
                <w:sz w:val="21"/>
                <w:szCs w:val="21"/>
                <w:highlight w:val="none"/>
              </w:rPr>
              <w:t>安装地点/ 服务对象</w:t>
            </w:r>
          </w:p>
        </w:tc>
        <w:tc>
          <w:tcPr>
            <w:tcW w:w="798" w:type="dxa"/>
            <w:shd w:val="clear" w:color="auto" w:fill="auto"/>
            <w:vAlign w:val="center"/>
          </w:tcPr>
          <w:p w14:paraId="2F347284">
            <w:pPr>
              <w:pStyle w:val="16"/>
              <w:snapToGrid w:val="0"/>
              <w:spacing w:line="240" w:lineRule="auto"/>
              <w:ind w:firstLine="0" w:firstLineChars="0"/>
              <w:jc w:val="center"/>
              <w:rPr>
                <w:rFonts w:ascii="仿宋" w:hAnsi="仿宋" w:eastAsia="仿宋" w:cs="仿宋"/>
                <w:kern w:val="2"/>
                <w:sz w:val="21"/>
                <w:szCs w:val="21"/>
                <w:highlight w:val="none"/>
              </w:rPr>
            </w:pPr>
            <w:r>
              <w:rPr>
                <w:rFonts w:hint="eastAsia" w:ascii="仿宋" w:hAnsi="仿宋" w:eastAsia="仿宋" w:cs="仿宋"/>
                <w:kern w:val="2"/>
                <w:sz w:val="21"/>
                <w:szCs w:val="21"/>
                <w:highlight w:val="none"/>
              </w:rPr>
              <w:t>供货方式</w:t>
            </w:r>
          </w:p>
        </w:tc>
      </w:tr>
      <w:tr w14:paraId="18525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6" w:type="dxa"/>
            <w:shd w:val="clear" w:color="auto" w:fill="auto"/>
            <w:vAlign w:val="center"/>
          </w:tcPr>
          <w:p w14:paraId="2839318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sz w:val="21"/>
                <w:szCs w:val="21"/>
                <w:highlight w:val="none"/>
                <w:lang w:val="en-US" w:eastAsia="zh-CN" w:bidi="ar"/>
              </w:rPr>
            </w:pPr>
            <w:r>
              <w:rPr>
                <w:rFonts w:hint="eastAsia" w:ascii="仿宋" w:hAnsi="仿宋" w:eastAsia="仿宋" w:cs="仿宋"/>
                <w:color w:val="000000"/>
                <w:sz w:val="21"/>
                <w:szCs w:val="21"/>
                <w:highlight w:val="none"/>
                <w:lang w:val="en-US" w:eastAsia="zh-CN" w:bidi="ar"/>
              </w:rPr>
              <w:t>1</w:t>
            </w:r>
          </w:p>
        </w:tc>
        <w:tc>
          <w:tcPr>
            <w:tcW w:w="1100" w:type="dxa"/>
            <w:shd w:val="clear" w:color="auto" w:fill="auto"/>
            <w:vAlign w:val="center"/>
          </w:tcPr>
          <w:p w14:paraId="32C7339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default" w:ascii="仿宋" w:hAnsi="仿宋" w:eastAsia="仿宋" w:cs="仿宋"/>
                <w:kern w:val="2"/>
                <w:sz w:val="21"/>
                <w:szCs w:val="21"/>
                <w:highlight w:val="none"/>
                <w:lang w:val="en-US" w:eastAsia="zh-CN" w:bidi="ar-SA"/>
              </w:rPr>
            </w:pPr>
            <w:r>
              <w:rPr>
                <w:rFonts w:hint="eastAsia" w:ascii="仿宋" w:hAnsi="仿宋" w:eastAsia="仿宋" w:cs="仿宋"/>
                <w:kern w:val="2"/>
                <w:sz w:val="21"/>
                <w:szCs w:val="21"/>
                <w:highlight w:val="none"/>
                <w:lang w:val="en-US" w:eastAsia="zh-CN" w:bidi="ar-SA"/>
              </w:rPr>
              <w:t>主减总成装配线</w:t>
            </w:r>
          </w:p>
        </w:tc>
        <w:tc>
          <w:tcPr>
            <w:tcW w:w="2299" w:type="dxa"/>
            <w:shd w:val="clear" w:color="auto" w:fill="auto"/>
            <w:vAlign w:val="center"/>
          </w:tcPr>
          <w:p w14:paraId="51DAF95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default" w:ascii="仿宋" w:hAnsi="仿宋" w:eastAsia="仿宋" w:cs="仿宋"/>
                <w:color w:val="000000"/>
                <w:sz w:val="21"/>
                <w:szCs w:val="21"/>
                <w:highlight w:val="none"/>
                <w:lang w:val="en-US" w:eastAsia="zh-CN" w:bidi="ar"/>
              </w:rPr>
            </w:pPr>
            <w:r>
              <w:rPr>
                <w:rFonts w:hint="eastAsia" w:ascii="仿宋" w:hAnsi="仿宋" w:eastAsia="仿宋" w:cs="仿宋"/>
                <w:kern w:val="2"/>
                <w:sz w:val="21"/>
                <w:szCs w:val="21"/>
                <w:highlight w:val="none"/>
                <w:lang w:val="en-US" w:eastAsia="zh-CN" w:bidi="ar-SA"/>
              </w:rPr>
              <w:t>MCY11/MCY12/MCY13/MCY12ZGQ中、后主减装配。</w:t>
            </w:r>
          </w:p>
        </w:tc>
        <w:tc>
          <w:tcPr>
            <w:tcW w:w="720" w:type="dxa"/>
            <w:shd w:val="clear" w:color="auto" w:fill="auto"/>
            <w:vAlign w:val="center"/>
          </w:tcPr>
          <w:p w14:paraId="7F6862C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default" w:ascii="仿宋" w:hAnsi="仿宋" w:eastAsia="仿宋" w:cs="仿宋"/>
                <w:color w:val="000000"/>
                <w:sz w:val="21"/>
                <w:szCs w:val="21"/>
                <w:highlight w:val="none"/>
                <w:lang w:val="en-US" w:eastAsia="zh-CN" w:bidi="ar"/>
              </w:rPr>
            </w:pPr>
            <w:r>
              <w:rPr>
                <w:rFonts w:hint="eastAsia" w:ascii="仿宋" w:hAnsi="仿宋" w:eastAsia="仿宋" w:cs="仿宋"/>
                <w:color w:val="000000"/>
                <w:sz w:val="21"/>
                <w:szCs w:val="21"/>
                <w:highlight w:val="none"/>
                <w:lang w:val="en-US" w:eastAsia="zh-CN" w:bidi="ar"/>
              </w:rPr>
              <w:t>套</w:t>
            </w:r>
          </w:p>
        </w:tc>
        <w:tc>
          <w:tcPr>
            <w:tcW w:w="787" w:type="dxa"/>
            <w:shd w:val="clear" w:color="auto" w:fill="auto"/>
            <w:vAlign w:val="center"/>
          </w:tcPr>
          <w:p w14:paraId="0EEA8CD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rPr>
                <w:rFonts w:hint="eastAsia" w:ascii="仿宋" w:hAnsi="仿宋" w:eastAsia="仿宋" w:cs="仿宋"/>
                <w:color w:val="000000"/>
                <w:sz w:val="21"/>
                <w:szCs w:val="21"/>
                <w:highlight w:val="none"/>
                <w:lang w:val="en-US" w:eastAsia="zh-CN" w:bidi="ar"/>
              </w:rPr>
            </w:pPr>
            <w:r>
              <w:rPr>
                <w:rFonts w:hint="eastAsia" w:ascii="仿宋" w:hAnsi="仿宋" w:eastAsia="仿宋" w:cs="仿宋"/>
                <w:color w:val="000000"/>
                <w:sz w:val="21"/>
                <w:szCs w:val="21"/>
                <w:highlight w:val="none"/>
                <w:lang w:val="en-US" w:eastAsia="zh-CN" w:bidi="ar"/>
              </w:rPr>
              <w:t>1</w:t>
            </w:r>
          </w:p>
        </w:tc>
        <w:tc>
          <w:tcPr>
            <w:tcW w:w="1439" w:type="dxa"/>
            <w:shd w:val="clear" w:color="auto" w:fill="auto"/>
            <w:vAlign w:val="center"/>
          </w:tcPr>
          <w:p w14:paraId="521B7519">
            <w:pPr>
              <w:pStyle w:val="16"/>
              <w:snapToGrid w:val="0"/>
              <w:spacing w:line="240" w:lineRule="auto"/>
              <w:ind w:firstLine="0" w:firstLineChars="0"/>
              <w:jc w:val="center"/>
              <w:rPr>
                <w:rFonts w:hint="default" w:ascii="仿宋" w:hAnsi="仿宋" w:eastAsia="仿宋" w:cs="仿宋"/>
                <w:kern w:val="2"/>
                <w:sz w:val="21"/>
                <w:szCs w:val="21"/>
                <w:highlight w:val="none"/>
                <w:lang w:val="en-US" w:eastAsia="zh-CN" w:bidi="ar-SA"/>
              </w:rPr>
            </w:pPr>
            <w:r>
              <w:rPr>
                <w:rFonts w:hint="eastAsia" w:ascii="仿宋" w:hAnsi="仿宋" w:eastAsia="仿宋" w:cs="仿宋"/>
                <w:kern w:val="2"/>
                <w:sz w:val="21"/>
                <w:szCs w:val="21"/>
                <w:highlight w:val="none"/>
              </w:rPr>
              <w:t>车桥公司</w:t>
            </w:r>
            <w:r>
              <w:rPr>
                <w:rFonts w:hint="eastAsia" w:ascii="仿宋" w:hAnsi="仿宋" w:eastAsia="仿宋" w:cs="仿宋"/>
                <w:kern w:val="2"/>
                <w:sz w:val="21"/>
                <w:szCs w:val="21"/>
                <w:highlight w:val="none"/>
                <w:lang w:val="en-US" w:eastAsia="zh-CN"/>
              </w:rPr>
              <w:t>主减速器线主减装配车间</w:t>
            </w:r>
          </w:p>
        </w:tc>
        <w:tc>
          <w:tcPr>
            <w:tcW w:w="798" w:type="dxa"/>
            <w:shd w:val="clear" w:color="auto" w:fill="auto"/>
            <w:vAlign w:val="center"/>
          </w:tcPr>
          <w:p w14:paraId="18F15CED">
            <w:pPr>
              <w:pStyle w:val="16"/>
              <w:snapToGrid w:val="0"/>
              <w:spacing w:line="240" w:lineRule="auto"/>
              <w:ind w:firstLine="0" w:firstLineChars="0"/>
              <w:jc w:val="center"/>
              <w:rPr>
                <w:rFonts w:hint="default" w:ascii="仿宋" w:hAnsi="仿宋" w:eastAsia="仿宋" w:cs="仿宋"/>
                <w:kern w:val="2"/>
                <w:sz w:val="21"/>
                <w:szCs w:val="21"/>
                <w:highlight w:val="none"/>
                <w:lang w:val="en-US" w:eastAsia="zh-CN" w:bidi="ar-SA"/>
              </w:rPr>
            </w:pPr>
            <w:r>
              <w:rPr>
                <w:rFonts w:hint="eastAsia" w:ascii="仿宋" w:hAnsi="仿宋" w:eastAsia="仿宋" w:cs="仿宋"/>
                <w:kern w:val="2"/>
                <w:sz w:val="21"/>
                <w:szCs w:val="21"/>
                <w:highlight w:val="none"/>
                <w:lang w:val="en-US" w:eastAsia="zh-CN"/>
              </w:rPr>
              <w:t>交钥匙</w:t>
            </w:r>
          </w:p>
        </w:tc>
      </w:tr>
    </w:tbl>
    <w:p w14:paraId="0E607628">
      <w:pPr>
        <w:pStyle w:val="16"/>
        <w:snapToGrid w:val="0"/>
        <w:spacing w:line="360" w:lineRule="auto"/>
        <w:ind w:firstLine="480" w:firstLineChars="200"/>
        <w:rPr>
          <w:rFonts w:ascii="仿宋" w:hAnsi="仿宋" w:eastAsia="仿宋" w:cs="仿宋"/>
        </w:rPr>
      </w:pPr>
      <w:r>
        <w:rPr>
          <w:rFonts w:hint="eastAsia" w:ascii="仿宋" w:hAnsi="仿宋" w:eastAsia="仿宋" w:cs="仿宋"/>
        </w:rPr>
        <w:t>备注：</w:t>
      </w:r>
    </w:p>
    <w:p w14:paraId="6A73C337">
      <w:pPr>
        <w:pStyle w:val="16"/>
        <w:snapToGrid w:val="0"/>
        <w:spacing w:line="360" w:lineRule="auto"/>
        <w:ind w:firstLine="480" w:firstLineChars="200"/>
        <w:rPr>
          <w:rFonts w:ascii="仿宋" w:hAnsi="仿宋" w:eastAsia="仿宋" w:cs="仿宋"/>
        </w:rPr>
      </w:pPr>
      <w:r>
        <w:rPr>
          <w:rFonts w:hint="eastAsia" w:ascii="仿宋" w:hAnsi="仿宋" w:eastAsia="仿宋" w:cs="仿宋"/>
        </w:rPr>
        <w:t>①本表所列采购货物仅为货物（或生产线）的主要构成部分，应配套供货以及招标方所列其它货物（或设备）和服务，请投标方认真阅读“供货范围”。若有异议，不管是多么微小，都应在投标文件“商务偏离”章节中予以详细说明。</w:t>
      </w:r>
    </w:p>
    <w:p w14:paraId="1FE9EDCB">
      <w:pPr>
        <w:pStyle w:val="16"/>
        <w:snapToGrid w:val="0"/>
        <w:spacing w:line="360" w:lineRule="auto"/>
        <w:ind w:firstLine="480" w:firstLineChars="200"/>
        <w:rPr>
          <w:rFonts w:ascii="仿宋" w:hAnsi="仿宋" w:eastAsia="仿宋" w:cs="仿宋"/>
        </w:rPr>
      </w:pPr>
      <w:r>
        <w:rPr>
          <w:rFonts w:hint="eastAsia" w:ascii="仿宋" w:hAnsi="仿宋" w:eastAsia="仿宋" w:cs="仿宋"/>
        </w:rPr>
        <w:t>②本表“供货方式”指：交钥匙方式——包括制造、运输、定点卸货、安装、调试和验收以及培训等。</w:t>
      </w:r>
    </w:p>
    <w:p w14:paraId="120F1D95">
      <w:pPr>
        <w:jc w:val="center"/>
        <w:outlineLvl w:val="0"/>
        <w:rPr>
          <w:rFonts w:ascii="仿宋" w:hAnsi="仿宋" w:eastAsia="仿宋" w:cs="仿宋"/>
          <w:b/>
          <w:bCs/>
        </w:rPr>
      </w:pPr>
      <w:bookmarkStart w:id="156" w:name="_Toc2018"/>
      <w:bookmarkStart w:id="157" w:name="_Toc4488"/>
      <w:bookmarkStart w:id="158" w:name="_Toc15180"/>
      <w:bookmarkStart w:id="159" w:name="_Toc26149"/>
      <w:bookmarkStart w:id="160" w:name="_Toc761"/>
      <w:bookmarkStart w:id="161" w:name="_Toc2875"/>
      <w:bookmarkStart w:id="162" w:name="_Toc32524"/>
      <w:bookmarkStart w:id="163" w:name="_Toc10580"/>
      <w:bookmarkStart w:id="164" w:name="_Toc10441"/>
      <w:bookmarkStart w:id="165" w:name="_Toc22689"/>
      <w:bookmarkStart w:id="166" w:name="_Toc24992"/>
      <w:bookmarkStart w:id="167" w:name="_Toc11605"/>
      <w:bookmarkStart w:id="168" w:name="_Toc32616"/>
      <w:bookmarkStart w:id="169" w:name="_Toc29174"/>
      <w:bookmarkStart w:id="170" w:name="_Toc498"/>
      <w:bookmarkStart w:id="171" w:name="_Toc31734"/>
      <w:bookmarkStart w:id="172" w:name="_Toc20034"/>
      <w:bookmarkStart w:id="173" w:name="_Toc27638"/>
      <w:bookmarkStart w:id="174" w:name="_Toc133783969"/>
      <w:bookmarkStart w:id="175" w:name="_Toc32476"/>
      <w:bookmarkStart w:id="176" w:name="_Toc4881"/>
      <w:bookmarkStart w:id="177" w:name="_Toc6687"/>
      <w:bookmarkStart w:id="178" w:name="_Toc30429"/>
      <w:bookmarkStart w:id="179" w:name="_Toc12377"/>
      <w:bookmarkStart w:id="180" w:name="_Toc26470"/>
      <w:bookmarkStart w:id="181" w:name="_Toc1621"/>
      <w:bookmarkStart w:id="182" w:name="_Toc7338"/>
      <w:bookmarkStart w:id="183" w:name="_Toc16387"/>
      <w:bookmarkStart w:id="184" w:name="_Toc73112399"/>
      <w:bookmarkStart w:id="185" w:name="_Toc18120"/>
      <w:bookmarkStart w:id="186" w:name="_Toc4743"/>
      <w:bookmarkStart w:id="187" w:name="_Toc13878"/>
      <w:bookmarkStart w:id="188" w:name="_Toc8780"/>
      <w:bookmarkStart w:id="189" w:name="_Toc7813"/>
      <w:bookmarkStart w:id="190" w:name="_Toc23603"/>
      <w:bookmarkStart w:id="191" w:name="_Toc24597"/>
      <w:bookmarkStart w:id="192" w:name="_Toc8565"/>
      <w:bookmarkStart w:id="193" w:name="_Toc22658"/>
      <w:bookmarkStart w:id="194" w:name="_Toc19015"/>
      <w:bookmarkStart w:id="195" w:name="_Toc30487"/>
      <w:bookmarkStart w:id="196" w:name="_Toc25811"/>
      <w:bookmarkStart w:id="197" w:name="_Toc17465"/>
      <w:bookmarkStart w:id="198" w:name="_Toc7739"/>
      <w:bookmarkStart w:id="199" w:name="_Toc19793"/>
      <w:bookmarkStart w:id="200" w:name="_Toc28168"/>
      <w:r>
        <w:rPr>
          <w:rFonts w:hint="eastAsia" w:ascii="仿宋" w:hAnsi="仿宋" w:eastAsia="仿宋" w:cs="仿宋"/>
          <w:b/>
          <w:bCs/>
        </w:rPr>
        <w:t>第二章技术要求</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4D1E558E">
      <w:pPr>
        <w:snapToGrid w:val="0"/>
        <w:spacing w:line="360" w:lineRule="auto"/>
        <w:ind w:firstLine="422" w:firstLineChars="200"/>
        <w:outlineLvl w:val="1"/>
        <w:rPr>
          <w:rFonts w:ascii="仿宋" w:hAnsi="仿宋" w:eastAsia="仿宋" w:cs="仿宋"/>
          <w:b/>
          <w:bCs/>
        </w:rPr>
      </w:pPr>
      <w:bookmarkStart w:id="201" w:name="_Toc21559"/>
      <w:bookmarkStart w:id="202" w:name="_Toc39"/>
      <w:bookmarkStart w:id="203" w:name="_Toc2473"/>
      <w:bookmarkStart w:id="204" w:name="_Toc7141"/>
      <w:bookmarkStart w:id="205" w:name="_Toc9134"/>
      <w:bookmarkStart w:id="206" w:name="_Toc477"/>
      <w:bookmarkStart w:id="207" w:name="_Toc18792"/>
      <w:bookmarkStart w:id="208" w:name="_Toc1968"/>
      <w:bookmarkStart w:id="209" w:name="_Toc26827"/>
      <w:bookmarkStart w:id="210" w:name="_Toc5450"/>
      <w:bookmarkStart w:id="211" w:name="_Toc15747"/>
      <w:bookmarkStart w:id="212" w:name="_Toc29489"/>
      <w:bookmarkStart w:id="213" w:name="_Toc5804"/>
      <w:bookmarkStart w:id="214" w:name="_Toc22422"/>
      <w:bookmarkStart w:id="215" w:name="_Toc380"/>
      <w:bookmarkStart w:id="216" w:name="_Toc31246"/>
      <w:bookmarkStart w:id="217" w:name="_Toc29354"/>
      <w:bookmarkStart w:id="218" w:name="_Toc23337"/>
      <w:bookmarkStart w:id="219" w:name="_Toc73112400"/>
      <w:bookmarkStart w:id="220" w:name="_Toc5110"/>
      <w:bookmarkStart w:id="221" w:name="_Toc6003"/>
      <w:bookmarkStart w:id="222" w:name="_Toc27930"/>
      <w:bookmarkStart w:id="223" w:name="_Toc5876"/>
      <w:bookmarkStart w:id="224" w:name="_Toc11621"/>
      <w:bookmarkStart w:id="225" w:name="_Toc5714"/>
      <w:bookmarkStart w:id="226" w:name="_Toc18619"/>
      <w:bookmarkStart w:id="227" w:name="_Toc31434"/>
      <w:bookmarkStart w:id="228" w:name="_Toc15995"/>
      <w:bookmarkStart w:id="229" w:name="_Toc11056"/>
      <w:bookmarkStart w:id="230" w:name="_Toc16822"/>
      <w:bookmarkStart w:id="231" w:name="_Toc27282"/>
      <w:bookmarkStart w:id="232" w:name="_Toc23050"/>
      <w:bookmarkStart w:id="233" w:name="_Toc15744"/>
      <w:bookmarkStart w:id="234" w:name="_Toc13195"/>
      <w:bookmarkStart w:id="235" w:name="_Toc20402"/>
      <w:bookmarkStart w:id="236" w:name="_Toc4126"/>
      <w:bookmarkStart w:id="237" w:name="_Toc20792"/>
      <w:bookmarkStart w:id="238" w:name="_Toc28751"/>
      <w:bookmarkStart w:id="239" w:name="_Toc16063"/>
      <w:bookmarkStart w:id="240" w:name="_Toc1111"/>
      <w:bookmarkStart w:id="241" w:name="_Toc9894"/>
      <w:bookmarkStart w:id="242" w:name="_Toc25950"/>
      <w:r>
        <w:rPr>
          <w:rFonts w:hint="eastAsia" w:ascii="仿宋" w:hAnsi="仿宋" w:eastAsia="仿宋" w:cs="仿宋"/>
          <w:b/>
          <w:bCs/>
        </w:rPr>
        <w:t>1</w:t>
      </w:r>
      <w:r>
        <w:rPr>
          <w:rFonts w:hint="eastAsia" w:ascii="仿宋" w:hAnsi="仿宋" w:eastAsia="仿宋" w:cs="仿宋"/>
          <w:b/>
          <w:bCs/>
          <w:lang w:val="en-US" w:eastAsia="zh-CN"/>
        </w:rPr>
        <w:t xml:space="preserve"> </w:t>
      </w:r>
      <w:r>
        <w:rPr>
          <w:rFonts w:hint="eastAsia" w:ascii="仿宋" w:hAnsi="仿宋" w:eastAsia="仿宋" w:cs="仿宋"/>
          <w:b/>
          <w:bCs/>
        </w:rPr>
        <w:t>基本要求</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1E3D09F1">
      <w:pPr>
        <w:pStyle w:val="16"/>
        <w:snapToGrid w:val="0"/>
        <w:spacing w:line="360" w:lineRule="auto"/>
        <w:ind w:firstLine="480" w:firstLineChars="200"/>
        <w:rPr>
          <w:rFonts w:ascii="仿宋" w:hAnsi="仿宋" w:eastAsia="仿宋" w:cs="仿宋"/>
        </w:rPr>
      </w:pPr>
      <w:r>
        <w:rPr>
          <w:rFonts w:hint="eastAsia" w:ascii="仿宋" w:hAnsi="仿宋" w:eastAsia="仿宋" w:cs="仿宋"/>
        </w:rPr>
        <w:t>1.1 投标方所供的货物（或生产线），必须符合中国最新版的法律、法规和相关标准、规范的要求，符合项目所在地政府有关特殊要求。</w:t>
      </w:r>
    </w:p>
    <w:p w14:paraId="03827407">
      <w:pPr>
        <w:pStyle w:val="16"/>
        <w:snapToGrid w:val="0"/>
        <w:spacing w:line="360" w:lineRule="auto"/>
        <w:ind w:firstLine="480" w:firstLineChars="200"/>
        <w:rPr>
          <w:rFonts w:ascii="仿宋" w:hAnsi="仿宋" w:eastAsia="仿宋" w:cs="仿宋"/>
        </w:rPr>
      </w:pPr>
      <w:r>
        <w:rPr>
          <w:rFonts w:hint="eastAsia" w:ascii="仿宋" w:hAnsi="仿宋" w:eastAsia="仿宋" w:cs="仿宋"/>
        </w:rPr>
        <w:t>1.2 投标方所供货物（或生产线）涉及的、招标方有权使用的专利权技术以及知识产权保护的其它技术等，应保证招标方不因此受到任何侵权指控以及实际损失。</w:t>
      </w:r>
    </w:p>
    <w:p w14:paraId="1724EC8B">
      <w:pPr>
        <w:pStyle w:val="16"/>
        <w:snapToGrid w:val="0"/>
        <w:spacing w:line="360" w:lineRule="auto"/>
        <w:ind w:firstLine="480" w:firstLineChars="200"/>
        <w:rPr>
          <w:rFonts w:ascii="仿宋" w:hAnsi="仿宋" w:eastAsia="仿宋" w:cs="仿宋"/>
        </w:rPr>
      </w:pPr>
      <w:r>
        <w:rPr>
          <w:rFonts w:hint="eastAsia" w:ascii="仿宋" w:hAnsi="仿宋" w:eastAsia="仿宋" w:cs="仿宋"/>
        </w:rPr>
        <w:t>1.3 投标方应保证所供货物（或生产线）的先进性、可靠性、经济性和实用性，并为全新货物（或设备）,并具有该货物(或设备)所有功能的永久使用权。</w:t>
      </w:r>
    </w:p>
    <w:p w14:paraId="4AC16E4A">
      <w:pPr>
        <w:pStyle w:val="16"/>
        <w:snapToGrid w:val="0"/>
        <w:spacing w:line="360" w:lineRule="auto"/>
        <w:ind w:firstLine="480" w:firstLineChars="200"/>
        <w:rPr>
          <w:rFonts w:ascii="仿宋" w:hAnsi="仿宋" w:eastAsia="仿宋" w:cs="仿宋"/>
        </w:rPr>
      </w:pPr>
      <w:r>
        <w:rPr>
          <w:rFonts w:hint="eastAsia" w:ascii="仿宋" w:hAnsi="仿宋" w:eastAsia="仿宋" w:cs="仿宋"/>
        </w:rPr>
        <w:t>1.4 投标方应满足招标方提出的各项技术要求，必要时应当免费提供技术承诺或担保。</w:t>
      </w:r>
    </w:p>
    <w:p w14:paraId="12E225FF">
      <w:pPr>
        <w:pStyle w:val="16"/>
        <w:snapToGrid w:val="0"/>
        <w:spacing w:line="360" w:lineRule="auto"/>
        <w:ind w:firstLine="480" w:firstLineChars="200"/>
        <w:rPr>
          <w:rFonts w:ascii="仿宋" w:hAnsi="仿宋" w:eastAsia="仿宋" w:cs="仿宋"/>
        </w:rPr>
      </w:pPr>
      <w:r>
        <w:rPr>
          <w:rFonts w:hint="eastAsia" w:ascii="仿宋" w:hAnsi="仿宋" w:eastAsia="仿宋" w:cs="仿宋"/>
        </w:rPr>
        <w:t>★1.5 投标方应保证所供货物（或设备）必须符合当前国家或地方最新安全、环保、职业健康最新法律、法规及《机械制造企业安全生产标准化》各项要求 。确保货物在使用管理过程中满足《职业健康安全管理体系》、《环境管理体系》等方面的国家标准、规范及地方规章要求；必须提供所供设备相应的安全操作规程，危险化学品“一书一签”；负责对招标方相关人员开展“四新”安全培训。</w:t>
      </w:r>
    </w:p>
    <w:p w14:paraId="08DE6DEC">
      <w:pPr>
        <w:pStyle w:val="16"/>
        <w:snapToGrid w:val="0"/>
        <w:spacing w:line="360" w:lineRule="auto"/>
        <w:ind w:firstLine="480" w:firstLineChars="200"/>
        <w:rPr>
          <w:rFonts w:ascii="仿宋" w:hAnsi="仿宋" w:eastAsia="仿宋" w:cs="仿宋"/>
        </w:rPr>
      </w:pPr>
      <w:r>
        <w:rPr>
          <w:rFonts w:hint="eastAsia" w:ascii="仿宋" w:hAnsi="仿宋" w:eastAsia="仿宋" w:cs="仿宋"/>
        </w:rPr>
        <w:t>★1.6 投标方应保证所供货物（或设备）为中国公布的非淘汰货物（或设备），并为中国指定或规定的主管部门认可的环保型和节能型货物（或设备）。招标的中标货物不接受试验品（提供证据），还应是原产地的货物。</w:t>
      </w:r>
    </w:p>
    <w:p w14:paraId="056AA0A3">
      <w:pPr>
        <w:pStyle w:val="16"/>
        <w:snapToGrid w:val="0"/>
        <w:spacing w:line="360" w:lineRule="auto"/>
        <w:ind w:firstLine="480" w:firstLineChars="200"/>
        <w:rPr>
          <w:rFonts w:ascii="仿宋" w:hAnsi="仿宋" w:eastAsia="仿宋" w:cs="仿宋"/>
        </w:rPr>
      </w:pPr>
      <w:r>
        <w:rPr>
          <w:rFonts w:hint="eastAsia" w:ascii="仿宋" w:hAnsi="仿宋" w:eastAsia="仿宋" w:cs="仿宋"/>
        </w:rPr>
        <w:t>1.7 设备用能设计基本要求</w:t>
      </w:r>
    </w:p>
    <w:p w14:paraId="250422D2">
      <w:pPr>
        <w:pStyle w:val="16"/>
        <w:snapToGrid w:val="0"/>
        <w:spacing w:line="360" w:lineRule="auto"/>
        <w:ind w:firstLine="480" w:firstLineChars="200"/>
        <w:rPr>
          <w:rFonts w:ascii="仿宋" w:hAnsi="仿宋" w:eastAsia="仿宋" w:cs="仿宋"/>
        </w:rPr>
      </w:pPr>
      <w:r>
        <w:rPr>
          <w:rFonts w:hint="eastAsia" w:ascii="仿宋" w:hAnsi="仿宋" w:eastAsia="仿宋" w:cs="仿宋"/>
        </w:rPr>
        <w:t>1.7.1 任何用能设备均应遵循《能源管理体系要求》（ISO 50001:2018）、《能源管理体系 机械制造企业认证要求》（RB/T 119-2015）的相关规定，并在《能源管理体系要求》下开展设备的采购、维护、保养、淘汰更换等工作。</w:t>
      </w:r>
    </w:p>
    <w:p w14:paraId="6EB4D940">
      <w:pPr>
        <w:pStyle w:val="16"/>
        <w:snapToGrid w:val="0"/>
        <w:spacing w:line="360" w:lineRule="auto"/>
        <w:ind w:firstLine="480" w:firstLineChars="200"/>
        <w:rPr>
          <w:rFonts w:ascii="仿宋" w:hAnsi="仿宋" w:eastAsia="仿宋" w:cs="仿宋"/>
        </w:rPr>
      </w:pPr>
      <w:r>
        <w:rPr>
          <w:rFonts w:hint="eastAsia" w:ascii="仿宋" w:hAnsi="仿宋" w:eastAsia="仿宋" w:cs="仿宋"/>
        </w:rPr>
        <w:t>1.7.2 为方便用能设备的计量统计，新增采购设备应在《用能单位能源计量器具配备和管理通则》（GB17167-2006）指导下配备符合相应要求的能源计量器具。</w:t>
      </w:r>
    </w:p>
    <w:p w14:paraId="646B033C">
      <w:pPr>
        <w:pStyle w:val="16"/>
        <w:snapToGrid w:val="0"/>
        <w:spacing w:line="360" w:lineRule="auto"/>
        <w:ind w:firstLine="480" w:firstLineChars="200"/>
        <w:rPr>
          <w:rFonts w:ascii="仿宋" w:hAnsi="仿宋" w:eastAsia="仿宋" w:cs="仿宋"/>
        </w:rPr>
      </w:pPr>
      <w:r>
        <w:rPr>
          <w:rFonts w:hint="eastAsia" w:ascii="仿宋" w:hAnsi="仿宋" w:eastAsia="仿宋" w:cs="仿宋"/>
        </w:rPr>
        <w:t>1.7.3 供方应确保各类机电设备（产品）无《高耗能机电设备（产品）淘汰目录（第一批）》、《高耗能机电设备（产品）淘汰目录（第二批）》、《高耗能机电设备（产品）淘汰目录（第三批）》、《高耗能机电设备（产品）淘汰目录（第四批）》所罗列的各类淘汰机电设备（产品）。</w:t>
      </w:r>
    </w:p>
    <w:p w14:paraId="1B4512A5">
      <w:pPr>
        <w:pStyle w:val="16"/>
        <w:snapToGrid w:val="0"/>
        <w:spacing w:line="360" w:lineRule="auto"/>
        <w:ind w:firstLine="480" w:firstLineChars="200"/>
        <w:rPr>
          <w:rFonts w:hint="eastAsia" w:ascii="仿宋" w:hAnsi="仿宋" w:eastAsia="仿宋" w:cs="仿宋"/>
        </w:rPr>
      </w:pPr>
      <w:r>
        <w:rPr>
          <w:rFonts w:hint="eastAsia" w:ascii="仿宋" w:hAnsi="仿宋" w:eastAsia="仿宋" w:cs="仿宋"/>
        </w:rPr>
        <w:t>1.7.4 在各类机电设备（产品）的采购过程中应优先选用符合《节能机电设备（产品）推荐目录（第七批）》的机电设备（产品）。原则上，电机功率≥7.5kW，必须选用一级能效。电机功率&lt;7.5kw，优先选用一级能效;其中对于能源供应类设备及年运行时间≥2000h 工艺设备的电机必须选用一级能效。杜绝选用三级及以下能效。对于特殊场景、特殊用途其他设备结合性价比综合考虑、充分论证。</w:t>
      </w:r>
    </w:p>
    <w:p w14:paraId="4C592353">
      <w:pPr>
        <w:pStyle w:val="16"/>
        <w:snapToGrid w:val="0"/>
        <w:spacing w:line="360" w:lineRule="auto"/>
        <w:ind w:firstLine="480" w:firstLineChars="200"/>
        <w:rPr>
          <w:rFonts w:ascii="仿宋" w:hAnsi="仿宋" w:eastAsia="仿宋" w:cs="仿宋"/>
        </w:rPr>
      </w:pPr>
      <w:r>
        <w:rPr>
          <w:rFonts w:hint="eastAsia" w:ascii="仿宋" w:hAnsi="仿宋" w:eastAsia="仿宋" w:cs="仿宋"/>
        </w:rPr>
        <w:t>1.7.5 供方应确保设备的附属各类机电设备、设施（如：电机、风机、电器控制系统、润滑、保温隔热、照明等等）符合国家现行的相关专项标准要求。</w:t>
      </w:r>
    </w:p>
    <w:p w14:paraId="40558092">
      <w:pPr>
        <w:pStyle w:val="16"/>
        <w:snapToGrid w:val="0"/>
        <w:spacing w:line="360" w:lineRule="auto"/>
        <w:ind w:firstLine="480" w:firstLineChars="200"/>
        <w:rPr>
          <w:rFonts w:ascii="仿宋" w:hAnsi="仿宋" w:eastAsia="仿宋" w:cs="仿宋"/>
        </w:rPr>
      </w:pPr>
      <w:r>
        <w:rPr>
          <w:rFonts w:hint="eastAsia" w:ascii="仿宋" w:hAnsi="仿宋" w:eastAsia="仿宋" w:cs="仿宋"/>
        </w:rPr>
        <w:t>1.8 投标方应保证所供货物（或生产线）的完整性和成套性，能保证货物（或生产线）的正常运行、使用。</w:t>
      </w:r>
    </w:p>
    <w:p w14:paraId="322BED7E">
      <w:pPr>
        <w:pStyle w:val="16"/>
        <w:snapToGrid w:val="0"/>
        <w:spacing w:line="360" w:lineRule="auto"/>
        <w:ind w:firstLine="480" w:firstLineChars="200"/>
        <w:rPr>
          <w:rFonts w:ascii="仿宋" w:hAnsi="仿宋" w:eastAsia="仿宋" w:cs="仿宋"/>
        </w:rPr>
      </w:pPr>
      <w:r>
        <w:rPr>
          <w:rFonts w:hint="eastAsia" w:ascii="仿宋" w:hAnsi="仿宋" w:eastAsia="仿宋" w:cs="仿宋"/>
        </w:rPr>
        <w:t>1.9 投标方应对招标方采购的货物（或生产线）所涉及的技术、产能等信息负有保密义务，特殊项目应当无条件签署保密协议。</w:t>
      </w:r>
    </w:p>
    <w:p w14:paraId="634F5C13">
      <w:pPr>
        <w:pStyle w:val="16"/>
        <w:snapToGrid w:val="0"/>
        <w:spacing w:line="360" w:lineRule="auto"/>
        <w:ind w:firstLine="480" w:firstLineChars="200"/>
        <w:rPr>
          <w:rFonts w:ascii="仿宋" w:hAnsi="仿宋" w:eastAsia="仿宋" w:cs="仿宋"/>
        </w:rPr>
      </w:pPr>
      <w:r>
        <w:rPr>
          <w:rFonts w:hint="eastAsia" w:ascii="仿宋" w:hAnsi="仿宋" w:eastAsia="仿宋" w:cs="仿宋"/>
        </w:rPr>
        <w:t>★1.10 设备使用仪表和自控设备要求：</w:t>
      </w:r>
    </w:p>
    <w:p w14:paraId="3F14C905">
      <w:pPr>
        <w:pStyle w:val="16"/>
        <w:snapToGrid w:val="0"/>
        <w:spacing w:line="360" w:lineRule="auto"/>
        <w:ind w:firstLine="480" w:firstLineChars="200"/>
        <w:rPr>
          <w:rFonts w:ascii="仿宋" w:hAnsi="仿宋" w:eastAsia="仿宋" w:cs="仿宋"/>
        </w:rPr>
      </w:pPr>
      <w:bookmarkStart w:id="243" w:name="_Toc2908"/>
      <w:bookmarkStart w:id="244" w:name="_Toc31111"/>
      <w:bookmarkStart w:id="245" w:name="_Toc5025"/>
      <w:bookmarkStart w:id="246" w:name="_Toc7044"/>
      <w:bookmarkStart w:id="247" w:name="_Toc5010"/>
      <w:bookmarkStart w:id="248" w:name="_Toc30944"/>
      <w:r>
        <w:rPr>
          <w:rFonts w:hint="eastAsia" w:ascii="仿宋" w:hAnsi="仿宋" w:eastAsia="仿宋" w:cs="仿宋"/>
        </w:rPr>
        <w:t>1.10.1 设备使用仪表通用技术要求:</w:t>
      </w:r>
      <w:bookmarkEnd w:id="243"/>
      <w:bookmarkEnd w:id="244"/>
      <w:bookmarkEnd w:id="245"/>
      <w:bookmarkEnd w:id="246"/>
      <w:bookmarkEnd w:id="247"/>
      <w:bookmarkEnd w:id="248"/>
    </w:p>
    <w:p w14:paraId="088CFC80">
      <w:pPr>
        <w:pStyle w:val="16"/>
        <w:snapToGrid w:val="0"/>
        <w:spacing w:line="360" w:lineRule="auto"/>
        <w:ind w:firstLine="480" w:firstLineChars="200"/>
        <w:rPr>
          <w:rFonts w:ascii="仿宋" w:hAnsi="仿宋" w:eastAsia="仿宋" w:cs="仿宋"/>
        </w:rPr>
      </w:pPr>
      <w:r>
        <w:rPr>
          <w:rFonts w:hint="eastAsia" w:ascii="仿宋" w:hAnsi="仿宋" w:eastAsia="仿宋" w:cs="仿宋"/>
        </w:rPr>
        <w:t>1.10.1.1 投标人及供货商应保证所提供的仪表和自控设备，完全符合或高于本文通用技术要求及相应产品技术规范的要求，并应保证其供应产品在本工程指明的环境条件下能够长期安全、正常地运行。 </w:t>
      </w:r>
    </w:p>
    <w:p w14:paraId="2AB1144B">
      <w:pPr>
        <w:pStyle w:val="16"/>
        <w:snapToGrid w:val="0"/>
        <w:spacing w:line="360" w:lineRule="auto"/>
        <w:ind w:firstLine="480" w:firstLineChars="200"/>
        <w:rPr>
          <w:rFonts w:ascii="仿宋" w:hAnsi="仿宋" w:eastAsia="仿宋" w:cs="仿宋"/>
        </w:rPr>
      </w:pPr>
      <w:r>
        <w:rPr>
          <w:rFonts w:hint="eastAsia" w:ascii="仿宋" w:hAnsi="仿宋" w:eastAsia="仿宋" w:cs="仿宋"/>
        </w:rPr>
        <w:t>1.10.1.2 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 </w:t>
      </w:r>
    </w:p>
    <w:p w14:paraId="16656596">
      <w:pPr>
        <w:pStyle w:val="16"/>
        <w:snapToGrid w:val="0"/>
        <w:spacing w:line="360" w:lineRule="auto"/>
        <w:ind w:firstLine="480" w:firstLineChars="200"/>
        <w:rPr>
          <w:rFonts w:ascii="仿宋" w:hAnsi="仿宋" w:eastAsia="仿宋" w:cs="仿宋"/>
        </w:rPr>
      </w:pPr>
      <w:r>
        <w:rPr>
          <w:rFonts w:hint="eastAsia" w:ascii="仿宋" w:hAnsi="仿宋" w:eastAsia="仿宋" w:cs="仿宋"/>
        </w:rPr>
        <w:t>1.10.1.3 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p>
    <w:p w14:paraId="5CAAF173">
      <w:pPr>
        <w:pStyle w:val="16"/>
        <w:snapToGrid w:val="0"/>
        <w:spacing w:line="360" w:lineRule="auto"/>
        <w:ind w:firstLine="480" w:firstLineChars="200"/>
        <w:rPr>
          <w:rFonts w:ascii="仿宋" w:hAnsi="仿宋" w:eastAsia="仿宋" w:cs="仿宋"/>
        </w:rPr>
      </w:pPr>
      <w:bookmarkStart w:id="249" w:name="_Toc9364"/>
      <w:bookmarkStart w:id="250" w:name="_Toc26032"/>
      <w:bookmarkStart w:id="251" w:name="_Toc5075"/>
      <w:bookmarkStart w:id="252" w:name="_Toc581"/>
      <w:bookmarkStart w:id="253" w:name="_Toc32105"/>
      <w:bookmarkStart w:id="254" w:name="_Toc16669"/>
      <w:r>
        <w:rPr>
          <w:rFonts w:hint="eastAsia" w:ascii="仿宋" w:hAnsi="仿宋" w:eastAsia="仿宋" w:cs="仿宋"/>
        </w:rPr>
        <w:t>1.10.2 准确度要求: </w:t>
      </w:r>
      <w:bookmarkEnd w:id="249"/>
      <w:bookmarkEnd w:id="250"/>
      <w:bookmarkEnd w:id="251"/>
      <w:bookmarkEnd w:id="252"/>
      <w:bookmarkEnd w:id="253"/>
      <w:bookmarkEnd w:id="254"/>
    </w:p>
    <w:p w14:paraId="4A7AADE9">
      <w:pPr>
        <w:pStyle w:val="16"/>
        <w:snapToGrid w:val="0"/>
        <w:spacing w:line="360" w:lineRule="auto"/>
        <w:ind w:firstLine="480" w:firstLineChars="200"/>
        <w:rPr>
          <w:rFonts w:ascii="仿宋" w:hAnsi="仿宋" w:eastAsia="仿宋" w:cs="仿宋"/>
        </w:rPr>
      </w:pPr>
      <w:r>
        <w:rPr>
          <w:rFonts w:hint="eastAsia" w:ascii="仿宋" w:hAnsi="仿宋" w:eastAsia="仿宋" w:cs="仿宋"/>
        </w:rPr>
        <w:t>1.10.2.1 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14:paraId="3666384B">
      <w:pPr>
        <w:pStyle w:val="16"/>
        <w:snapToGrid w:val="0"/>
        <w:spacing w:line="360" w:lineRule="auto"/>
        <w:ind w:firstLine="480" w:firstLineChars="200"/>
        <w:rPr>
          <w:rFonts w:ascii="仿宋" w:hAnsi="仿宋" w:eastAsia="仿宋" w:cs="仿宋"/>
        </w:rPr>
      </w:pPr>
      <w:r>
        <w:rPr>
          <w:rFonts w:hint="eastAsia" w:ascii="仿宋" w:hAnsi="仿宋" w:eastAsia="仿宋" w:cs="仿宋"/>
        </w:rPr>
        <w:t>1.10.2.2 仪表和自控设备的准确度应不受周围环境和安装位置的影响，任何生产过程中存在的正常振动，不应造成测量准确度的变化。仪表和自控设备的零点和重复性应非常稳定，并符合各专用技术规格书中的有关技术要求。</w:t>
      </w:r>
    </w:p>
    <w:p w14:paraId="6B293A5F">
      <w:pPr>
        <w:pStyle w:val="16"/>
        <w:snapToGrid w:val="0"/>
        <w:spacing w:line="360" w:lineRule="auto"/>
        <w:ind w:firstLine="480" w:firstLineChars="200"/>
        <w:rPr>
          <w:rFonts w:hint="eastAsia" w:ascii="仿宋" w:hAnsi="仿宋" w:eastAsia="仿宋" w:cs="仿宋"/>
          <w:highlight w:val="none"/>
        </w:rPr>
      </w:pPr>
      <w:r>
        <w:rPr>
          <w:rFonts w:hint="eastAsia" w:ascii="仿宋" w:hAnsi="仿宋" w:eastAsia="仿宋" w:cs="仿宋"/>
        </w:rPr>
        <w:t>1.10.2.3 项目验收时，投标方提供测量功能设备及计量器具资质合格证书，招标</w:t>
      </w:r>
      <w:r>
        <w:rPr>
          <w:rFonts w:hint="eastAsia" w:ascii="仿宋" w:hAnsi="仿宋" w:eastAsia="仿宋" w:cs="仿宋"/>
          <w:highlight w:val="none"/>
        </w:rPr>
        <w:t>方根据实际情况进行相关复检，复检合格视为合格。</w:t>
      </w:r>
    </w:p>
    <w:p w14:paraId="47B91A26">
      <w:pPr>
        <w:pStyle w:val="16"/>
        <w:snapToGrid w:val="0"/>
        <w:spacing w:line="360" w:lineRule="auto"/>
        <w:ind w:firstLine="480" w:firstLineChars="200"/>
        <w:rPr>
          <w:rFonts w:hint="eastAsia" w:ascii="仿宋" w:hAnsi="仿宋" w:eastAsia="仿宋" w:cs="仿宋"/>
          <w:highlight w:val="none"/>
        </w:rPr>
      </w:pPr>
      <w:r>
        <w:rPr>
          <w:rFonts w:hint="eastAsia" w:ascii="仿宋" w:hAnsi="仿宋" w:eastAsia="仿宋" w:cs="仿宋"/>
          <w:highlight w:val="none"/>
        </w:rPr>
        <w:t>1.10.2.4涉及安全、工艺参数的传感器应可拆卸并具备送检条件，还应至</w:t>
      </w:r>
    </w:p>
    <w:p w14:paraId="3ACF4BB1">
      <w:pPr>
        <w:pStyle w:val="16"/>
        <w:snapToGrid w:val="0"/>
        <w:spacing w:line="360" w:lineRule="auto"/>
        <w:ind w:left="0" w:leftChars="0" w:firstLine="0" w:firstLineChars="0"/>
        <w:rPr>
          <w:rFonts w:hint="eastAsia" w:ascii="仿宋" w:hAnsi="仿宋" w:eastAsia="仿宋" w:cs="仿宋"/>
          <w:highlight w:val="none"/>
        </w:rPr>
      </w:pPr>
      <w:r>
        <w:rPr>
          <w:rFonts w:hint="eastAsia" w:ascii="仿宋" w:hAnsi="仿宋" w:eastAsia="仿宋" w:cs="仿宋"/>
          <w:highlight w:val="none"/>
        </w:rPr>
        <w:t>少备份一个传感器送检期问使用，不影响设备正常使用。</w:t>
      </w:r>
    </w:p>
    <w:p w14:paraId="6BD59CAA">
      <w:pPr>
        <w:pStyle w:val="16"/>
        <w:snapToGrid w:val="0"/>
        <w:spacing w:line="360" w:lineRule="auto"/>
        <w:ind w:firstLine="480" w:firstLineChars="200"/>
        <w:rPr>
          <w:rFonts w:ascii="仿宋" w:hAnsi="仿宋" w:eastAsia="仿宋" w:cs="仿宋"/>
          <w:highlight w:val="none"/>
        </w:rPr>
      </w:pPr>
      <w:bookmarkStart w:id="255" w:name="_Toc31048"/>
      <w:bookmarkStart w:id="256" w:name="_Toc28774"/>
      <w:bookmarkStart w:id="257" w:name="_Toc5510"/>
      <w:bookmarkStart w:id="258" w:name="_Toc1291"/>
      <w:bookmarkStart w:id="259" w:name="_Toc8799"/>
      <w:bookmarkStart w:id="260" w:name="_Toc25422"/>
      <w:r>
        <w:rPr>
          <w:rFonts w:hint="eastAsia" w:ascii="仿宋" w:hAnsi="仿宋" w:eastAsia="仿宋" w:cs="仿宋"/>
          <w:highlight w:val="none"/>
        </w:rPr>
        <w:t>1.10.3 材质要求: </w:t>
      </w:r>
      <w:bookmarkEnd w:id="255"/>
      <w:bookmarkEnd w:id="256"/>
      <w:bookmarkEnd w:id="257"/>
      <w:bookmarkEnd w:id="258"/>
      <w:bookmarkEnd w:id="259"/>
      <w:bookmarkEnd w:id="260"/>
    </w:p>
    <w:p w14:paraId="4EAD3273">
      <w:pPr>
        <w:pStyle w:val="16"/>
        <w:snapToGrid w:val="0"/>
        <w:spacing w:line="360" w:lineRule="auto"/>
        <w:ind w:firstLine="480" w:firstLineChars="200"/>
        <w:rPr>
          <w:rFonts w:ascii="仿宋" w:hAnsi="仿宋" w:eastAsia="仿宋" w:cs="仿宋"/>
        </w:rPr>
      </w:pPr>
      <w:r>
        <w:rPr>
          <w:rFonts w:hint="eastAsia" w:ascii="仿宋" w:hAnsi="仿宋" w:eastAsia="仿宋" w:cs="仿宋"/>
        </w:rPr>
        <w:t>投标人及供货商应保证所提供的仪表和自控设备在材料的使用方无任何设计问题，能够满足或高于实际操作和使用过程中的要求，如压力、温度、粘度、组份等的要求。应保证所有零部件的材质必须符合环境条件如湿度、温度以及防爆、防碰、防磁的要求。</w:t>
      </w:r>
    </w:p>
    <w:p w14:paraId="31136FE8">
      <w:pPr>
        <w:pStyle w:val="16"/>
        <w:snapToGrid w:val="0"/>
        <w:spacing w:line="360" w:lineRule="auto"/>
        <w:ind w:firstLine="480" w:firstLineChars="200"/>
        <w:rPr>
          <w:rFonts w:ascii="仿宋" w:hAnsi="仿宋" w:eastAsia="仿宋" w:cs="仿宋"/>
        </w:rPr>
      </w:pPr>
      <w:r>
        <w:rPr>
          <w:rFonts w:hint="eastAsia" w:ascii="仿宋" w:hAnsi="仿宋" w:eastAsia="仿宋" w:cs="仿宋"/>
        </w:rPr>
        <w:t>★1.11投标方所供设备应按“交钥匙工程”要求。</w:t>
      </w:r>
    </w:p>
    <w:p w14:paraId="2FAD5C88">
      <w:pPr>
        <w:snapToGrid w:val="0"/>
        <w:spacing w:line="360" w:lineRule="auto"/>
        <w:ind w:firstLine="422" w:firstLineChars="200"/>
        <w:outlineLvl w:val="1"/>
        <w:rPr>
          <w:rFonts w:ascii="仿宋" w:hAnsi="仿宋" w:eastAsia="仿宋" w:cs="仿宋"/>
        </w:rPr>
      </w:pPr>
      <w:bookmarkStart w:id="261" w:name="_Toc32154"/>
      <w:bookmarkStart w:id="262" w:name="_Hlk69924518"/>
      <w:r>
        <w:rPr>
          <w:rFonts w:hint="eastAsia" w:ascii="仿宋" w:hAnsi="仿宋" w:eastAsia="仿宋" w:cs="仿宋"/>
          <w:b/>
          <w:bCs/>
        </w:rPr>
        <w:t xml:space="preserve">2 </w:t>
      </w:r>
      <w:r>
        <w:rPr>
          <w:rFonts w:hint="eastAsia" w:ascii="仿宋" w:hAnsi="仿宋" w:eastAsia="仿宋" w:cs="仿宋"/>
          <w:lang w:bidi="ar"/>
        </w:rPr>
        <w:t>执行标准</w:t>
      </w:r>
      <w:bookmarkEnd w:id="261"/>
    </w:p>
    <w:bookmarkEnd w:id="262"/>
    <w:p w14:paraId="6A396A0C">
      <w:pPr>
        <w:spacing w:line="480" w:lineRule="exact"/>
        <w:ind w:firstLine="420" w:firstLineChars="200"/>
        <w:rPr>
          <w:rFonts w:ascii="仿宋" w:hAnsi="仿宋" w:eastAsia="仿宋" w:cs="仿宋"/>
        </w:rPr>
      </w:pPr>
      <w:r>
        <w:rPr>
          <w:rFonts w:hint="eastAsia" w:ascii="仿宋" w:hAnsi="仿宋" w:eastAsia="仿宋" w:cs="仿宋"/>
          <w:lang w:bidi="ar"/>
        </w:rPr>
        <w:t>2.1  招标方此处所列标准仅为涉及的主要标准，而且不保证其为最新版执行标准；投标方应当在投标文件中予以补充和完善。</w:t>
      </w:r>
    </w:p>
    <w:p w14:paraId="2C7D8518">
      <w:pPr>
        <w:spacing w:line="480" w:lineRule="exact"/>
        <w:ind w:firstLine="420" w:firstLineChars="200"/>
        <w:rPr>
          <w:rFonts w:ascii="仿宋" w:hAnsi="仿宋" w:eastAsia="仿宋" w:cs="仿宋"/>
        </w:rPr>
      </w:pPr>
      <w:r>
        <w:rPr>
          <w:rFonts w:hint="eastAsia" w:ascii="仿宋" w:hAnsi="仿宋" w:eastAsia="仿宋" w:cs="仿宋"/>
          <w:lang w:bidi="ar"/>
        </w:rPr>
        <w:t>2.2  投标方需要执行的标准，应当以所供设备通过招标方将来组织的最终验收之日后需要执行的标准。</w:t>
      </w:r>
    </w:p>
    <w:p w14:paraId="5D43E069">
      <w:pPr>
        <w:spacing w:line="480" w:lineRule="exact"/>
        <w:ind w:firstLine="420" w:firstLineChars="200"/>
        <w:rPr>
          <w:rFonts w:ascii="仿宋" w:hAnsi="仿宋" w:eastAsia="仿宋" w:cs="仿宋"/>
        </w:rPr>
      </w:pPr>
      <w:r>
        <w:rPr>
          <w:rFonts w:hint="eastAsia" w:ascii="仿宋" w:hAnsi="仿宋" w:eastAsia="仿宋" w:cs="仿宋"/>
          <w:lang w:bidi="ar"/>
        </w:rPr>
        <w:t>2.3  涉及的主要标准表（包含但不限于）</w:t>
      </w:r>
    </w:p>
    <w:tbl>
      <w:tblPr>
        <w:tblStyle w:val="30"/>
        <w:tblW w:w="87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5348"/>
        <w:gridCol w:w="2081"/>
        <w:gridCol w:w="660"/>
      </w:tblGrid>
      <w:tr w14:paraId="06D41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tcPr>
          <w:p w14:paraId="5FA6CFE6">
            <w:pPr>
              <w:spacing w:line="360" w:lineRule="exact"/>
              <w:jc w:val="center"/>
              <w:rPr>
                <w:rFonts w:ascii="仿宋" w:hAnsi="仿宋" w:eastAsia="仿宋" w:cs="仿宋"/>
                <w:sz w:val="21"/>
              </w:rPr>
            </w:pPr>
            <w:r>
              <w:rPr>
                <w:rFonts w:hint="eastAsia" w:ascii="仿宋" w:hAnsi="仿宋" w:eastAsia="仿宋" w:cs="仿宋"/>
                <w:sz w:val="21"/>
                <w:lang w:bidi="ar"/>
              </w:rPr>
              <w:t>序号</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1404E3AF">
            <w:pPr>
              <w:spacing w:line="360" w:lineRule="exact"/>
              <w:jc w:val="center"/>
              <w:rPr>
                <w:rFonts w:ascii="仿宋" w:hAnsi="仿宋" w:eastAsia="仿宋" w:cs="仿宋"/>
                <w:sz w:val="21"/>
              </w:rPr>
            </w:pPr>
            <w:r>
              <w:rPr>
                <w:rFonts w:hint="eastAsia" w:ascii="仿宋" w:hAnsi="仿宋" w:eastAsia="仿宋" w:cs="仿宋"/>
                <w:sz w:val="21"/>
                <w:lang w:bidi="ar"/>
              </w:rPr>
              <w:t>标准名称</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632562EE">
            <w:pPr>
              <w:spacing w:line="360" w:lineRule="exact"/>
              <w:jc w:val="center"/>
              <w:rPr>
                <w:rFonts w:ascii="仿宋" w:hAnsi="仿宋" w:eastAsia="仿宋" w:cs="仿宋"/>
                <w:sz w:val="21"/>
              </w:rPr>
            </w:pPr>
            <w:r>
              <w:rPr>
                <w:rFonts w:hint="eastAsia" w:ascii="仿宋" w:hAnsi="仿宋" w:eastAsia="仿宋" w:cs="仿宋"/>
                <w:sz w:val="21"/>
                <w:lang w:bidi="ar"/>
              </w:rPr>
              <w:t>标准编号</w:t>
            </w:r>
          </w:p>
        </w:tc>
        <w:tc>
          <w:tcPr>
            <w:tcW w:w="660" w:type="dxa"/>
            <w:tcBorders>
              <w:top w:val="single" w:color="auto" w:sz="4" w:space="0"/>
              <w:left w:val="single" w:color="auto" w:sz="4" w:space="0"/>
              <w:bottom w:val="single" w:color="auto" w:sz="4" w:space="0"/>
              <w:right w:val="single" w:color="auto" w:sz="4" w:space="0"/>
            </w:tcBorders>
            <w:shd w:val="clear" w:color="auto" w:fill="auto"/>
          </w:tcPr>
          <w:p w14:paraId="7DD79D6D">
            <w:pPr>
              <w:spacing w:line="360" w:lineRule="exact"/>
              <w:jc w:val="center"/>
              <w:rPr>
                <w:rFonts w:ascii="仿宋" w:hAnsi="仿宋" w:eastAsia="仿宋" w:cs="仿宋"/>
                <w:sz w:val="21"/>
              </w:rPr>
            </w:pPr>
            <w:r>
              <w:rPr>
                <w:rFonts w:hint="eastAsia" w:ascii="仿宋" w:hAnsi="仿宋" w:eastAsia="仿宋" w:cs="仿宋"/>
                <w:sz w:val="21"/>
                <w:lang w:bidi="ar"/>
              </w:rPr>
              <w:t>备注</w:t>
            </w:r>
          </w:p>
        </w:tc>
      </w:tr>
      <w:tr w14:paraId="66454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3B48867B">
            <w:pPr>
              <w:spacing w:line="360" w:lineRule="exact"/>
              <w:jc w:val="center"/>
              <w:rPr>
                <w:rFonts w:ascii="仿宋" w:hAnsi="仿宋" w:eastAsia="仿宋" w:cs="仿宋"/>
                <w:sz w:val="21"/>
                <w:szCs w:val="21"/>
              </w:rPr>
            </w:pPr>
            <w:r>
              <w:rPr>
                <w:rFonts w:hint="eastAsia" w:ascii="仿宋" w:hAnsi="仿宋" w:eastAsia="仿宋" w:cs="仿宋"/>
                <w:sz w:val="21"/>
                <w:szCs w:val="21"/>
                <w:lang w:bidi="ar"/>
              </w:rPr>
              <w:t>1</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67A8F2B6">
            <w:pPr>
              <w:spacing w:line="360" w:lineRule="exact"/>
              <w:rPr>
                <w:rFonts w:ascii="仿宋" w:hAnsi="仿宋" w:eastAsia="仿宋" w:cs="仿宋"/>
                <w:sz w:val="21"/>
                <w:szCs w:val="21"/>
              </w:rPr>
            </w:pPr>
            <w:r>
              <w:rPr>
                <w:rFonts w:hint="eastAsia" w:ascii="仿宋" w:hAnsi="仿宋" w:eastAsia="仿宋" w:cs="仿宋"/>
                <w:sz w:val="21"/>
                <w:szCs w:val="21"/>
                <w:lang w:bidi="ar"/>
              </w:rPr>
              <w:t>电工成套装置中的导线颜色</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3144DF2">
            <w:pPr>
              <w:spacing w:line="360" w:lineRule="exact"/>
              <w:rPr>
                <w:rFonts w:ascii="仿宋" w:hAnsi="仿宋" w:eastAsia="仿宋" w:cs="仿宋"/>
                <w:sz w:val="21"/>
                <w:szCs w:val="21"/>
              </w:rPr>
            </w:pPr>
            <w:r>
              <w:rPr>
                <w:rFonts w:hint="eastAsia" w:ascii="仿宋" w:hAnsi="仿宋" w:eastAsia="仿宋" w:cs="仿宋"/>
                <w:sz w:val="21"/>
                <w:szCs w:val="21"/>
                <w:lang w:bidi="ar"/>
              </w:rPr>
              <w:t>GB/T2681-81</w:t>
            </w:r>
          </w:p>
        </w:tc>
        <w:tc>
          <w:tcPr>
            <w:tcW w:w="660" w:type="dxa"/>
            <w:vMerge w:val="restart"/>
            <w:tcBorders>
              <w:top w:val="single" w:color="auto" w:sz="4" w:space="0"/>
              <w:left w:val="single" w:color="auto" w:sz="4" w:space="0"/>
              <w:bottom w:val="single" w:color="auto" w:sz="4" w:space="0"/>
              <w:right w:val="single" w:color="auto" w:sz="4" w:space="0"/>
            </w:tcBorders>
            <w:shd w:val="clear" w:color="auto" w:fill="auto"/>
          </w:tcPr>
          <w:p w14:paraId="3590789F">
            <w:pPr>
              <w:spacing w:line="360" w:lineRule="exact"/>
              <w:rPr>
                <w:rFonts w:ascii="仿宋" w:hAnsi="仿宋" w:eastAsia="仿宋" w:cs="仿宋"/>
                <w:color w:val="FF0000"/>
                <w:sz w:val="21"/>
                <w:szCs w:val="21"/>
              </w:rPr>
            </w:pPr>
          </w:p>
        </w:tc>
      </w:tr>
      <w:tr w14:paraId="443EA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25962FA2">
            <w:pPr>
              <w:spacing w:line="360" w:lineRule="exact"/>
              <w:jc w:val="center"/>
              <w:rPr>
                <w:rFonts w:hint="eastAsia" w:ascii="仿宋" w:hAnsi="仿宋" w:eastAsia="仿宋" w:cs="仿宋"/>
                <w:sz w:val="21"/>
                <w:szCs w:val="21"/>
                <w:lang w:bidi="ar"/>
              </w:rPr>
            </w:pPr>
            <w:r>
              <w:rPr>
                <w:rFonts w:hint="eastAsia" w:ascii="仿宋" w:hAnsi="仿宋" w:eastAsia="仿宋" w:cs="仿宋"/>
                <w:sz w:val="21"/>
                <w:szCs w:val="21"/>
                <w:lang w:bidi="ar"/>
              </w:rPr>
              <w:t>2</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72391EF6">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电工成套装置中的指示灯和按钮的颜色</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726F9535">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GB/T2682-81</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2CD73843">
            <w:pPr>
              <w:rPr>
                <w:rFonts w:ascii="仿宋" w:hAnsi="仿宋" w:eastAsia="仿宋" w:cs="仿宋"/>
                <w:sz w:val="20"/>
                <w:szCs w:val="20"/>
              </w:rPr>
            </w:pPr>
          </w:p>
        </w:tc>
      </w:tr>
      <w:tr w14:paraId="01DED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301900B3">
            <w:pPr>
              <w:spacing w:line="360" w:lineRule="exact"/>
              <w:jc w:val="center"/>
              <w:rPr>
                <w:rFonts w:hint="eastAsia" w:ascii="仿宋" w:hAnsi="仿宋" w:eastAsia="仿宋" w:cs="仿宋"/>
                <w:sz w:val="21"/>
                <w:szCs w:val="21"/>
                <w:lang w:bidi="ar"/>
              </w:rPr>
            </w:pPr>
            <w:r>
              <w:rPr>
                <w:rFonts w:hint="eastAsia" w:ascii="仿宋" w:hAnsi="仿宋" w:eastAsia="仿宋" w:cs="仿宋"/>
                <w:sz w:val="21"/>
                <w:szCs w:val="21"/>
                <w:lang w:bidi="ar"/>
              </w:rPr>
              <w:t>3</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3DBE01A8">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电能质量公用电网谐波</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4E3975D3">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GB/T14549-93</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4CFAD958">
            <w:pPr>
              <w:rPr>
                <w:rFonts w:ascii="仿宋" w:hAnsi="仿宋" w:eastAsia="仿宋" w:cs="仿宋"/>
                <w:sz w:val="20"/>
                <w:szCs w:val="20"/>
              </w:rPr>
            </w:pPr>
          </w:p>
        </w:tc>
      </w:tr>
      <w:tr w14:paraId="20D35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97D6D7A">
            <w:pPr>
              <w:spacing w:line="360" w:lineRule="exact"/>
              <w:jc w:val="center"/>
              <w:rPr>
                <w:rFonts w:hint="eastAsia" w:ascii="仿宋" w:hAnsi="仿宋" w:eastAsia="仿宋" w:cs="仿宋"/>
                <w:sz w:val="21"/>
                <w:szCs w:val="21"/>
                <w:lang w:bidi="ar"/>
              </w:rPr>
            </w:pPr>
            <w:r>
              <w:rPr>
                <w:rFonts w:hint="eastAsia" w:ascii="仿宋" w:hAnsi="仿宋" w:eastAsia="仿宋" w:cs="仿宋"/>
                <w:sz w:val="21"/>
                <w:szCs w:val="21"/>
                <w:lang w:bidi="ar"/>
              </w:rPr>
              <w:t>4</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47C56444">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金属切削机床安全防护通用技术条件</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585C05C6">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GB15760</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6F8DAEBF">
            <w:pPr>
              <w:rPr>
                <w:rFonts w:ascii="仿宋" w:hAnsi="仿宋" w:eastAsia="仿宋" w:cs="仿宋"/>
                <w:sz w:val="20"/>
                <w:szCs w:val="20"/>
              </w:rPr>
            </w:pPr>
          </w:p>
        </w:tc>
      </w:tr>
      <w:tr w14:paraId="479D2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1A269A11">
            <w:pPr>
              <w:spacing w:line="360" w:lineRule="exact"/>
              <w:jc w:val="center"/>
              <w:rPr>
                <w:rFonts w:hint="eastAsia" w:ascii="仿宋" w:hAnsi="仿宋" w:eastAsia="仿宋" w:cs="仿宋"/>
                <w:sz w:val="21"/>
                <w:szCs w:val="21"/>
                <w:lang w:bidi="ar"/>
              </w:rPr>
            </w:pPr>
            <w:r>
              <w:rPr>
                <w:rFonts w:hint="eastAsia" w:ascii="仿宋" w:hAnsi="仿宋" w:eastAsia="仿宋" w:cs="仿宋"/>
                <w:sz w:val="21"/>
                <w:szCs w:val="21"/>
                <w:lang w:bidi="ar"/>
              </w:rPr>
              <w:t>5</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6A023DAC">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金属切削机床通用技术条件</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37A56F3">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GB/T9061</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349A4F4F">
            <w:pPr>
              <w:rPr>
                <w:rFonts w:ascii="仿宋" w:hAnsi="仿宋" w:eastAsia="仿宋" w:cs="仿宋"/>
                <w:sz w:val="20"/>
                <w:szCs w:val="20"/>
              </w:rPr>
            </w:pPr>
          </w:p>
        </w:tc>
      </w:tr>
      <w:tr w14:paraId="57BBA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55BE6331">
            <w:pPr>
              <w:spacing w:line="360" w:lineRule="exact"/>
              <w:jc w:val="center"/>
              <w:rPr>
                <w:rFonts w:hint="eastAsia" w:ascii="仿宋" w:hAnsi="仿宋" w:eastAsia="仿宋" w:cs="仿宋"/>
                <w:sz w:val="21"/>
                <w:szCs w:val="21"/>
                <w:lang w:bidi="ar"/>
              </w:rPr>
            </w:pPr>
            <w:r>
              <w:rPr>
                <w:rFonts w:hint="eastAsia" w:ascii="仿宋" w:hAnsi="仿宋" w:eastAsia="仿宋" w:cs="仿宋"/>
                <w:sz w:val="21"/>
                <w:szCs w:val="21"/>
                <w:lang w:bidi="ar"/>
              </w:rPr>
              <w:t>6</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47F6E413">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机床电气通用技术条件</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374BF2C6">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GB5226</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686DB82B">
            <w:pPr>
              <w:rPr>
                <w:rFonts w:ascii="仿宋" w:hAnsi="仿宋" w:eastAsia="仿宋" w:cs="仿宋"/>
                <w:sz w:val="20"/>
                <w:szCs w:val="20"/>
              </w:rPr>
            </w:pPr>
          </w:p>
        </w:tc>
      </w:tr>
      <w:tr w14:paraId="31565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7C5F9B15">
            <w:pPr>
              <w:spacing w:line="360" w:lineRule="exac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444BDCBE">
            <w:pPr>
              <w:spacing w:line="360" w:lineRule="exact"/>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fldChar w:fldCharType="begin"/>
            </w:r>
            <w:r>
              <w:rPr>
                <w:rFonts w:hint="eastAsia" w:ascii="仿宋" w:hAnsi="仿宋" w:eastAsia="仿宋" w:cs="仿宋"/>
                <w:sz w:val="21"/>
                <w:szCs w:val="21"/>
                <w:highlight w:val="none"/>
                <w:lang w:bidi="ar"/>
              </w:rPr>
              <w:instrText xml:space="preserve"> HYPERLINK "http://wenku.baidu.com/view/db95ac1014791711cc791788.html" \t "F:/工艺工程部/项目/2021年固定资产投资/工艺院批复项目/标书/_blank" </w:instrText>
            </w:r>
            <w:r>
              <w:rPr>
                <w:rFonts w:hint="eastAsia" w:ascii="仿宋" w:hAnsi="仿宋" w:eastAsia="仿宋" w:cs="仿宋"/>
                <w:sz w:val="21"/>
                <w:szCs w:val="21"/>
                <w:highlight w:val="none"/>
                <w:lang w:bidi="ar"/>
              </w:rPr>
              <w:fldChar w:fldCharType="separate"/>
            </w:r>
            <w:r>
              <w:rPr>
                <w:rFonts w:hint="eastAsia" w:ascii="仿宋" w:hAnsi="仿宋" w:eastAsia="仿宋" w:cs="仿宋"/>
                <w:sz w:val="21"/>
                <w:szCs w:val="21"/>
                <w:highlight w:val="none"/>
                <w:lang w:bidi="ar"/>
              </w:rPr>
              <w:t>机械设备防护罩安全标准</w:t>
            </w:r>
            <w:r>
              <w:rPr>
                <w:rFonts w:hint="eastAsia" w:ascii="仿宋" w:hAnsi="仿宋" w:eastAsia="仿宋" w:cs="仿宋"/>
                <w:sz w:val="21"/>
                <w:szCs w:val="21"/>
                <w:highlight w:val="none"/>
                <w:lang w:bidi="ar"/>
              </w:rPr>
              <w:fldChar w:fldCharType="end"/>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7E5A90D5">
            <w:pPr>
              <w:spacing w:line="360" w:lineRule="exact"/>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GB8196-2003</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209A463A">
            <w:pPr>
              <w:rPr>
                <w:rFonts w:ascii="仿宋" w:hAnsi="仿宋" w:eastAsia="仿宋" w:cs="仿宋"/>
                <w:sz w:val="20"/>
                <w:szCs w:val="20"/>
                <w:highlight w:val="none"/>
              </w:rPr>
            </w:pPr>
          </w:p>
        </w:tc>
      </w:tr>
      <w:tr w14:paraId="62486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78A3A16C">
            <w:pPr>
              <w:spacing w:line="360" w:lineRule="exac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8</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top"/>
          </w:tcPr>
          <w:p w14:paraId="1E84F8CE">
            <w:pPr>
              <w:spacing w:line="360" w:lineRule="exact"/>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防止上下肢触及危险区的安全距离</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top"/>
          </w:tcPr>
          <w:p w14:paraId="4EDBE30B">
            <w:pPr>
              <w:spacing w:line="360" w:lineRule="exact"/>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w:t>
            </w:r>
            <w:r>
              <w:rPr>
                <w:rFonts w:hint="eastAsia" w:ascii="仿宋" w:hAnsi="仿宋" w:eastAsia="仿宋" w:cs="仿宋"/>
                <w:sz w:val="21"/>
                <w:szCs w:val="21"/>
                <w:highlight w:val="none"/>
                <w:lang w:val="en-US" w:eastAsia="zh-CN" w:bidi="ar"/>
              </w:rPr>
              <w:t>/T</w:t>
            </w:r>
            <w:r>
              <w:rPr>
                <w:rFonts w:hint="eastAsia" w:ascii="仿宋" w:hAnsi="仿宋" w:eastAsia="仿宋" w:cs="仿宋"/>
                <w:sz w:val="21"/>
                <w:szCs w:val="21"/>
                <w:highlight w:val="none"/>
                <w:lang w:bidi="ar"/>
              </w:rPr>
              <w:t>23821-20</w:t>
            </w:r>
            <w:r>
              <w:rPr>
                <w:rFonts w:hint="eastAsia" w:ascii="仿宋" w:hAnsi="仿宋" w:eastAsia="仿宋" w:cs="仿宋"/>
                <w:sz w:val="21"/>
                <w:szCs w:val="21"/>
                <w:highlight w:val="none"/>
                <w:lang w:val="en-US" w:eastAsia="zh-CN" w:bidi="ar"/>
              </w:rPr>
              <w:t>22</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38D22353">
            <w:pPr>
              <w:rPr>
                <w:rFonts w:ascii="仿宋" w:hAnsi="仿宋" w:eastAsia="仿宋" w:cs="仿宋"/>
                <w:sz w:val="20"/>
                <w:szCs w:val="20"/>
                <w:highlight w:val="none"/>
              </w:rPr>
            </w:pPr>
          </w:p>
        </w:tc>
      </w:tr>
      <w:tr w14:paraId="06D81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72B1098C">
            <w:pPr>
              <w:spacing w:line="360" w:lineRule="exact"/>
              <w:jc w:val="center"/>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val="en-US" w:eastAsia="zh-CN" w:bidi="ar"/>
              </w:rPr>
              <w:t>9</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top"/>
          </w:tcPr>
          <w:p w14:paraId="35F5FB1E">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机械安全 双手操纵装置 设计和选择原则</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top"/>
          </w:tcPr>
          <w:p w14:paraId="7A3990EA">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GB</w:t>
            </w:r>
            <w:r>
              <w:rPr>
                <w:rFonts w:hint="eastAsia" w:ascii="仿宋" w:hAnsi="仿宋" w:eastAsia="仿宋" w:cs="仿宋"/>
                <w:sz w:val="21"/>
                <w:szCs w:val="21"/>
                <w:highlight w:val="none"/>
                <w:lang w:val="en-US" w:eastAsia="zh-CN" w:bidi="ar"/>
              </w:rPr>
              <w:t>/T19671</w:t>
            </w:r>
            <w:r>
              <w:rPr>
                <w:rFonts w:hint="eastAsia" w:ascii="仿宋" w:hAnsi="仿宋" w:eastAsia="仿宋" w:cs="仿宋"/>
                <w:sz w:val="21"/>
                <w:szCs w:val="21"/>
                <w:highlight w:val="none"/>
                <w:lang w:bidi="ar"/>
              </w:rPr>
              <w:t>-20</w:t>
            </w:r>
            <w:r>
              <w:rPr>
                <w:rFonts w:hint="eastAsia" w:ascii="仿宋" w:hAnsi="仿宋" w:eastAsia="仿宋" w:cs="仿宋"/>
                <w:sz w:val="21"/>
                <w:szCs w:val="21"/>
                <w:highlight w:val="none"/>
                <w:lang w:val="en-US" w:eastAsia="zh-CN" w:bidi="ar"/>
              </w:rPr>
              <w:t>22</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7A635B53">
            <w:pPr>
              <w:rPr>
                <w:rFonts w:ascii="仿宋" w:hAnsi="仿宋" w:eastAsia="仿宋" w:cs="仿宋"/>
                <w:sz w:val="20"/>
                <w:szCs w:val="20"/>
                <w:highlight w:val="none"/>
              </w:rPr>
            </w:pPr>
          </w:p>
        </w:tc>
      </w:tr>
      <w:tr w14:paraId="3DDC5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4C89F3FB">
            <w:pPr>
              <w:spacing w:line="360" w:lineRule="exact"/>
              <w:jc w:val="center"/>
              <w:rPr>
                <w:rFonts w:hint="default" w:ascii="仿宋" w:hAnsi="仿宋" w:eastAsia="仿宋" w:cs="仿宋"/>
                <w:sz w:val="21"/>
                <w:szCs w:val="21"/>
                <w:highlight w:val="none"/>
                <w:lang w:val="en-US" w:eastAsia="zh-CN" w:bidi="ar"/>
              </w:rPr>
            </w:pPr>
            <w:r>
              <w:rPr>
                <w:rFonts w:hint="eastAsia" w:ascii="仿宋" w:hAnsi="仿宋" w:eastAsia="仿宋" w:cs="仿宋"/>
                <w:sz w:val="21"/>
                <w:szCs w:val="21"/>
                <w:highlight w:val="none"/>
                <w:lang w:val="en-US" w:eastAsia="zh-CN" w:bidi="ar"/>
              </w:rPr>
              <w:t>10</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top"/>
          </w:tcPr>
          <w:p w14:paraId="35E2E271">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机械安全 安全防护的实施准则</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top"/>
          </w:tcPr>
          <w:p w14:paraId="54327AB1">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GB</w:t>
            </w:r>
            <w:r>
              <w:rPr>
                <w:rFonts w:hint="eastAsia" w:ascii="仿宋" w:hAnsi="仿宋" w:eastAsia="仿宋" w:cs="仿宋"/>
                <w:sz w:val="21"/>
                <w:szCs w:val="21"/>
                <w:highlight w:val="none"/>
                <w:lang w:val="en-US" w:eastAsia="zh-CN" w:bidi="ar"/>
              </w:rPr>
              <w:t>/T30574</w:t>
            </w:r>
            <w:r>
              <w:rPr>
                <w:rFonts w:hint="eastAsia" w:ascii="仿宋" w:hAnsi="仿宋" w:eastAsia="仿宋" w:cs="仿宋"/>
                <w:sz w:val="21"/>
                <w:szCs w:val="21"/>
                <w:highlight w:val="none"/>
                <w:lang w:bidi="ar"/>
              </w:rPr>
              <w:t>-20</w:t>
            </w:r>
            <w:r>
              <w:rPr>
                <w:rFonts w:hint="eastAsia" w:ascii="仿宋" w:hAnsi="仿宋" w:eastAsia="仿宋" w:cs="仿宋"/>
                <w:sz w:val="21"/>
                <w:szCs w:val="21"/>
                <w:highlight w:val="none"/>
                <w:lang w:val="en-US" w:eastAsia="zh-CN" w:bidi="ar"/>
              </w:rPr>
              <w:t>21</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44AD6FEC">
            <w:pPr>
              <w:rPr>
                <w:rFonts w:ascii="仿宋" w:hAnsi="仿宋" w:eastAsia="仿宋" w:cs="仿宋"/>
                <w:sz w:val="20"/>
                <w:szCs w:val="20"/>
                <w:highlight w:val="none"/>
              </w:rPr>
            </w:pPr>
          </w:p>
        </w:tc>
      </w:tr>
      <w:tr w14:paraId="4CED3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328E453C">
            <w:pPr>
              <w:spacing w:line="360" w:lineRule="exact"/>
              <w:jc w:val="center"/>
              <w:rPr>
                <w:rFonts w:hint="default" w:ascii="仿宋" w:hAnsi="仿宋" w:eastAsia="仿宋" w:cs="仿宋"/>
                <w:sz w:val="21"/>
                <w:szCs w:val="21"/>
                <w:highlight w:val="none"/>
                <w:lang w:val="en-US" w:eastAsia="zh-CN" w:bidi="ar"/>
              </w:rPr>
            </w:pPr>
            <w:r>
              <w:rPr>
                <w:rFonts w:hint="eastAsia" w:ascii="仿宋" w:hAnsi="仿宋" w:eastAsia="仿宋" w:cs="仿宋"/>
                <w:sz w:val="21"/>
                <w:szCs w:val="21"/>
                <w:highlight w:val="none"/>
                <w:lang w:val="en-US" w:eastAsia="zh-CN" w:bidi="ar"/>
              </w:rPr>
              <w:t>11</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top"/>
          </w:tcPr>
          <w:p w14:paraId="5F4FB6FE">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机械安全 接近机械的固定设施 </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top"/>
          </w:tcPr>
          <w:p w14:paraId="1A7D9EDE">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GB/T 17888-2020</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067DF4FA">
            <w:pPr>
              <w:rPr>
                <w:rFonts w:ascii="仿宋" w:hAnsi="仿宋" w:eastAsia="仿宋" w:cs="仿宋"/>
                <w:sz w:val="20"/>
                <w:szCs w:val="20"/>
                <w:highlight w:val="none"/>
              </w:rPr>
            </w:pPr>
          </w:p>
        </w:tc>
      </w:tr>
      <w:tr w14:paraId="0E179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4C1E31FB">
            <w:pPr>
              <w:spacing w:line="360" w:lineRule="exact"/>
              <w:jc w:val="center"/>
              <w:rPr>
                <w:rFonts w:hint="default" w:ascii="仿宋" w:hAnsi="仿宋" w:eastAsia="仿宋" w:cs="仿宋"/>
                <w:sz w:val="21"/>
                <w:szCs w:val="21"/>
                <w:highlight w:val="none"/>
                <w:lang w:val="en-US" w:eastAsia="zh-CN" w:bidi="ar"/>
              </w:rPr>
            </w:pPr>
            <w:r>
              <w:rPr>
                <w:rFonts w:hint="eastAsia" w:ascii="仿宋" w:hAnsi="仿宋" w:eastAsia="仿宋" w:cs="仿宋"/>
                <w:sz w:val="21"/>
                <w:szCs w:val="21"/>
                <w:highlight w:val="none"/>
                <w:lang w:val="en-US" w:eastAsia="zh-CN" w:bidi="ar"/>
              </w:rPr>
              <w:t>12</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top"/>
          </w:tcPr>
          <w:p w14:paraId="3689BCA3">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《工业企业设计</w:t>
            </w:r>
            <w:r>
              <w:rPr>
                <w:rFonts w:hint="eastAsia" w:ascii="仿宋" w:hAnsi="仿宋" w:eastAsia="仿宋" w:cs="仿宋"/>
                <w:sz w:val="21"/>
                <w:szCs w:val="21"/>
                <w:highlight w:val="none"/>
                <w:lang w:eastAsia="zh-CN" w:bidi="ar"/>
              </w:rPr>
              <w:t>卫生标准</w:t>
            </w:r>
            <w:r>
              <w:rPr>
                <w:rFonts w:hint="eastAsia" w:ascii="仿宋" w:hAnsi="仿宋" w:eastAsia="仿宋" w:cs="仿宋"/>
                <w:sz w:val="21"/>
                <w:szCs w:val="21"/>
                <w:highlight w:val="none"/>
                <w:lang w:bidi="ar"/>
              </w:rPr>
              <w:t>》</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top"/>
          </w:tcPr>
          <w:p w14:paraId="4A01D536">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GB</w:t>
            </w:r>
            <w:r>
              <w:rPr>
                <w:rFonts w:hint="eastAsia" w:ascii="仿宋" w:hAnsi="仿宋" w:eastAsia="仿宋" w:cs="仿宋"/>
                <w:sz w:val="21"/>
                <w:szCs w:val="21"/>
                <w:highlight w:val="none"/>
                <w:lang w:val="en-US" w:eastAsia="zh-CN" w:bidi="ar"/>
              </w:rPr>
              <w:t>Z 1</w:t>
            </w:r>
            <w:r>
              <w:rPr>
                <w:rFonts w:hint="eastAsia" w:ascii="仿宋" w:hAnsi="仿宋" w:eastAsia="仿宋" w:cs="仿宋"/>
                <w:sz w:val="21"/>
                <w:szCs w:val="21"/>
                <w:highlight w:val="none"/>
                <w:lang w:bidi="ar"/>
              </w:rPr>
              <w:t>-</w:t>
            </w:r>
            <w:r>
              <w:rPr>
                <w:rFonts w:hint="eastAsia" w:ascii="仿宋" w:hAnsi="仿宋" w:eastAsia="仿宋" w:cs="仿宋"/>
                <w:sz w:val="21"/>
                <w:szCs w:val="21"/>
                <w:highlight w:val="none"/>
                <w:lang w:val="en-US" w:eastAsia="zh-CN" w:bidi="ar"/>
              </w:rPr>
              <w:t>2002</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4B657DA5">
            <w:pPr>
              <w:rPr>
                <w:rFonts w:ascii="仿宋" w:hAnsi="仿宋" w:eastAsia="仿宋" w:cs="仿宋"/>
                <w:sz w:val="20"/>
                <w:szCs w:val="20"/>
                <w:highlight w:val="none"/>
              </w:rPr>
            </w:pPr>
          </w:p>
        </w:tc>
      </w:tr>
      <w:tr w14:paraId="6D46F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7A9789EA">
            <w:pPr>
              <w:spacing w:line="360" w:lineRule="exact"/>
              <w:jc w:val="center"/>
              <w:rPr>
                <w:rFonts w:hint="default" w:ascii="仿宋" w:hAnsi="仿宋" w:eastAsia="仿宋" w:cs="仿宋"/>
                <w:sz w:val="21"/>
                <w:szCs w:val="21"/>
                <w:highlight w:val="none"/>
                <w:lang w:val="en-US" w:eastAsia="zh-CN" w:bidi="ar"/>
              </w:rPr>
            </w:pPr>
            <w:r>
              <w:rPr>
                <w:rFonts w:hint="eastAsia" w:ascii="仿宋" w:hAnsi="仿宋" w:eastAsia="仿宋" w:cs="仿宋"/>
                <w:sz w:val="21"/>
                <w:szCs w:val="21"/>
                <w:highlight w:val="none"/>
                <w:lang w:val="en-US" w:eastAsia="zh-CN" w:bidi="ar"/>
              </w:rPr>
              <w:t>13</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top"/>
          </w:tcPr>
          <w:p w14:paraId="741F2346">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《工业企业噪声控制设计规范》</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top"/>
          </w:tcPr>
          <w:p w14:paraId="3C4E69DB">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GB</w:t>
            </w:r>
            <w:r>
              <w:rPr>
                <w:rFonts w:hint="eastAsia" w:ascii="仿宋" w:hAnsi="仿宋" w:eastAsia="仿宋" w:cs="仿宋"/>
                <w:sz w:val="21"/>
                <w:szCs w:val="21"/>
                <w:highlight w:val="none"/>
                <w:lang w:val="en-US" w:eastAsia="zh-CN" w:bidi="ar"/>
              </w:rPr>
              <w:t>/T500</w:t>
            </w:r>
            <w:r>
              <w:rPr>
                <w:rFonts w:hint="eastAsia" w:ascii="仿宋" w:hAnsi="仿宋" w:eastAsia="仿宋" w:cs="仿宋"/>
                <w:sz w:val="21"/>
                <w:szCs w:val="21"/>
                <w:highlight w:val="none"/>
                <w:lang w:bidi="ar"/>
              </w:rPr>
              <w:t>87-</w:t>
            </w:r>
            <w:r>
              <w:rPr>
                <w:rFonts w:hint="eastAsia" w:ascii="仿宋" w:hAnsi="仿宋" w:eastAsia="仿宋" w:cs="仿宋"/>
                <w:sz w:val="21"/>
                <w:szCs w:val="21"/>
                <w:highlight w:val="none"/>
                <w:lang w:val="en-US" w:eastAsia="zh-CN" w:bidi="ar"/>
              </w:rPr>
              <w:t>2013</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7ABCEB92">
            <w:pPr>
              <w:rPr>
                <w:rFonts w:ascii="仿宋" w:hAnsi="仿宋" w:eastAsia="仿宋" w:cs="仿宋"/>
                <w:sz w:val="20"/>
                <w:szCs w:val="20"/>
                <w:highlight w:val="none"/>
              </w:rPr>
            </w:pPr>
          </w:p>
        </w:tc>
      </w:tr>
      <w:tr w14:paraId="414D6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54B3B8C3">
            <w:pPr>
              <w:spacing w:line="360" w:lineRule="exact"/>
              <w:jc w:val="center"/>
              <w:rPr>
                <w:rFonts w:hint="default" w:ascii="仿宋" w:hAnsi="仿宋" w:eastAsia="仿宋" w:cs="仿宋"/>
                <w:sz w:val="21"/>
                <w:szCs w:val="21"/>
                <w:highlight w:val="none"/>
                <w:lang w:val="en-US" w:eastAsia="zh-CN" w:bidi="ar"/>
              </w:rPr>
            </w:pPr>
            <w:r>
              <w:rPr>
                <w:rFonts w:hint="eastAsia" w:ascii="仿宋" w:hAnsi="仿宋" w:eastAsia="仿宋" w:cs="仿宋"/>
                <w:sz w:val="21"/>
                <w:szCs w:val="21"/>
                <w:highlight w:val="none"/>
                <w:lang w:val="en-US" w:eastAsia="zh-CN" w:bidi="ar"/>
              </w:rPr>
              <w:t>14</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27C0C3F9">
            <w:pPr>
              <w:spacing w:line="360" w:lineRule="exact"/>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《工业企业噪声测量规范》</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59FC754F">
            <w:pPr>
              <w:spacing w:line="360" w:lineRule="exact"/>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GBJ122-88</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456817B0">
            <w:pPr>
              <w:rPr>
                <w:rFonts w:ascii="仿宋" w:hAnsi="仿宋" w:eastAsia="仿宋" w:cs="仿宋"/>
                <w:sz w:val="20"/>
                <w:szCs w:val="20"/>
                <w:highlight w:val="none"/>
              </w:rPr>
            </w:pPr>
          </w:p>
        </w:tc>
      </w:tr>
      <w:tr w14:paraId="501D7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2053987B">
            <w:pPr>
              <w:spacing w:line="360" w:lineRule="exact"/>
              <w:jc w:val="center"/>
              <w:rPr>
                <w:rFonts w:hint="default" w:ascii="仿宋" w:hAnsi="仿宋" w:eastAsia="仿宋" w:cs="仿宋"/>
                <w:sz w:val="21"/>
                <w:szCs w:val="21"/>
                <w:highlight w:val="none"/>
                <w:lang w:val="en-US" w:eastAsia="zh-CN" w:bidi="ar"/>
              </w:rPr>
            </w:pPr>
            <w:r>
              <w:rPr>
                <w:rFonts w:hint="eastAsia" w:ascii="仿宋" w:hAnsi="仿宋" w:eastAsia="仿宋" w:cs="仿宋"/>
                <w:sz w:val="21"/>
                <w:szCs w:val="21"/>
                <w:highlight w:val="none"/>
                <w:lang w:val="en-US" w:eastAsia="zh-CN" w:bidi="ar"/>
              </w:rPr>
              <w:t>15</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7AAC146B">
            <w:pPr>
              <w:spacing w:line="360" w:lineRule="exact"/>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002BE5CF">
            <w:pPr>
              <w:spacing w:line="360" w:lineRule="exact"/>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GBZ/T189.1-2007</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41174F7D">
            <w:pPr>
              <w:rPr>
                <w:rFonts w:ascii="仿宋" w:hAnsi="仿宋" w:eastAsia="仿宋" w:cs="仿宋"/>
                <w:sz w:val="20"/>
                <w:szCs w:val="20"/>
                <w:highlight w:val="none"/>
              </w:rPr>
            </w:pPr>
          </w:p>
        </w:tc>
      </w:tr>
      <w:tr w14:paraId="393C7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7959D51D">
            <w:pPr>
              <w:spacing w:line="360" w:lineRule="exact"/>
              <w:jc w:val="center"/>
              <w:rPr>
                <w:rFonts w:hint="eastAsia" w:ascii="仿宋" w:hAnsi="仿宋" w:eastAsia="仿宋" w:cs="仿宋"/>
                <w:sz w:val="21"/>
                <w:szCs w:val="21"/>
                <w:lang w:eastAsia="zh-CN" w:bidi="ar"/>
              </w:rPr>
            </w:pPr>
            <w:r>
              <w:rPr>
                <w:rFonts w:hint="eastAsia" w:ascii="仿宋" w:hAnsi="仿宋" w:eastAsia="仿宋" w:cs="仿宋"/>
                <w:sz w:val="21"/>
                <w:szCs w:val="21"/>
                <w:lang w:bidi="ar"/>
              </w:rPr>
              <w:t>1</w:t>
            </w:r>
            <w:r>
              <w:rPr>
                <w:rFonts w:hint="eastAsia" w:ascii="仿宋" w:hAnsi="仿宋" w:eastAsia="仿宋" w:cs="仿宋"/>
                <w:sz w:val="21"/>
                <w:szCs w:val="21"/>
                <w:lang w:val="en-US" w:eastAsia="zh-CN" w:bidi="ar"/>
              </w:rPr>
              <w:t>6</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center"/>
          </w:tcPr>
          <w:p w14:paraId="314E4A1B">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高耗能落后机电设备（产品）淘汰目录（第二批）</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5D8C5B39">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1AA8F2EE">
            <w:pPr>
              <w:rPr>
                <w:rFonts w:ascii="仿宋" w:hAnsi="仿宋" w:eastAsia="仿宋" w:cs="仿宋"/>
                <w:sz w:val="20"/>
                <w:szCs w:val="20"/>
              </w:rPr>
            </w:pPr>
          </w:p>
        </w:tc>
      </w:tr>
      <w:tr w14:paraId="2C202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3BBB7FDD">
            <w:pPr>
              <w:spacing w:line="360" w:lineRule="exact"/>
              <w:jc w:val="center"/>
              <w:rPr>
                <w:rFonts w:hint="default" w:ascii="仿宋" w:hAnsi="仿宋" w:eastAsia="仿宋" w:cs="仿宋"/>
                <w:sz w:val="21"/>
                <w:szCs w:val="21"/>
                <w:lang w:val="en-US" w:eastAsia="zh-CN" w:bidi="ar"/>
              </w:rPr>
            </w:pPr>
            <w:r>
              <w:rPr>
                <w:rFonts w:hint="eastAsia" w:ascii="仿宋" w:hAnsi="仿宋" w:eastAsia="仿宋" w:cs="仿宋"/>
                <w:sz w:val="21"/>
                <w:szCs w:val="21"/>
                <w:lang w:val="en-US" w:eastAsia="zh-CN" w:bidi="ar"/>
              </w:rPr>
              <w:t>17</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center"/>
          </w:tcPr>
          <w:p w14:paraId="675FFB30">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高耗能落后机电设备（产品）淘汰目录（第三批）</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3EB446CB">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3236ACA3">
            <w:pPr>
              <w:rPr>
                <w:rFonts w:ascii="仿宋" w:hAnsi="仿宋" w:eastAsia="仿宋" w:cs="仿宋"/>
                <w:sz w:val="20"/>
                <w:szCs w:val="20"/>
              </w:rPr>
            </w:pPr>
          </w:p>
        </w:tc>
      </w:tr>
      <w:tr w14:paraId="1560B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3D955C01">
            <w:pPr>
              <w:spacing w:line="360" w:lineRule="exact"/>
              <w:jc w:val="center"/>
              <w:rPr>
                <w:rFonts w:hint="eastAsia" w:ascii="仿宋" w:hAnsi="仿宋" w:eastAsia="仿宋" w:cs="仿宋"/>
                <w:sz w:val="21"/>
                <w:szCs w:val="21"/>
                <w:lang w:eastAsia="zh-CN" w:bidi="ar"/>
              </w:rPr>
            </w:pPr>
            <w:r>
              <w:rPr>
                <w:rFonts w:hint="eastAsia" w:ascii="仿宋" w:hAnsi="仿宋" w:eastAsia="仿宋" w:cs="仿宋"/>
                <w:sz w:val="21"/>
                <w:szCs w:val="21"/>
                <w:lang w:bidi="ar"/>
              </w:rPr>
              <w:t>1</w:t>
            </w:r>
            <w:r>
              <w:rPr>
                <w:rFonts w:hint="eastAsia" w:ascii="仿宋" w:hAnsi="仿宋" w:eastAsia="仿宋" w:cs="仿宋"/>
                <w:sz w:val="21"/>
                <w:szCs w:val="21"/>
                <w:lang w:val="en-US" w:eastAsia="zh-CN" w:bidi="ar"/>
              </w:rPr>
              <w:t>8</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center"/>
          </w:tcPr>
          <w:p w14:paraId="7257C765">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高耗能落后机电设备（产品）淘汰目录（第一批）</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46FA61B2">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41936912">
            <w:pPr>
              <w:rPr>
                <w:rFonts w:ascii="仿宋" w:hAnsi="仿宋" w:eastAsia="仿宋" w:cs="仿宋"/>
                <w:sz w:val="20"/>
                <w:szCs w:val="20"/>
              </w:rPr>
            </w:pPr>
          </w:p>
        </w:tc>
      </w:tr>
      <w:tr w14:paraId="28BB0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284218C">
            <w:pPr>
              <w:spacing w:line="360" w:lineRule="exact"/>
              <w:jc w:val="center"/>
              <w:rPr>
                <w:rFonts w:hint="eastAsia" w:ascii="仿宋" w:hAnsi="仿宋" w:eastAsia="仿宋" w:cs="仿宋"/>
                <w:kern w:val="2"/>
                <w:sz w:val="21"/>
                <w:szCs w:val="21"/>
                <w:lang w:val="en-US" w:eastAsia="zh-CN" w:bidi="ar"/>
              </w:rPr>
            </w:pPr>
            <w:r>
              <w:rPr>
                <w:rFonts w:hint="eastAsia" w:ascii="仿宋" w:hAnsi="仿宋" w:eastAsia="仿宋" w:cs="仿宋"/>
                <w:sz w:val="21"/>
                <w:szCs w:val="21"/>
                <w:lang w:bidi="ar"/>
              </w:rPr>
              <w:t>1</w:t>
            </w:r>
            <w:r>
              <w:rPr>
                <w:rFonts w:hint="eastAsia" w:ascii="仿宋" w:hAnsi="仿宋" w:eastAsia="仿宋" w:cs="仿宋"/>
                <w:sz w:val="21"/>
                <w:szCs w:val="21"/>
                <w:lang w:val="en-US" w:eastAsia="zh-CN" w:bidi="ar"/>
              </w:rPr>
              <w:t>9</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center"/>
          </w:tcPr>
          <w:p w14:paraId="6672F7F5">
            <w:pPr>
              <w:spacing w:line="360" w:lineRule="exact"/>
              <w:rPr>
                <w:rFonts w:hint="eastAsia" w:ascii="仿宋" w:hAnsi="仿宋" w:eastAsia="仿宋" w:cs="仿宋"/>
                <w:sz w:val="21"/>
                <w:szCs w:val="21"/>
                <w:lang w:val="en-US" w:eastAsia="zh-CN" w:bidi="ar"/>
              </w:rPr>
            </w:pPr>
            <w:r>
              <w:rPr>
                <w:rFonts w:hint="eastAsia" w:ascii="仿宋" w:hAnsi="仿宋" w:eastAsia="仿宋" w:cs="仿宋"/>
                <w:sz w:val="21"/>
                <w:szCs w:val="21"/>
                <w:lang w:bidi="ar"/>
              </w:rPr>
              <w:t>高耗能落后机电设备（产品）淘汰目录（第</w:t>
            </w:r>
            <w:r>
              <w:rPr>
                <w:rFonts w:hint="eastAsia" w:ascii="仿宋" w:hAnsi="仿宋" w:eastAsia="仿宋" w:cs="仿宋"/>
                <w:sz w:val="21"/>
                <w:szCs w:val="21"/>
                <w:lang w:val="en-US" w:eastAsia="zh-CN" w:bidi="ar"/>
              </w:rPr>
              <w:t>四</w:t>
            </w:r>
            <w:r>
              <w:rPr>
                <w:rFonts w:hint="eastAsia" w:ascii="仿宋" w:hAnsi="仿宋" w:eastAsia="仿宋" w:cs="仿宋"/>
                <w:sz w:val="21"/>
                <w:szCs w:val="21"/>
                <w:lang w:bidi="ar"/>
              </w:rPr>
              <w:t>批）</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6BAC01F7">
            <w:pPr>
              <w:spacing w:line="360" w:lineRule="exact"/>
              <w:rPr>
                <w:rFonts w:hint="eastAsia" w:ascii="仿宋" w:hAnsi="仿宋" w:eastAsia="仿宋" w:cs="仿宋"/>
                <w:sz w:val="21"/>
                <w:szCs w:val="21"/>
                <w:lang w:val="en-US" w:eastAsia="zh-CN" w:bidi="ar"/>
              </w:rPr>
            </w:pPr>
            <w:r>
              <w:rPr>
                <w:rFonts w:hint="eastAsia" w:ascii="仿宋" w:hAnsi="仿宋" w:eastAsia="仿宋" w:cs="仿宋"/>
                <w:sz w:val="21"/>
                <w:szCs w:val="21"/>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6CCBB960">
            <w:pPr>
              <w:rPr>
                <w:rFonts w:ascii="仿宋" w:hAnsi="仿宋" w:eastAsia="仿宋" w:cs="仿宋"/>
                <w:sz w:val="20"/>
                <w:szCs w:val="20"/>
              </w:rPr>
            </w:pPr>
          </w:p>
        </w:tc>
      </w:tr>
      <w:tr w14:paraId="0C9D9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230E967A">
            <w:pPr>
              <w:spacing w:line="360" w:lineRule="exact"/>
              <w:jc w:val="center"/>
              <w:rPr>
                <w:rFonts w:hint="eastAsia" w:ascii="仿宋" w:hAnsi="仿宋" w:eastAsia="仿宋" w:cs="仿宋"/>
                <w:kern w:val="2"/>
                <w:sz w:val="21"/>
                <w:szCs w:val="21"/>
                <w:lang w:val="en-US" w:eastAsia="zh-CN" w:bidi="ar"/>
              </w:rPr>
            </w:pPr>
            <w:r>
              <w:rPr>
                <w:rFonts w:hint="eastAsia" w:ascii="仿宋" w:hAnsi="仿宋" w:eastAsia="仿宋" w:cs="仿宋"/>
                <w:sz w:val="21"/>
                <w:szCs w:val="21"/>
                <w:lang w:val="en-US" w:eastAsia="zh-CN" w:bidi="ar"/>
              </w:rPr>
              <w:t>20</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center"/>
          </w:tcPr>
          <w:p w14:paraId="45CC039C">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节能机电设备（产品）推荐目录</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7AFA9AEA">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76859470">
            <w:pPr>
              <w:rPr>
                <w:rFonts w:ascii="仿宋" w:hAnsi="仿宋" w:eastAsia="仿宋" w:cs="仿宋"/>
                <w:sz w:val="20"/>
                <w:szCs w:val="20"/>
              </w:rPr>
            </w:pPr>
          </w:p>
        </w:tc>
      </w:tr>
      <w:tr w14:paraId="58F8A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A1A010B">
            <w:pPr>
              <w:spacing w:line="360" w:lineRule="exact"/>
              <w:jc w:val="center"/>
              <w:rPr>
                <w:rFonts w:hint="default" w:ascii="仿宋" w:hAnsi="仿宋" w:eastAsia="仿宋" w:cs="仿宋"/>
                <w:kern w:val="2"/>
                <w:sz w:val="21"/>
                <w:szCs w:val="21"/>
                <w:lang w:val="en-US" w:eastAsia="zh-CN" w:bidi="ar"/>
              </w:rPr>
            </w:pPr>
            <w:r>
              <w:rPr>
                <w:rFonts w:hint="eastAsia" w:ascii="仿宋" w:hAnsi="仿宋" w:eastAsia="仿宋" w:cs="仿宋"/>
                <w:sz w:val="21"/>
                <w:szCs w:val="21"/>
                <w:lang w:val="en-US" w:eastAsia="zh-CN" w:bidi="ar"/>
              </w:rPr>
              <w:t>21</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center"/>
          </w:tcPr>
          <w:p w14:paraId="382F4BD1">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用能单位能源计量器具配备和管理</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center"/>
          </w:tcPr>
          <w:p w14:paraId="29503C80">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GB17167-2006</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20E7293C">
            <w:pPr>
              <w:rPr>
                <w:rFonts w:ascii="仿宋" w:hAnsi="仿宋" w:eastAsia="仿宋" w:cs="仿宋"/>
                <w:sz w:val="20"/>
                <w:szCs w:val="20"/>
              </w:rPr>
            </w:pPr>
          </w:p>
        </w:tc>
      </w:tr>
      <w:tr w14:paraId="6A17E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57ABBC6E">
            <w:pPr>
              <w:spacing w:line="360" w:lineRule="exact"/>
              <w:jc w:val="center"/>
              <w:rPr>
                <w:rFonts w:hint="default" w:ascii="仿宋" w:hAnsi="仿宋" w:eastAsia="仿宋" w:cs="仿宋"/>
                <w:kern w:val="2"/>
                <w:sz w:val="21"/>
                <w:szCs w:val="21"/>
                <w:lang w:val="en-US" w:eastAsia="zh-CN" w:bidi="ar"/>
              </w:rPr>
            </w:pPr>
            <w:r>
              <w:rPr>
                <w:rFonts w:hint="eastAsia" w:ascii="仿宋" w:hAnsi="仿宋" w:eastAsia="仿宋" w:cs="仿宋"/>
                <w:sz w:val="21"/>
                <w:szCs w:val="21"/>
                <w:lang w:val="en-US" w:eastAsia="zh-CN" w:bidi="ar"/>
              </w:rPr>
              <w:t>22</w:t>
            </w:r>
          </w:p>
        </w:tc>
        <w:tc>
          <w:tcPr>
            <w:tcW w:w="5348" w:type="dxa"/>
            <w:tcBorders>
              <w:top w:val="single" w:color="auto" w:sz="4" w:space="0"/>
              <w:left w:val="single" w:color="auto" w:sz="4" w:space="0"/>
              <w:bottom w:val="single" w:color="auto" w:sz="4" w:space="0"/>
              <w:right w:val="single" w:color="auto" w:sz="4" w:space="0"/>
            </w:tcBorders>
            <w:shd w:val="clear" w:color="auto" w:fill="auto"/>
            <w:vAlign w:val="top"/>
          </w:tcPr>
          <w:p w14:paraId="39106E95">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w:t>
            </w:r>
            <w:r>
              <w:rPr>
                <w:rFonts w:hint="eastAsia" w:ascii="仿宋" w:hAnsi="仿宋" w:eastAsia="仿宋" w:cs="仿宋"/>
                <w:sz w:val="21"/>
                <w:szCs w:val="21"/>
                <w:highlight w:val="none"/>
                <w:lang w:val="en-US" w:eastAsia="zh-CN" w:bidi="ar"/>
              </w:rPr>
              <w:t>工作场所物理因素测量》第8部分噪声</w:t>
            </w:r>
          </w:p>
        </w:tc>
        <w:tc>
          <w:tcPr>
            <w:tcW w:w="2081" w:type="dxa"/>
            <w:tcBorders>
              <w:top w:val="single" w:color="auto" w:sz="4" w:space="0"/>
              <w:left w:val="single" w:color="auto" w:sz="4" w:space="0"/>
              <w:bottom w:val="single" w:color="auto" w:sz="4" w:space="0"/>
              <w:right w:val="single" w:color="auto" w:sz="4" w:space="0"/>
            </w:tcBorders>
            <w:shd w:val="clear" w:color="auto" w:fill="auto"/>
            <w:vAlign w:val="top"/>
          </w:tcPr>
          <w:p w14:paraId="65651AFD">
            <w:pPr>
              <w:spacing w:line="360" w:lineRule="exact"/>
              <w:rPr>
                <w:rFonts w:hint="eastAsia" w:ascii="仿宋" w:hAnsi="仿宋" w:eastAsia="仿宋" w:cs="仿宋"/>
                <w:sz w:val="21"/>
                <w:szCs w:val="21"/>
                <w:highlight w:val="none"/>
                <w:lang w:val="en-US" w:eastAsia="zh-CN" w:bidi="ar"/>
              </w:rPr>
            </w:pPr>
            <w:r>
              <w:rPr>
                <w:rFonts w:hint="eastAsia" w:ascii="仿宋" w:hAnsi="仿宋" w:eastAsia="仿宋" w:cs="仿宋"/>
                <w:sz w:val="21"/>
                <w:szCs w:val="21"/>
                <w:highlight w:val="none"/>
                <w:lang w:bidi="ar"/>
              </w:rPr>
              <w:t>GB</w:t>
            </w:r>
            <w:r>
              <w:rPr>
                <w:rFonts w:hint="eastAsia" w:ascii="仿宋" w:hAnsi="仿宋" w:eastAsia="仿宋" w:cs="仿宋"/>
                <w:sz w:val="21"/>
                <w:szCs w:val="21"/>
                <w:highlight w:val="none"/>
                <w:lang w:val="en-US" w:eastAsia="zh-CN" w:bidi="ar"/>
              </w:rPr>
              <w:t>Z/T189.8-2007</w:t>
            </w:r>
          </w:p>
        </w:tc>
        <w:tc>
          <w:tcPr>
            <w:tcW w:w="660" w:type="dxa"/>
            <w:vMerge w:val="continue"/>
            <w:tcBorders>
              <w:top w:val="single" w:color="auto" w:sz="4" w:space="0"/>
              <w:left w:val="single" w:color="auto" w:sz="4" w:space="0"/>
              <w:bottom w:val="single" w:color="auto" w:sz="4" w:space="0"/>
              <w:right w:val="single" w:color="auto" w:sz="4" w:space="0"/>
            </w:tcBorders>
            <w:shd w:val="clear" w:color="auto" w:fill="auto"/>
          </w:tcPr>
          <w:p w14:paraId="6A82BF15">
            <w:pPr>
              <w:rPr>
                <w:rFonts w:ascii="仿宋" w:hAnsi="仿宋" w:eastAsia="仿宋" w:cs="仿宋"/>
                <w:sz w:val="20"/>
                <w:szCs w:val="20"/>
              </w:rPr>
            </w:pPr>
          </w:p>
        </w:tc>
      </w:tr>
      <w:tr w14:paraId="4A8A2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1AD32A9F">
            <w:pPr>
              <w:spacing w:line="360" w:lineRule="exact"/>
              <w:jc w:val="center"/>
              <w:rPr>
                <w:rFonts w:hint="default" w:ascii="仿宋" w:hAnsi="仿宋" w:eastAsia="仿宋" w:cs="仿宋"/>
                <w:sz w:val="21"/>
                <w:szCs w:val="21"/>
                <w:lang w:val="en-US" w:eastAsia="zh-CN" w:bidi="ar"/>
              </w:rPr>
            </w:pPr>
            <w:r>
              <w:rPr>
                <w:rFonts w:hint="eastAsia" w:ascii="仿宋" w:hAnsi="仿宋" w:eastAsia="仿宋" w:cs="仿宋"/>
                <w:sz w:val="21"/>
                <w:szCs w:val="21"/>
                <w:lang w:val="en-US" w:eastAsia="zh-CN" w:bidi="ar"/>
              </w:rPr>
              <w:t>23</w:t>
            </w:r>
          </w:p>
        </w:tc>
        <w:tc>
          <w:tcPr>
            <w:tcW w:w="5348" w:type="dxa"/>
            <w:tcBorders>
              <w:top w:val="single" w:color="auto" w:sz="4" w:space="0"/>
              <w:left w:val="single" w:color="auto" w:sz="4" w:space="0"/>
              <w:bottom w:val="single" w:color="auto" w:sz="4" w:space="0"/>
              <w:right w:val="single" w:color="auto" w:sz="4" w:space="0"/>
            </w:tcBorders>
            <w:shd w:val="clear" w:color="auto" w:fill="auto"/>
          </w:tcPr>
          <w:p w14:paraId="04E89333">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机械安全 接近机械的固定设施 </w:t>
            </w:r>
          </w:p>
        </w:tc>
        <w:tc>
          <w:tcPr>
            <w:tcW w:w="2081" w:type="dxa"/>
            <w:tcBorders>
              <w:top w:val="single" w:color="auto" w:sz="4" w:space="0"/>
              <w:left w:val="single" w:color="auto" w:sz="4" w:space="0"/>
              <w:bottom w:val="single" w:color="auto" w:sz="4" w:space="0"/>
              <w:right w:val="single" w:color="auto" w:sz="4" w:space="0"/>
            </w:tcBorders>
            <w:shd w:val="clear" w:color="auto" w:fill="auto"/>
          </w:tcPr>
          <w:p w14:paraId="1ED8EEFC">
            <w:pPr>
              <w:spacing w:line="360" w:lineRule="exact"/>
              <w:rPr>
                <w:rFonts w:hint="eastAsia" w:ascii="仿宋" w:hAnsi="仿宋" w:eastAsia="仿宋" w:cs="仿宋"/>
                <w:sz w:val="21"/>
                <w:szCs w:val="21"/>
                <w:lang w:bidi="ar"/>
              </w:rPr>
            </w:pPr>
            <w:r>
              <w:rPr>
                <w:rFonts w:hint="eastAsia" w:ascii="仿宋" w:hAnsi="仿宋" w:eastAsia="仿宋" w:cs="仿宋"/>
                <w:sz w:val="21"/>
                <w:szCs w:val="21"/>
                <w:lang w:bidi="ar"/>
              </w:rPr>
              <w:t>GB/T 17888-2020</w:t>
            </w:r>
          </w:p>
        </w:tc>
        <w:tc>
          <w:tcPr>
            <w:tcW w:w="660" w:type="dxa"/>
            <w:tcBorders>
              <w:top w:val="single" w:color="auto" w:sz="4" w:space="0"/>
              <w:left w:val="single" w:color="auto" w:sz="4" w:space="0"/>
              <w:bottom w:val="single" w:color="auto" w:sz="4" w:space="0"/>
              <w:right w:val="single" w:color="auto" w:sz="4" w:space="0"/>
            </w:tcBorders>
            <w:shd w:val="clear" w:color="auto" w:fill="auto"/>
          </w:tcPr>
          <w:p w14:paraId="7192A024">
            <w:pPr>
              <w:rPr>
                <w:rFonts w:ascii="仿宋" w:hAnsi="仿宋" w:eastAsia="仿宋" w:cs="仿宋"/>
                <w:sz w:val="20"/>
                <w:szCs w:val="20"/>
              </w:rPr>
            </w:pPr>
          </w:p>
        </w:tc>
      </w:tr>
    </w:tbl>
    <w:p w14:paraId="5D828BF3">
      <w:pPr>
        <w:spacing w:line="360" w:lineRule="exact"/>
        <w:rPr>
          <w:rFonts w:hint="eastAsia" w:ascii="仿宋" w:hAnsi="仿宋" w:eastAsia="仿宋" w:cs="仿宋"/>
          <w:sz w:val="21"/>
          <w:lang w:bidi="ar"/>
        </w:rPr>
      </w:pPr>
      <w:r>
        <w:rPr>
          <w:rFonts w:hint="eastAsia" w:ascii="仿宋" w:hAnsi="仿宋" w:eastAsia="仿宋" w:cs="仿宋"/>
          <w:sz w:val="21"/>
          <w:lang w:bidi="ar"/>
        </w:rPr>
        <w:t>备注：1、如果有采用国际标准的货物，其执行标准由投标方提供、招标方确认。</w:t>
      </w:r>
    </w:p>
    <w:p w14:paraId="174C8754">
      <w:pPr>
        <w:pStyle w:val="2"/>
        <w:rPr>
          <w:sz w:val="2"/>
          <w:szCs w:val="6"/>
        </w:rPr>
      </w:pPr>
    </w:p>
    <w:p w14:paraId="6FD3BAE7">
      <w:pPr>
        <w:snapToGrid w:val="0"/>
        <w:spacing w:line="360" w:lineRule="auto"/>
        <w:ind w:firstLine="422" w:firstLineChars="200"/>
        <w:outlineLvl w:val="1"/>
        <w:rPr>
          <w:rFonts w:ascii="仿宋" w:hAnsi="仿宋" w:eastAsia="仿宋" w:cs="仿宋"/>
          <w:b/>
          <w:bCs/>
        </w:rPr>
      </w:pPr>
      <w:bookmarkStart w:id="263" w:name="_Toc12028"/>
      <w:bookmarkStart w:id="264" w:name="_Toc12134"/>
      <w:bookmarkStart w:id="265" w:name="_Toc16004"/>
      <w:bookmarkStart w:id="266" w:name="_Toc20175"/>
      <w:bookmarkStart w:id="267" w:name="_Toc16236"/>
      <w:bookmarkStart w:id="268" w:name="_Toc22251"/>
      <w:bookmarkStart w:id="269" w:name="_Toc31203"/>
      <w:bookmarkStart w:id="270" w:name="_Toc31998"/>
      <w:bookmarkStart w:id="271" w:name="_Toc19257"/>
      <w:bookmarkStart w:id="272" w:name="_Toc22966"/>
      <w:bookmarkStart w:id="273" w:name="_Toc3790"/>
      <w:bookmarkStart w:id="274" w:name="_Toc5217"/>
      <w:bookmarkStart w:id="275" w:name="_Toc21455"/>
      <w:bookmarkStart w:id="276" w:name="_Toc21816"/>
      <w:bookmarkStart w:id="277" w:name="_Toc11090"/>
      <w:bookmarkStart w:id="278" w:name="_Toc31161"/>
      <w:bookmarkStart w:id="279" w:name="_Toc16054"/>
      <w:bookmarkStart w:id="280" w:name="_Toc15804"/>
      <w:bookmarkStart w:id="281" w:name="_Toc31070"/>
      <w:bookmarkStart w:id="282" w:name="_Toc7237"/>
      <w:r>
        <w:rPr>
          <w:rFonts w:hint="eastAsia" w:ascii="仿宋" w:hAnsi="仿宋" w:eastAsia="仿宋" w:cs="仿宋"/>
          <w:b/>
          <w:bCs/>
        </w:rPr>
        <w:t>3</w:t>
      </w:r>
      <w:r>
        <w:rPr>
          <w:rFonts w:hint="eastAsia" w:ascii="仿宋" w:hAnsi="仿宋" w:eastAsia="仿宋" w:cs="仿宋"/>
          <w:b/>
          <w:bCs/>
          <w:lang w:val="en-US" w:eastAsia="zh-CN"/>
        </w:rPr>
        <w:t xml:space="preserve"> </w:t>
      </w:r>
      <w:r>
        <w:rPr>
          <w:rFonts w:hint="eastAsia" w:ascii="仿宋" w:hAnsi="仿宋" w:eastAsia="仿宋" w:cs="仿宋"/>
          <w:b/>
          <w:bCs/>
        </w:rPr>
        <w:t>技术规范</w:t>
      </w:r>
      <w:bookmarkEnd w:id="263"/>
    </w:p>
    <w:p w14:paraId="7E09FFA3">
      <w:pPr>
        <w:pStyle w:val="16"/>
        <w:snapToGrid w:val="0"/>
        <w:spacing w:line="360" w:lineRule="auto"/>
        <w:ind w:firstLine="480" w:firstLineChars="200"/>
        <w:rPr>
          <w:rFonts w:ascii="仿宋" w:hAnsi="仿宋" w:eastAsia="仿宋" w:cs="仿宋"/>
        </w:rPr>
      </w:pPr>
      <w:bookmarkStart w:id="283" w:name="_Toc25588"/>
      <w:bookmarkStart w:id="284" w:name="_Toc22042"/>
      <w:bookmarkStart w:id="285" w:name="_Toc12757"/>
      <w:bookmarkStart w:id="286" w:name="_Toc30668"/>
      <w:bookmarkStart w:id="287" w:name="_Toc27515"/>
      <w:bookmarkStart w:id="288" w:name="_Toc10677"/>
      <w:bookmarkStart w:id="289" w:name="_Toc43"/>
      <w:bookmarkStart w:id="290" w:name="_Toc3050"/>
      <w:bookmarkStart w:id="291" w:name="_Toc26683"/>
      <w:bookmarkStart w:id="292" w:name="_Toc21407"/>
      <w:bookmarkStart w:id="293" w:name="_Toc14166"/>
      <w:bookmarkStart w:id="294" w:name="_Toc26873"/>
      <w:bookmarkStart w:id="295" w:name="_Toc20150"/>
      <w:bookmarkStart w:id="296" w:name="_Toc17783"/>
      <w:bookmarkStart w:id="297" w:name="_Toc26258"/>
      <w:bookmarkStart w:id="298" w:name="_Toc26033"/>
      <w:bookmarkStart w:id="299" w:name="_Toc19055"/>
      <w:bookmarkStart w:id="300" w:name="_Toc16518"/>
      <w:bookmarkStart w:id="301" w:name="_Toc15548"/>
      <w:r>
        <w:rPr>
          <w:rFonts w:hint="eastAsia" w:ascii="仿宋" w:hAnsi="仿宋" w:eastAsia="仿宋" w:cs="仿宋"/>
        </w:rPr>
        <w:t>3.1生产线能力及产品说明</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46A40217">
      <w:pPr>
        <w:pStyle w:val="16"/>
        <w:snapToGrid w:val="0"/>
        <w:spacing w:line="360" w:lineRule="auto"/>
        <w:ind w:firstLine="480" w:firstLineChars="200"/>
        <w:rPr>
          <w:rFonts w:hint="eastAsia" w:ascii="仿宋" w:hAnsi="仿宋" w:eastAsia="仿宋" w:cs="仿宋"/>
        </w:rPr>
      </w:pPr>
      <w:r>
        <w:rPr>
          <w:rFonts w:hint="eastAsia" w:ascii="仿宋" w:hAnsi="仿宋" w:eastAsia="仿宋" w:cs="仿宋"/>
        </w:rPr>
        <w:t>3.1.1生产能力及节拍。</w:t>
      </w:r>
    </w:p>
    <w:p w14:paraId="335B5864">
      <w:pPr>
        <w:pStyle w:val="16"/>
        <w:snapToGrid w:val="0"/>
        <w:spacing w:line="360" w:lineRule="auto"/>
        <w:ind w:firstLine="480" w:firstLineChars="200"/>
        <w:rPr>
          <w:rFonts w:hint="eastAsia" w:ascii="仿宋" w:hAnsi="仿宋" w:eastAsia="仿宋" w:cs="仿宋"/>
          <w:lang w:val="en-US" w:eastAsia="zh-CN"/>
        </w:rPr>
      </w:pPr>
      <w:r>
        <w:rPr>
          <w:rFonts w:hint="eastAsia" w:ascii="仿宋" w:hAnsi="仿宋" w:eastAsia="仿宋" w:cs="仿宋"/>
          <w:lang w:val="en-US" w:eastAsia="zh-CN"/>
        </w:rPr>
        <w:t>3.1.1.1 MCY12ZGQ系列主减，单线单班12h产能50件总成。</w:t>
      </w:r>
    </w:p>
    <w:p w14:paraId="4DC47A6E">
      <w:pPr>
        <w:pStyle w:val="16"/>
        <w:snapToGrid w:val="0"/>
        <w:spacing w:line="360" w:lineRule="auto"/>
        <w:ind w:firstLine="480" w:firstLineChars="200"/>
        <w:rPr>
          <w:rFonts w:hint="eastAsia" w:ascii="仿宋" w:hAnsi="仿宋" w:eastAsia="仿宋" w:cs="仿宋"/>
          <w:lang w:val="en-US" w:eastAsia="zh-CN"/>
        </w:rPr>
      </w:pPr>
      <w:r>
        <w:rPr>
          <w:rFonts w:hint="eastAsia" w:ascii="仿宋" w:hAnsi="仿宋" w:eastAsia="仿宋" w:cs="仿宋"/>
          <w:lang w:val="en-US" w:eastAsia="zh-CN"/>
        </w:rPr>
        <w:t>3.1.1.2 MCY11/MCY12/MCY13系列中后主减混产，单线单班12h产能200件总成。</w:t>
      </w:r>
    </w:p>
    <w:p w14:paraId="37D6F3E2">
      <w:pPr>
        <w:pStyle w:val="16"/>
        <w:snapToGrid w:val="0"/>
        <w:spacing w:line="360" w:lineRule="auto"/>
        <w:ind w:firstLine="480" w:firstLineChars="200"/>
        <w:rPr>
          <w:rFonts w:hint="eastAsia" w:ascii="仿宋" w:hAnsi="仿宋" w:eastAsia="仿宋" w:cs="仿宋"/>
        </w:rPr>
      </w:pPr>
      <w:r>
        <w:rPr>
          <w:rFonts w:hint="eastAsia" w:ascii="仿宋" w:hAnsi="仿宋" w:eastAsia="仿宋" w:cs="仿宋"/>
        </w:rPr>
        <w:t>3.1.2产品状态：</w:t>
      </w:r>
    </w:p>
    <w:p w14:paraId="0E86551D">
      <w:pPr>
        <w:pStyle w:val="16"/>
        <w:snapToGrid w:val="0"/>
        <w:spacing w:line="360" w:lineRule="auto"/>
        <w:ind w:firstLine="480" w:firstLineChars="200"/>
        <w:rPr>
          <w:rFonts w:hint="eastAsia" w:ascii="仿宋" w:hAnsi="仿宋" w:eastAsia="仿宋" w:cs="仿宋"/>
          <w:lang w:val="en-US" w:eastAsia="zh-CN"/>
        </w:rPr>
      </w:pPr>
      <w:r>
        <w:rPr>
          <w:rFonts w:hint="eastAsia" w:ascii="仿宋" w:hAnsi="仿宋" w:eastAsia="仿宋" w:cs="仿宋"/>
          <w:lang w:val="en-US" w:eastAsia="zh-CN"/>
        </w:rPr>
        <w:t>主减总成产能提升装配线生产产品系列：MCY11中主减/MCY11后主减，MCY12中主减/MCY12后主减，MCY13中主减/MCY13后主减，MCY12ZGQ中主减/MCY12ZGQ后主减。</w:t>
      </w:r>
    </w:p>
    <w:p w14:paraId="7F14AFA8">
      <w:pPr>
        <w:pStyle w:val="16"/>
        <w:snapToGrid w:val="0"/>
        <w:spacing w:line="360" w:lineRule="auto"/>
        <w:ind w:firstLine="480" w:firstLineChars="200"/>
        <w:rPr>
          <w:rFonts w:hint="eastAsia" w:ascii="仿宋" w:hAnsi="仿宋" w:eastAsia="仿宋" w:cs="仿宋"/>
        </w:rPr>
      </w:pPr>
      <w:r>
        <w:rPr>
          <w:rFonts w:hint="eastAsia" w:ascii="仿宋" w:hAnsi="仿宋" w:eastAsia="仿宋" w:cs="仿宋"/>
        </w:rPr>
        <w:t>3.1.3产品简图:</w:t>
      </w:r>
    </w:p>
    <w:p w14:paraId="1921E16C">
      <w:pPr>
        <w:pStyle w:val="16"/>
        <w:snapToGrid w:val="0"/>
        <w:spacing w:line="360" w:lineRule="auto"/>
        <w:ind w:firstLine="560" w:firstLineChars="200"/>
        <w:jc w:val="center"/>
        <w:rPr>
          <w:rFonts w:hint="eastAsia" w:ascii="仿宋" w:hAnsi="仿宋" w:eastAsia="仿宋" w:cs="仿宋"/>
          <w:kern w:val="2"/>
          <w:sz w:val="28"/>
          <w:szCs w:val="28"/>
          <w:lang w:val="en-US" w:eastAsia="zh-CN" w:bidi="ar-SA"/>
        </w:rPr>
      </w:pPr>
    </w:p>
    <w:p w14:paraId="65D76B3D">
      <w:pPr>
        <w:pStyle w:val="16"/>
        <w:snapToGrid w:val="0"/>
        <w:spacing w:line="360" w:lineRule="auto"/>
        <w:ind w:firstLine="560" w:firstLineChars="200"/>
        <w:jc w:val="center"/>
        <w:rPr>
          <w:rFonts w:hint="eastAsia" w:ascii="仿宋" w:hAnsi="仿宋" w:eastAsia="仿宋" w:cs="仿宋"/>
          <w:kern w:val="2"/>
          <w:sz w:val="28"/>
          <w:szCs w:val="28"/>
          <w:lang w:val="en-US" w:eastAsia="zh-CN" w:bidi="ar-SA"/>
        </w:rPr>
      </w:pPr>
    </w:p>
    <w:p w14:paraId="4BF2EEA1">
      <w:pPr>
        <w:pStyle w:val="16"/>
        <w:snapToGrid w:val="0"/>
        <w:spacing w:line="360" w:lineRule="auto"/>
        <w:ind w:firstLine="560" w:firstLineChars="200"/>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drawing>
          <wp:inline distT="0" distB="0" distL="114300" distR="114300">
            <wp:extent cx="3569335" cy="1677035"/>
            <wp:effectExtent l="0" t="0" r="12065" b="12065"/>
            <wp:docPr id="8" name="图片 8" descr="ae3c5e5af4207fe2147820f761f78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ae3c5e5af4207fe2147820f761f78fa"/>
                    <pic:cNvPicPr>
                      <a:picLocks noChangeAspect="1"/>
                    </pic:cNvPicPr>
                  </pic:nvPicPr>
                  <pic:blipFill>
                    <a:blip r:embed="rId15"/>
                    <a:srcRect t="7534" b="8864"/>
                    <a:stretch>
                      <a:fillRect/>
                    </a:stretch>
                  </pic:blipFill>
                  <pic:spPr>
                    <a:xfrm>
                      <a:off x="0" y="0"/>
                      <a:ext cx="3569335" cy="1677035"/>
                    </a:xfrm>
                    <a:prstGeom prst="rect">
                      <a:avLst/>
                    </a:prstGeom>
                  </pic:spPr>
                </pic:pic>
              </a:graphicData>
            </a:graphic>
          </wp:inline>
        </w:drawing>
      </w:r>
    </w:p>
    <w:p w14:paraId="11094089">
      <w:pPr>
        <w:pStyle w:val="16"/>
        <w:snapToGrid w:val="0"/>
        <w:spacing w:line="360" w:lineRule="auto"/>
        <w:ind w:firstLine="440" w:firstLineChars="200"/>
        <w:jc w:val="center"/>
        <w:rPr>
          <w:rFonts w:hint="default" w:ascii="仿宋" w:hAnsi="仿宋" w:eastAsia="仿宋" w:cs="仿宋"/>
          <w:kern w:val="2"/>
          <w:sz w:val="22"/>
          <w:szCs w:val="22"/>
          <w:lang w:val="en-US" w:eastAsia="zh-CN" w:bidi="ar-SA"/>
        </w:rPr>
      </w:pPr>
      <w:r>
        <w:rPr>
          <w:rFonts w:hint="eastAsia" w:ascii="仿宋" w:hAnsi="仿宋" w:eastAsia="仿宋" w:cs="仿宋"/>
          <w:kern w:val="2"/>
          <w:sz w:val="22"/>
          <w:szCs w:val="22"/>
          <w:lang w:val="en-US" w:eastAsia="zh-CN" w:bidi="ar-SA"/>
        </w:rPr>
        <w:t>MCY12ZGQ中主减减壳</w:t>
      </w:r>
    </w:p>
    <w:p w14:paraId="2278B040">
      <w:pPr>
        <w:pStyle w:val="16"/>
        <w:snapToGrid w:val="0"/>
        <w:spacing w:line="360" w:lineRule="auto"/>
        <w:ind w:firstLine="560" w:firstLineChars="200"/>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drawing>
          <wp:inline distT="0" distB="0" distL="114300" distR="114300">
            <wp:extent cx="3235960" cy="1179195"/>
            <wp:effectExtent l="0" t="0" r="2540" b="1905"/>
            <wp:docPr id="12" name="图片 12" descr="b1feecaa6097f335ed0cc8316f119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b1feecaa6097f335ed0cc8316f119dc"/>
                    <pic:cNvPicPr>
                      <a:picLocks noChangeAspect="1"/>
                    </pic:cNvPicPr>
                  </pic:nvPicPr>
                  <pic:blipFill>
                    <a:blip r:embed="rId16"/>
                    <a:srcRect t="6210" b="15336"/>
                    <a:stretch>
                      <a:fillRect/>
                    </a:stretch>
                  </pic:blipFill>
                  <pic:spPr>
                    <a:xfrm>
                      <a:off x="0" y="0"/>
                      <a:ext cx="3235960" cy="1179195"/>
                    </a:xfrm>
                    <a:prstGeom prst="rect">
                      <a:avLst/>
                    </a:prstGeom>
                  </pic:spPr>
                </pic:pic>
              </a:graphicData>
            </a:graphic>
          </wp:inline>
        </w:drawing>
      </w:r>
    </w:p>
    <w:p w14:paraId="529168A1">
      <w:pPr>
        <w:pStyle w:val="16"/>
        <w:snapToGrid w:val="0"/>
        <w:spacing w:line="360" w:lineRule="auto"/>
        <w:ind w:firstLine="440" w:firstLineChars="200"/>
        <w:jc w:val="center"/>
        <w:rPr>
          <w:rFonts w:hint="default" w:ascii="仿宋" w:hAnsi="仿宋" w:eastAsia="仿宋" w:cs="仿宋"/>
          <w:kern w:val="2"/>
          <w:sz w:val="22"/>
          <w:szCs w:val="22"/>
          <w:lang w:val="en-US" w:eastAsia="zh-CN" w:bidi="ar-SA"/>
        </w:rPr>
      </w:pPr>
      <w:r>
        <w:rPr>
          <w:rFonts w:hint="eastAsia" w:ascii="仿宋" w:hAnsi="仿宋" w:eastAsia="仿宋" w:cs="仿宋"/>
          <w:kern w:val="2"/>
          <w:sz w:val="22"/>
          <w:szCs w:val="22"/>
          <w:lang w:val="en-US" w:eastAsia="zh-CN" w:bidi="ar-SA"/>
        </w:rPr>
        <w:t>MCY12ZGQ后主减减壳</w:t>
      </w:r>
    </w:p>
    <w:p w14:paraId="49DC4DF5">
      <w:pPr>
        <w:pStyle w:val="16"/>
        <w:snapToGrid w:val="0"/>
        <w:spacing w:line="360" w:lineRule="auto"/>
        <w:ind w:firstLine="480" w:firstLineChars="200"/>
        <w:rPr>
          <w:rFonts w:hint="default" w:ascii="仿宋" w:hAnsi="仿宋" w:eastAsia="仿宋" w:cs="仿宋"/>
          <w:lang w:val="en-US" w:eastAsia="zh-CN"/>
        </w:rPr>
      </w:pPr>
      <w:r>
        <w:rPr>
          <w:rFonts w:hint="eastAsia" w:ascii="仿宋" w:hAnsi="仿宋" w:eastAsia="仿宋" w:cs="仿宋"/>
        </w:rPr>
        <w:t>3.1.4产品重量：</w:t>
      </w:r>
      <w:r>
        <w:rPr>
          <w:rFonts w:hint="eastAsia" w:ascii="仿宋" w:hAnsi="仿宋" w:eastAsia="仿宋" w:cs="仿宋"/>
          <w:lang w:val="en-US" w:eastAsia="zh-CN"/>
        </w:rPr>
        <w:t>后主减</w:t>
      </w:r>
      <w:r>
        <w:rPr>
          <w:rFonts w:hint="eastAsia" w:ascii="仿宋" w:hAnsi="仿宋" w:eastAsia="仿宋" w:cs="仿宋"/>
        </w:rPr>
        <w:t>≤</w:t>
      </w:r>
      <w:r>
        <w:rPr>
          <w:rFonts w:hint="eastAsia" w:ascii="仿宋" w:hAnsi="仿宋" w:eastAsia="仿宋" w:cs="仿宋"/>
          <w:lang w:val="en-US" w:eastAsia="zh-CN"/>
        </w:rPr>
        <w:t>250</w:t>
      </w:r>
      <w:r>
        <w:rPr>
          <w:rFonts w:hint="eastAsia" w:ascii="仿宋" w:hAnsi="仿宋" w:eastAsia="仿宋" w:cs="仿宋"/>
        </w:rPr>
        <w:t>kg</w:t>
      </w:r>
      <w:r>
        <w:rPr>
          <w:rFonts w:hint="eastAsia" w:ascii="仿宋" w:hAnsi="仿宋" w:eastAsia="仿宋" w:cs="仿宋"/>
          <w:lang w:eastAsia="zh-CN"/>
        </w:rPr>
        <w:t>，</w:t>
      </w:r>
      <w:r>
        <w:rPr>
          <w:rFonts w:hint="eastAsia" w:ascii="仿宋" w:hAnsi="仿宋" w:eastAsia="仿宋" w:cs="仿宋"/>
          <w:lang w:val="en-US" w:eastAsia="zh-CN"/>
        </w:rPr>
        <w:t>中主减</w:t>
      </w:r>
      <w:r>
        <w:rPr>
          <w:rFonts w:hint="eastAsia" w:ascii="仿宋" w:hAnsi="仿宋" w:eastAsia="仿宋" w:cs="仿宋"/>
        </w:rPr>
        <w:t>≤</w:t>
      </w:r>
      <w:r>
        <w:rPr>
          <w:rFonts w:hint="eastAsia" w:ascii="仿宋" w:hAnsi="仿宋" w:eastAsia="仿宋" w:cs="仿宋"/>
          <w:lang w:val="en-US" w:eastAsia="zh-CN"/>
        </w:rPr>
        <w:t>400kg</w:t>
      </w:r>
    </w:p>
    <w:p w14:paraId="6C442898">
      <w:pPr>
        <w:pStyle w:val="16"/>
        <w:snapToGrid w:val="0"/>
        <w:spacing w:line="360" w:lineRule="auto"/>
        <w:ind w:firstLine="480" w:firstLineChars="200"/>
        <w:rPr>
          <w:rFonts w:hint="eastAsia" w:ascii="仿宋" w:hAnsi="仿宋" w:eastAsia="仿宋" w:cs="仿宋"/>
        </w:rPr>
      </w:pPr>
      <w:r>
        <w:rPr>
          <w:rFonts w:hint="eastAsia" w:ascii="仿宋" w:hAnsi="仿宋" w:eastAsia="仿宋" w:cs="仿宋"/>
        </w:rPr>
        <w:t>3.1.5布置布局：</w:t>
      </w:r>
    </w:p>
    <w:p w14:paraId="764E7E23">
      <w:pPr>
        <w:pStyle w:val="16"/>
        <w:snapToGrid w:val="0"/>
        <w:spacing w:line="360" w:lineRule="auto"/>
        <w:ind w:firstLine="480" w:firstLineChars="200"/>
        <w:rPr>
          <w:rFonts w:hint="default" w:ascii="仿宋" w:hAnsi="仿宋" w:eastAsia="仿宋" w:cs="仿宋"/>
          <w:lang w:val="en-US" w:eastAsia="zh-CN"/>
        </w:rPr>
      </w:pPr>
      <w:r>
        <w:rPr>
          <w:rFonts w:hint="eastAsia" w:ascii="仿宋" w:hAnsi="仿宋" w:eastAsia="仿宋" w:cs="仿宋"/>
          <w:lang w:val="en-US" w:eastAsia="zh-CN"/>
        </w:rPr>
        <w:t>安装于主减速器线三坐标西侧，建设范围18m*32m。</w:t>
      </w:r>
    </w:p>
    <w:p w14:paraId="27346894">
      <w:pPr>
        <w:pStyle w:val="16"/>
        <w:snapToGrid w:val="0"/>
        <w:spacing w:line="360" w:lineRule="auto"/>
        <w:ind w:left="0" w:leftChars="0" w:firstLine="0" w:firstLineChars="0"/>
        <w:jc w:val="center"/>
        <w:rPr>
          <w:rFonts w:hint="eastAsia" w:eastAsia="仿宋_GB2312"/>
          <w:highlight w:val="none"/>
          <w:lang w:eastAsia="zh-CN"/>
        </w:rPr>
      </w:pPr>
      <w:r>
        <w:drawing>
          <wp:inline distT="0" distB="0" distL="114300" distR="114300">
            <wp:extent cx="2105660" cy="3046095"/>
            <wp:effectExtent l="9525" t="9525" r="18415" b="1778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7"/>
                    <a:stretch>
                      <a:fillRect/>
                    </a:stretch>
                  </pic:blipFill>
                  <pic:spPr>
                    <a:xfrm>
                      <a:off x="0" y="0"/>
                      <a:ext cx="2105660" cy="3046095"/>
                    </a:xfrm>
                    <a:prstGeom prst="rect">
                      <a:avLst/>
                    </a:prstGeom>
                    <a:noFill/>
                    <a:ln>
                      <a:solidFill>
                        <a:schemeClr val="tx1"/>
                      </a:solidFill>
                    </a:ln>
                  </pic:spPr>
                </pic:pic>
              </a:graphicData>
            </a:graphic>
          </wp:inline>
        </w:drawing>
      </w:r>
    </w:p>
    <w:p w14:paraId="68518231">
      <w:pPr>
        <w:pStyle w:val="16"/>
        <w:snapToGrid w:val="0"/>
        <w:spacing w:line="360" w:lineRule="auto"/>
        <w:ind w:left="0" w:leftChars="0" w:firstLine="0" w:firstLineChars="0"/>
        <w:jc w:val="center"/>
        <w:rPr>
          <w:rFonts w:hint="default" w:eastAsia="仿宋_GB2312"/>
          <w:sz w:val="18"/>
          <w:szCs w:val="18"/>
          <w:highlight w:val="none"/>
          <w:lang w:val="en-US" w:eastAsia="zh-CN"/>
        </w:rPr>
      </w:pPr>
      <w:r>
        <w:rPr>
          <w:rFonts w:hint="eastAsia" w:ascii="宋体" w:hAnsi="宋体" w:eastAsia="宋体" w:cs="宋体"/>
          <w:sz w:val="20"/>
          <w:szCs w:val="20"/>
          <w:highlight w:val="none"/>
          <w:lang w:val="en-US" w:eastAsia="zh-CN"/>
        </w:rPr>
        <w:t>主减</w:t>
      </w:r>
      <w:r>
        <w:rPr>
          <w:rFonts w:hint="eastAsia" w:ascii="宋体" w:hAnsi="宋体" w:cs="宋体"/>
          <w:sz w:val="20"/>
          <w:szCs w:val="20"/>
          <w:highlight w:val="none"/>
          <w:lang w:val="en-US" w:eastAsia="zh-CN"/>
        </w:rPr>
        <w:t>总成产能提升</w:t>
      </w:r>
      <w:r>
        <w:rPr>
          <w:rFonts w:hint="eastAsia" w:ascii="宋体" w:hAnsi="宋体" w:eastAsia="宋体" w:cs="宋体"/>
          <w:sz w:val="20"/>
          <w:szCs w:val="20"/>
          <w:highlight w:val="none"/>
          <w:lang w:val="en-US" w:eastAsia="zh-CN"/>
        </w:rPr>
        <w:t>装配线布局</w:t>
      </w:r>
    </w:p>
    <w:p w14:paraId="52B6CB7A">
      <w:pPr>
        <w:spacing w:line="360" w:lineRule="auto"/>
        <w:ind w:left="0" w:leftChars="0" w:firstLine="420" w:firstLineChars="200"/>
        <w:rPr>
          <w:rFonts w:hint="eastAsia" w:ascii="仿宋" w:hAnsi="仿宋" w:eastAsia="仿宋" w:cs="仿宋"/>
          <w:sz w:val="24"/>
          <w:szCs w:val="24"/>
          <w:lang w:val="en-US" w:eastAsia="zh-CN"/>
        </w:rPr>
      </w:pPr>
      <w:r>
        <w:rPr>
          <w:rFonts w:hint="eastAsia" w:ascii="仿宋" w:hAnsi="仿宋" w:eastAsia="仿宋" w:cs="仿宋"/>
        </w:rPr>
        <w:t>3.1.6工</w:t>
      </w:r>
      <w:r>
        <w:rPr>
          <w:rFonts w:hint="eastAsia" w:ascii="仿宋" w:hAnsi="仿宋" w:eastAsia="仿宋" w:cs="仿宋"/>
          <w:sz w:val="24"/>
          <w:szCs w:val="24"/>
          <w:lang w:val="en-US" w:eastAsia="zh-CN"/>
        </w:rPr>
        <w:t xml:space="preserve">艺流程（参考）： </w:t>
      </w:r>
    </w:p>
    <w:p w14:paraId="687FCE54">
      <w:pPr>
        <w:spacing w:line="360" w:lineRule="auto"/>
        <w:ind w:left="0" w:leftChars="0" w:firstLine="480" w:firstLineChars="20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3.1.6.1 差环线：被动锥齿轮上线加热→差速器与被动锥齿轮合装→连接螺栓拧紧→差速器模拟半轴检测→压装差速器两侧轴承。</w:t>
      </w:r>
    </w:p>
    <w:p w14:paraId="73CD23CF">
      <w:pPr>
        <w:spacing w:line="360" w:lineRule="auto"/>
        <w:ind w:left="0" w:leftChars="0" w:firstLine="480" w:firstLineChars="20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3.1.6.2 主环线：减壳瓦盖及轴承座拆卸上线</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压装轴承外环</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主锥上线</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压装轴承内环</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主锥及减壳合装</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测量保压状态下的转动力矩</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安装法兰并拧紧锁紧螺母。</w:t>
      </w:r>
    </w:p>
    <w:p w14:paraId="2E1E700A">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3.1.6.3 合环线：减壳带主锥上线</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轴承座带导向轴承外环安装并预紧螺栓</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吊装差速器总成并安装瓦盖调整螺母</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调整啮合区及齿侧隙拧紧瓦盖螺栓</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；安装轮间差速锁</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拆卸工艺法兰盘并压装轴密封圈</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压装法兰盘并拧紧锁紧螺母</w:t>
      </w:r>
      <w:r>
        <w:rPr>
          <w:rFonts w:hint="eastAsia" w:ascii="仿宋" w:hAnsi="仿宋" w:eastAsia="仿宋" w:cs="仿宋"/>
          <w:color w:val="000000"/>
          <w:spacing w:val="5"/>
          <w:kern w:val="0"/>
          <w:szCs w:val="28"/>
          <w:lang w:bidi="ar"/>
        </w:rPr>
        <w:t>→</w:t>
      </w:r>
      <w:r>
        <w:rPr>
          <w:rFonts w:hint="eastAsia" w:ascii="仿宋" w:hAnsi="仿宋" w:eastAsia="仿宋" w:cs="仿宋"/>
          <w:sz w:val="24"/>
          <w:szCs w:val="24"/>
          <w:lang w:val="en-US" w:eastAsia="zh-CN"/>
        </w:rPr>
        <w:t>铆接铭牌及总成检测→总成下线。</w:t>
      </w:r>
    </w:p>
    <w:p w14:paraId="73DEA9B6">
      <w:pPr>
        <w:pStyle w:val="1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highlight w:val="none"/>
        </w:rPr>
      </w:pPr>
      <w:r>
        <w:rPr>
          <w:rFonts w:hint="eastAsia" w:ascii="仿宋" w:hAnsi="仿宋" w:eastAsia="仿宋"/>
          <w:highlight w:val="none"/>
        </w:rPr>
        <w:t>3.</w:t>
      </w:r>
      <w:r>
        <w:rPr>
          <w:rFonts w:hint="eastAsia" w:ascii="仿宋" w:hAnsi="仿宋" w:eastAsia="仿宋"/>
          <w:highlight w:val="none"/>
          <w:lang w:val="en-US" w:eastAsia="zh-CN"/>
        </w:rPr>
        <w:t xml:space="preserve">2 </w:t>
      </w:r>
      <w:r>
        <w:rPr>
          <w:rFonts w:hint="eastAsia" w:ascii="仿宋" w:hAnsi="仿宋" w:eastAsia="仿宋"/>
          <w:highlight w:val="none"/>
        </w:rPr>
        <w:t>设计要求</w:t>
      </w:r>
    </w:p>
    <w:p w14:paraId="3A6857B7">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bookmarkStart w:id="302" w:name="_Toc2103"/>
      <w:bookmarkStart w:id="303" w:name="_Toc20138"/>
      <w:bookmarkStart w:id="304" w:name="_Toc14275"/>
      <w:bookmarkStart w:id="305" w:name="_Toc6592"/>
      <w:bookmarkStart w:id="306" w:name="_Toc6956"/>
      <w:bookmarkStart w:id="307" w:name="_Toc4440"/>
      <w:bookmarkStart w:id="308" w:name="_Toc9455"/>
      <w:bookmarkStart w:id="309" w:name="_Toc30729"/>
      <w:bookmarkStart w:id="310" w:name="_Toc29045"/>
      <w:bookmarkStart w:id="311" w:name="_Toc21034"/>
      <w:bookmarkStart w:id="312" w:name="_Toc30017"/>
      <w:bookmarkStart w:id="313" w:name="_Toc30232"/>
      <w:bookmarkStart w:id="314" w:name="_Toc19625"/>
      <w:bookmarkStart w:id="315" w:name="_Toc6887"/>
      <w:bookmarkStart w:id="316" w:name="_Toc2740"/>
      <w:bookmarkStart w:id="317" w:name="_Toc12930"/>
      <w:bookmarkStart w:id="318" w:name="_Toc32014"/>
      <w:bookmarkStart w:id="319" w:name="_Toc21042"/>
      <w:bookmarkStart w:id="320" w:name="_Toc15114"/>
      <w:r>
        <w:rPr>
          <w:rFonts w:hint="eastAsia" w:ascii="仿宋" w:hAnsi="仿宋" w:eastAsia="仿宋" w:cs="仿宋"/>
          <w:sz w:val="24"/>
          <w:szCs w:val="24"/>
          <w:highlight w:val="none"/>
          <w:lang w:val="en-US" w:eastAsia="zh-CN"/>
        </w:rPr>
        <w:t>满足MCY11/MCY12/MCY13/MCY12ZGQ六个系列中后主减总成产品混线生产：</w:t>
      </w:r>
    </w:p>
    <w:p w14:paraId="318A16E4">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3.2.1 新建主环线辊道线体一组24m（11*2.5矩形），差环线辊道线体一组22m（11*2.5矩形）；</w:t>
      </w:r>
    </w:p>
    <w:p w14:paraId="29CC42BF">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辊道线体为铝型材框架、载荷能力满足1.5T/㎡以上，倍速链驱动托盘及工件移动，辊道线体四角设置托盘升降转向装置，具备自动放行、手动放行功能。线体外围围挡采用不锈钢板防护，各工位前铺设连续脚踏板。主环线分布减壳吊装上线、轴承外环压装、轴承内环压装、锥齿轮合装、保压检测转动力矩并拆卸更换垫片、圆柱齿轮或油封法兰安装，锁紧螺母拧紧，总成吊装下线8个工位。差环线分布被动锥齿轮上线、被动锥齿轮内孔加热、差速器总成上线合装、连接螺栓预紧、四轴拧紧机拧紧、差速器性能检测、差速器轴承压装、总成吊装下线8个工位。</w:t>
      </w:r>
    </w:p>
    <w:p w14:paraId="4FDE18DD">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3.2.2 配置主环线体随行托盘15件，托盘材料选用45钢（厚度30mm，硬度要求25-38HRC，表面镀镍），定位治具支架选用刚性强的金属材料，接触零部件防磕碰的定位块选用耐高温耐磨尼龙材料。兼容MCY11/MCY12/MCY13/MCY12ZGQ系列中后主减产品，满足中后主减壳、中后轴承座、主动锥齿轮及独立瓦盖有效定位导向，运载过程中壳体盘面朝下且不与线体及挡停机构干涉，定位具备托升锁止导向。</w:t>
      </w:r>
    </w:p>
    <w:p w14:paraId="6421CBE1">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3.2.3 配置差环线体随行托盘15件，托盘材料选用45钢（厚度30mm，硬度要求25-38HRC，表面镀镍），定位治具支架选用刚性强的金属材料，接触零部件防磕碰的定位块选用耐高温耐磨尼龙材料。容MCY11/MCY12/MCY13/MCY12ZGQ系列中后主减产品，满足各系列差速器总成与被动锥齿轮有效定位导向，运载过程中差速器总成及轴承不与线体及挡停机构干涉，托盘挡停位置预留加热机、拧紧机、压装等工序工位位置，定位具备托升锁止导向。</w:t>
      </w:r>
    </w:p>
    <w:p w14:paraId="376D8C14">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3.2.4 新增五台16T级液压压力机用于轴承外环压装（工艺压力范围30KN-80KN）、轴承内环压装（工艺压力范围70KN-100KN）、轴承预紧力转矩压紧调整（工艺压力范围80KN-120KN）、油封法兰压装（工艺压力范围30KN-80KN）、差速器上下轴承压装（工艺压力范围30KN-80KN）。压力机工位托盘导向定位，具备托升锁止功能，上下压缸具备压力位移曲线监控，具备双手压装功能、具有安全光栅和急停防护，满足压紧后长时间保压能力。在轴承内环压装和轴承预紧力压紧调整工位之间增加一套电动升降机构及起吊主锥装置，满足电动升降托盘实带动主动锥齿轮自下而上穿过壳体进行合装的功能。</w:t>
      </w:r>
    </w:p>
    <w:p w14:paraId="58BF764F">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3.2.5 新增一台齿轮加热机，在差环线内在线配置一套电磁感应齿轮内孔加热器，单加热头可拆卸换型，满足MCY11/MCY12/MCY13/MCY12ZGQ等系列产品的被动锥齿轮内孔加热。工位自动升降加热头，均匀加热齿轮内孔至40℃-60℃，加热时间不超过40秒，最大加热功率30KW。加热机外加装安全防护隔离罩和除油烟尘吸附机构。具备温度控制及时间控制模式，具备安全光栅与急停防护和测温功能。</w:t>
      </w:r>
    </w:p>
    <w:p w14:paraId="28236F38">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3.2.6 新增两台气液转换压装机构，安装于工位线边放置，占地不超过0.6㎡，实现减壳盖与输入轴轴承外环限位合装，实现减壳与导向轴承外环限位合装，具备压力实时监控功能。</w:t>
      </w:r>
    </w:p>
    <w:p w14:paraId="69E146A0">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3.2.7 新增一条36m环形地拖链合环线（中心环线9m*9m），采用板式链牵引链条的传动机构，链条支撑由焊接钢架构成，支撑可靠，防止链条自重下垂后与链轮啮合时卡边。轨道设计防护覆盖全范围地面，避免杂物落入轨道。线体设置过载保护装置，其上拖动16台合环线小车循环运转，合环小车托臂夹具可通过更换、调整或增加附件满足MCY11/MCY12/MCY13/MCY12ZGQ等系列产品的减壳夹紧固定旋转，兼顾存放多品种主减壳安装装配，切换方便调整，合环小车内部具有蜗轮蜗杆自锁功能、具有减速机构，具备手摇及电动旋转模式，每台小车间距2.5米左右（可根据实际情况调整），合环线四角处分别设置四个整线控制盒，同时设置蜂鸣器、延时启动、自动循环行走模式等风险防控措施。</w:t>
      </w:r>
    </w:p>
    <w:p w14:paraId="7168CB49">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3.2.8 新增一台主减总成试验机，具备功能：主减总成转动驱动功能（正反转），转矩检测功能，轮间差速锁与轴间差速锁同步通气调压（0-1.5MPa）保压功能，气密泄露量检测功能，主减总成速比检测功能，扫码录入绑定检测数据功能，数据存储与上传功能等。</w:t>
      </w:r>
    </w:p>
    <w:p w14:paraId="16151EB3">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3.2.9 主环上料处增加一台翻转定置架，用于壳体从工位器具吊装至翻转定置架上进行瓦盖拆卸、接油板安装操作，然后进行自动翻转以减壳大盘面朝下的姿态吊装至主环线体托盘上定位放置。</w:t>
      </w:r>
    </w:p>
    <w:p w14:paraId="610F42AA">
      <w:pPr>
        <w:keepNext w:val="0"/>
        <w:keepLines w:val="0"/>
        <w:pageBreakBefore w:val="0"/>
        <w:widowControl w:val="0"/>
        <w:kinsoku/>
        <w:wordWrap/>
        <w:overflowPunct/>
        <w:topLinePunct w:val="0"/>
        <w:autoSpaceDE/>
        <w:autoSpaceDN/>
        <w:bidi w:val="0"/>
        <w:adjustRightInd/>
        <w:snapToGrid/>
        <w:spacing w:line="360" w:lineRule="auto"/>
        <w:ind w:left="0" w:leftChars="0" w:firstLine="420" w:firstLineChars="200"/>
        <w:textAlignment w:val="auto"/>
        <w:rPr>
          <w:rFonts w:ascii="仿宋" w:hAnsi="仿宋" w:eastAsia="仿宋"/>
          <w:highlight w:val="none"/>
        </w:rPr>
      </w:pPr>
      <w:r>
        <w:rPr>
          <w:rFonts w:hint="eastAsia" w:ascii="仿宋" w:hAnsi="仿宋" w:eastAsia="仿宋" w:cs="仿宋"/>
          <w:highlight w:val="none"/>
        </w:rPr>
        <w:t>3.</w:t>
      </w:r>
      <w:r>
        <w:rPr>
          <w:rFonts w:hint="eastAsia" w:ascii="仿宋" w:hAnsi="仿宋" w:eastAsia="仿宋" w:cs="仿宋"/>
          <w:highlight w:val="none"/>
          <w:lang w:val="en-US" w:eastAsia="zh-CN"/>
        </w:rPr>
        <w:t>3</w:t>
      </w:r>
      <w:r>
        <w:rPr>
          <w:rFonts w:hint="eastAsia" w:ascii="仿宋" w:hAnsi="仿宋" w:eastAsia="仿宋" w:cs="仿宋"/>
          <w:highlight w:val="none"/>
        </w:rPr>
        <w:t>技术要求及参数</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4E4FF9D3">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lang w:val="en-US" w:eastAsia="zh-CN"/>
        </w:rPr>
        <w:t>3.3.1 压力机设可控压力：3000-16000KG；设备行程≥600mm；压装行程可调；压装机构为一体式C型</w:t>
      </w:r>
      <w:r>
        <w:rPr>
          <w:rFonts w:hint="eastAsia" w:ascii="仿宋" w:hAnsi="仿宋" w:eastAsia="仿宋" w:cs="仿宋"/>
          <w:sz w:val="24"/>
          <w:szCs w:val="24"/>
          <w:highlight w:val="none"/>
          <w:lang w:val="en-US" w:eastAsia="zh-CN"/>
        </w:rPr>
        <w:t xml:space="preserve">结构，安装稳定可靠，双手压装，光栅保护，喉深≥350mm，压头到工作台距离≥500mm，具备保压能力。液压缸选用国内顶尖品牌如康思达、天锻、恒立等。  </w:t>
      </w:r>
    </w:p>
    <w:p w14:paraId="580E35AA">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highlight w:val="none"/>
          <w:lang w:val="en-US" w:eastAsia="zh-CN"/>
        </w:rPr>
        <w:t>3.3.2 主差环选用倍速链线体，线体周边及内部围挡均采用2mm厚度不锈钢板铺设，外观明亮，线体内部机构不外漏。主差环各配备15套定位托盘（主环+差环）及随行治具，</w:t>
      </w:r>
      <w:r>
        <w:rPr>
          <w:rFonts w:hint="eastAsia" w:ascii="仿宋" w:hAnsi="仿宋" w:eastAsia="仿宋" w:cs="仿宋"/>
          <w:sz w:val="24"/>
          <w:szCs w:val="24"/>
          <w:lang w:val="en-US" w:eastAsia="zh-CN"/>
        </w:rPr>
        <w:t>共计30套。关联线体传输时的定位、挡停，托盘存放兼容满足标书规定的全部适应产品。</w:t>
      </w:r>
    </w:p>
    <w:p w14:paraId="2FB814D1">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3.3.3 在主环部分需满足产品在托盘上的定位、挡停位置与压力机的相关定位、拧紧机相关定位、工装及定位元件的兼容性及可快速切换性。</w:t>
      </w:r>
    </w:p>
    <w:p w14:paraId="375B422E">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3.3.4 定位托盘制作要求：简单易拆卸，方便更换；兼容性强，多种产品采用台阶式兼容，具备强互换性（最多制作两-三种换型，每种兼容多类型产品）；定位可靠稳定，工件不能随托盘挡停而移动，托盘上的定位件具有减重孔、观察孔，可见压装位置。</w:t>
      </w:r>
    </w:p>
    <w:p w14:paraId="6337E65A">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3.3.5 传输链线体高度（地面至随行托盘上表面）建议核定为750mm，配合线体内压力机高度进行设计制作。</w:t>
      </w:r>
    </w:p>
    <w:p w14:paraId="6321DCA7">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3.3.6 实现产品换型功能，保证在一个生产节拍内完成快速转换工装及定位夹具。</w:t>
      </w:r>
    </w:p>
    <w:p w14:paraId="5FDB0B9E">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3.3.7 强化安全防护设计，实现安全防护，符合国家安全生产法等相关规定标准。</w:t>
      </w:r>
    </w:p>
    <w:p w14:paraId="1385005B">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3.3.8 相关的设计应符合安全、环保、消防、能源、设备技术及劳动法等相关的国家最新标准要求。</w:t>
      </w:r>
    </w:p>
    <w:p w14:paraId="5D0248D9">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3.3.9 线体配套实现全部涉及产品装配所需的工具、工装、定位元件等由厂家提供且必须提供三套（一用两备）。</w:t>
      </w:r>
    </w:p>
    <w:p w14:paraId="48F98C52">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3.3.10 主要气动元件采用欧姆龙或同等级别国际知名品牌，光电开关、行程开关等电子元件均采用西门子或同等级别国际知名品牌。本项目设备所涉及的继电器均选用安全型继电器，满足功能安全标准（如EN 61508）。</w:t>
      </w:r>
    </w:p>
    <w:p w14:paraId="4EC83C97">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3.3.11 设备电源前端加有漏电保护和报警功能使系统的安全运行得以保证。</w:t>
      </w:r>
    </w:p>
    <w:p w14:paraId="63A61864">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 xml:space="preserve">3.3.12 所有设备均配备安全防护系统，必须保证人工操作的安全。 </w:t>
      </w:r>
    </w:p>
    <w:p w14:paraId="14844B5C">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3.3.13 所有电气安装和施工均应符合我国现行行业标准（规范）。</w:t>
      </w:r>
    </w:p>
    <w:p w14:paraId="554EF80D">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3.4 投标货物设备要求</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p>
    <w:p w14:paraId="1275BB82">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3.4.1 设备规范</w:t>
      </w:r>
    </w:p>
    <w:p w14:paraId="1EC2109E">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.4.1.1</w:t>
      </w:r>
      <w:r>
        <w:rPr>
          <w:rFonts w:hint="eastAsia" w:ascii="仿宋" w:hAnsi="仿宋" w:eastAsia="仿宋" w:cs="仿宋"/>
          <w:lang w:val="en-US" w:eastAsia="zh-CN"/>
        </w:rPr>
        <w:t xml:space="preserve"> </w:t>
      </w:r>
      <w:r>
        <w:rPr>
          <w:rFonts w:hint="eastAsia" w:ascii="仿宋" w:hAnsi="仿宋" w:eastAsia="仿宋" w:cs="仿宋"/>
        </w:rPr>
        <w:t>设备设计合理，制造精良，性能稳定可靠，且使用维修方便，造型美观，设备的结构应保证有足够的静态、动态、热稳态刚度。</w:t>
      </w:r>
    </w:p>
    <w:p w14:paraId="6E07D890">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.4.1.2</w:t>
      </w:r>
      <w:r>
        <w:rPr>
          <w:rFonts w:hint="eastAsia" w:ascii="仿宋" w:hAnsi="仿宋" w:eastAsia="仿宋" w:cs="仿宋"/>
          <w:lang w:val="en-US" w:eastAsia="zh-CN"/>
        </w:rPr>
        <w:t xml:space="preserve"> </w:t>
      </w:r>
      <w:r>
        <w:rPr>
          <w:rFonts w:hint="eastAsia" w:ascii="仿宋" w:hAnsi="仿宋" w:eastAsia="仿宋" w:cs="仿宋"/>
        </w:rPr>
        <w:t>设备防护门安全性好，方便操作维修，并配置门联锁，门联锁与PLC数据程序有互锁要求，在安全门未关闭时，设备无法运行。</w:t>
      </w:r>
    </w:p>
    <w:p w14:paraId="75B68166">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.4.1.3</w:t>
      </w:r>
      <w:r>
        <w:rPr>
          <w:rFonts w:hint="eastAsia" w:ascii="仿宋" w:hAnsi="仿宋" w:eastAsia="仿宋" w:cs="仿宋"/>
          <w:lang w:val="en-US" w:eastAsia="zh-CN"/>
        </w:rPr>
        <w:t xml:space="preserve"> </w:t>
      </w:r>
      <w:r>
        <w:rPr>
          <w:rFonts w:hint="eastAsia" w:ascii="仿宋" w:hAnsi="仿宋" w:eastAsia="仿宋" w:cs="仿宋"/>
        </w:rPr>
        <w:t>设备所用全部轴承、丝杠、导轨选用NSK\SKF\THK及招标方认可的同等级品牌国际名牌产品。</w:t>
      </w:r>
    </w:p>
    <w:p w14:paraId="58296D7E">
      <w:pPr>
        <w:pStyle w:val="16"/>
        <w:snapToGrid w:val="0"/>
        <w:spacing w:line="360" w:lineRule="auto"/>
        <w:ind w:firstLine="480" w:firstLineChars="200"/>
        <w:rPr>
          <w:rFonts w:hint="eastAsia" w:ascii="仿宋" w:hAnsi="仿宋" w:eastAsia="仿宋" w:cs="仿宋"/>
          <w:lang w:eastAsia="zh-CN"/>
        </w:rPr>
      </w:pPr>
      <w:r>
        <w:rPr>
          <w:rFonts w:hint="eastAsia" w:ascii="仿宋" w:hAnsi="仿宋" w:eastAsia="仿宋" w:cs="仿宋"/>
        </w:rPr>
        <w:t>3</w:t>
      </w:r>
      <w:r>
        <w:rPr>
          <w:rFonts w:ascii="仿宋" w:hAnsi="仿宋" w:eastAsia="仿宋" w:cs="仿宋"/>
        </w:rPr>
        <w:t>.4.2</w:t>
      </w:r>
      <w:r>
        <w:rPr>
          <w:rFonts w:hint="eastAsia" w:ascii="仿宋" w:hAnsi="仿宋" w:eastAsia="仿宋" w:cs="仿宋"/>
          <w:lang w:val="en-US" w:eastAsia="zh-CN"/>
        </w:rPr>
        <w:t xml:space="preserve"> </w:t>
      </w:r>
      <w:r>
        <w:rPr>
          <w:rFonts w:hint="eastAsia" w:ascii="仿宋" w:hAnsi="仿宋" w:eastAsia="仿宋" w:cs="仿宋"/>
        </w:rPr>
        <w:t>电气规范</w:t>
      </w:r>
    </w:p>
    <w:p w14:paraId="1C607541">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.4.2</w:t>
      </w:r>
      <w:r>
        <w:rPr>
          <w:rFonts w:hint="eastAsia" w:ascii="仿宋" w:hAnsi="仿宋" w:eastAsia="仿宋" w:cs="仿宋"/>
        </w:rPr>
        <w:t>.</w:t>
      </w:r>
      <w:r>
        <w:rPr>
          <w:rFonts w:ascii="仿宋" w:hAnsi="仿宋" w:eastAsia="仿宋" w:cs="仿宋"/>
        </w:rPr>
        <w:t>1</w:t>
      </w:r>
      <w:r>
        <w:rPr>
          <w:rFonts w:hint="eastAsia" w:ascii="仿宋" w:hAnsi="仿宋" w:eastAsia="仿宋" w:cs="仿宋"/>
          <w:lang w:val="en-US" w:eastAsia="zh-CN"/>
        </w:rPr>
        <w:t xml:space="preserve"> </w:t>
      </w:r>
      <w:r>
        <w:rPr>
          <w:rFonts w:hint="eastAsia" w:ascii="仿宋" w:hAnsi="仿宋" w:eastAsia="仿宋" w:cs="仿宋"/>
        </w:rPr>
        <w:t>电器柜标准配置采用全封闭式</w:t>
      </w:r>
      <w:r>
        <w:rPr>
          <w:rFonts w:hint="eastAsia" w:ascii="仿宋" w:hAnsi="仿宋" w:eastAsia="仿宋" w:cs="仿宋"/>
          <w:lang w:val="en-US" w:eastAsia="zh-CN"/>
        </w:rPr>
        <w:t>独立配置</w:t>
      </w:r>
      <w:r>
        <w:rPr>
          <w:rFonts w:hint="eastAsia" w:ascii="仿宋" w:hAnsi="仿宋" w:eastAsia="仿宋" w:cs="仿宋"/>
        </w:rPr>
        <w:t>，电器柜加装工业空调，门框加装密封条，保证密封防尘，外形光洁美观；电器柜内的元件须布局合理，元件之间应保证有足够的空间以便于维修，装有维修用电源插座，元件的安装应整齐规范，号码清晰、耐油、不易脱落，电缆线在电气柜内应长短合适、布局美观；</w:t>
      </w:r>
    </w:p>
    <w:p w14:paraId="23B7460F">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.4.2</w:t>
      </w:r>
      <w:r>
        <w:rPr>
          <w:rFonts w:hint="eastAsia" w:ascii="仿宋" w:hAnsi="仿宋" w:eastAsia="仿宋" w:cs="仿宋"/>
        </w:rPr>
        <w:t>.</w:t>
      </w:r>
      <w:r>
        <w:rPr>
          <w:rFonts w:ascii="仿宋" w:hAnsi="仿宋" w:eastAsia="仿宋" w:cs="仿宋"/>
        </w:rPr>
        <w:t>2</w:t>
      </w:r>
      <w:r>
        <w:rPr>
          <w:rFonts w:hint="eastAsia" w:ascii="仿宋" w:hAnsi="仿宋" w:eastAsia="仿宋" w:cs="仿宋"/>
          <w:lang w:val="en-US" w:eastAsia="zh-CN"/>
        </w:rPr>
        <w:t xml:space="preserve"> </w:t>
      </w:r>
      <w:r>
        <w:rPr>
          <w:rFonts w:hint="eastAsia" w:ascii="仿宋" w:hAnsi="仿宋" w:eastAsia="仿宋" w:cs="仿宋"/>
        </w:rPr>
        <w:t>设备及电气系统必须要做好屏蔽和良好接地；符合相关安全规定、操控部分使用安全电压。</w:t>
      </w:r>
    </w:p>
    <w:p w14:paraId="327ECBD9">
      <w:pPr>
        <w:pStyle w:val="16"/>
        <w:snapToGrid w:val="0"/>
        <w:spacing w:line="360" w:lineRule="auto"/>
        <w:ind w:firstLine="480" w:firstLineChars="200"/>
        <w:rPr>
          <w:rFonts w:hint="eastAsia" w:ascii="仿宋" w:hAnsi="仿宋" w:eastAsia="仿宋" w:cs="仿宋"/>
        </w:rPr>
      </w:pPr>
      <w:r>
        <w:rPr>
          <w:rFonts w:hint="eastAsia" w:ascii="仿宋" w:hAnsi="仿宋" w:eastAsia="仿宋" w:cs="仿宋"/>
        </w:rPr>
        <w:t>3</w:t>
      </w:r>
      <w:r>
        <w:rPr>
          <w:rFonts w:ascii="仿宋" w:hAnsi="仿宋" w:eastAsia="仿宋" w:cs="仿宋"/>
        </w:rPr>
        <w:t>.4.2</w:t>
      </w:r>
      <w:r>
        <w:rPr>
          <w:rFonts w:hint="eastAsia" w:ascii="仿宋" w:hAnsi="仿宋" w:eastAsia="仿宋" w:cs="仿宋"/>
        </w:rPr>
        <w:t>.</w:t>
      </w:r>
      <w:r>
        <w:rPr>
          <w:rFonts w:ascii="仿宋" w:hAnsi="仿宋" w:eastAsia="仿宋" w:cs="仿宋"/>
        </w:rPr>
        <w:t>3</w:t>
      </w:r>
      <w:r>
        <w:rPr>
          <w:rFonts w:hint="eastAsia" w:ascii="仿宋" w:hAnsi="仿宋" w:eastAsia="仿宋" w:cs="仿宋"/>
          <w:lang w:val="en-US" w:eastAsia="zh-CN"/>
        </w:rPr>
        <w:t xml:space="preserve"> </w:t>
      </w:r>
      <w:r>
        <w:rPr>
          <w:rFonts w:hint="eastAsia" w:ascii="仿宋" w:hAnsi="仿宋" w:eastAsia="仿宋" w:cs="仿宋"/>
        </w:rPr>
        <w:t>电器元件全部采用取得国际电工认证标准的正规厂商产品，主要电器元件采用施耐德、西门子、巴鲁夫、TRUCK、IFM等世界著名品牌；</w:t>
      </w:r>
    </w:p>
    <w:p w14:paraId="2195267A">
      <w:pPr>
        <w:pStyle w:val="16"/>
        <w:snapToGrid w:val="0"/>
        <w:spacing w:line="360" w:lineRule="auto"/>
        <w:ind w:firstLine="480" w:firstLineChars="200"/>
        <w:rPr>
          <w:rFonts w:ascii="仿宋" w:hAnsi="仿宋" w:eastAsia="仿宋" w:cs="仿宋"/>
        </w:rPr>
      </w:pPr>
      <w:r>
        <w:rPr>
          <w:rFonts w:hint="eastAsia" w:ascii="仿宋" w:hAnsi="仿宋" w:eastAsia="仿宋" w:cs="仿宋"/>
        </w:rPr>
        <w:t>3.4.2.4</w:t>
      </w:r>
      <w:r>
        <w:rPr>
          <w:rFonts w:hint="eastAsia" w:ascii="仿宋" w:hAnsi="仿宋" w:eastAsia="仿宋" w:cs="仿宋"/>
          <w:lang w:val="en-US" w:eastAsia="zh-CN"/>
        </w:rPr>
        <w:t xml:space="preserve"> </w:t>
      </w:r>
      <w:r>
        <w:rPr>
          <w:rFonts w:hint="eastAsia" w:ascii="仿宋" w:hAnsi="仿宋" w:eastAsia="仿宋" w:cs="仿宋"/>
        </w:rPr>
        <w:t>设备和PLC控制系统采用西门子samrt系列、S1200系列、S1500系列、三菱等世界著名品牌，输入输出点各留20%备用点；主要低压元件采用著名公司产品；气动元件、光电开关、行程开关等均采用国内外知名产品；伺服电机、变频器选用西门子等世界著名品牌。</w:t>
      </w:r>
    </w:p>
    <w:p w14:paraId="5B247D54">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.4.2</w:t>
      </w:r>
      <w:r>
        <w:rPr>
          <w:rFonts w:hint="eastAsia" w:ascii="仿宋" w:hAnsi="仿宋" w:eastAsia="仿宋" w:cs="仿宋"/>
        </w:rPr>
        <w:t>.</w:t>
      </w:r>
      <w:r>
        <w:rPr>
          <w:rFonts w:ascii="仿宋" w:hAnsi="仿宋" w:eastAsia="仿宋" w:cs="仿宋"/>
        </w:rPr>
        <w:t>5</w:t>
      </w:r>
      <w:r>
        <w:rPr>
          <w:rFonts w:hint="eastAsia" w:ascii="仿宋" w:hAnsi="仿宋" w:eastAsia="仿宋" w:cs="仿宋"/>
          <w:lang w:val="en-US" w:eastAsia="zh-CN"/>
        </w:rPr>
        <w:t xml:space="preserve"> </w:t>
      </w:r>
      <w:r>
        <w:rPr>
          <w:rFonts w:hint="eastAsia" w:ascii="仿宋" w:hAnsi="仿宋" w:eastAsia="仿宋" w:cs="仿宋"/>
        </w:rPr>
        <w:t>电气PLC控制器的电源前端加有隔离变压器和滤波器，防止电网的波动和噪声污染使PLC发生故障。同时通过程序实现完善的互锁保护和报警功能使系统的安全运行得以保证。</w:t>
      </w:r>
    </w:p>
    <w:p w14:paraId="475F521E">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.4.2</w:t>
      </w:r>
      <w:r>
        <w:rPr>
          <w:rFonts w:hint="eastAsia" w:ascii="仿宋" w:hAnsi="仿宋" w:eastAsia="仿宋" w:cs="仿宋"/>
        </w:rPr>
        <w:t>.</w:t>
      </w:r>
      <w:r>
        <w:rPr>
          <w:rFonts w:ascii="仿宋" w:hAnsi="仿宋" w:eastAsia="仿宋" w:cs="仿宋"/>
        </w:rPr>
        <w:t>6</w:t>
      </w:r>
      <w:r>
        <w:rPr>
          <w:rFonts w:hint="eastAsia" w:ascii="仿宋" w:hAnsi="仿宋" w:eastAsia="仿宋" w:cs="仿宋"/>
          <w:lang w:val="en-US" w:eastAsia="zh-CN"/>
        </w:rPr>
        <w:t xml:space="preserve"> </w:t>
      </w:r>
      <w:r>
        <w:rPr>
          <w:rFonts w:hint="eastAsia" w:ascii="仿宋" w:hAnsi="仿宋" w:eastAsia="仿宋" w:cs="仿宋"/>
        </w:rPr>
        <w:t>整套设备配备电力计量装置。</w:t>
      </w:r>
    </w:p>
    <w:p w14:paraId="725C3D14">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.4.2</w:t>
      </w:r>
      <w:r>
        <w:rPr>
          <w:rFonts w:hint="eastAsia" w:ascii="仿宋" w:hAnsi="仿宋" w:eastAsia="仿宋" w:cs="仿宋"/>
        </w:rPr>
        <w:t>.</w:t>
      </w:r>
      <w:r>
        <w:rPr>
          <w:rFonts w:ascii="仿宋" w:hAnsi="仿宋" w:eastAsia="仿宋" w:cs="仿宋"/>
        </w:rPr>
        <w:t xml:space="preserve">7 </w:t>
      </w:r>
      <w:r>
        <w:rPr>
          <w:rFonts w:hint="eastAsia" w:ascii="仿宋" w:hAnsi="仿宋" w:eastAsia="仿宋" w:cs="仿宋"/>
        </w:rPr>
        <w:t>采用LED亮度高、不眩目的照明设施。</w:t>
      </w:r>
    </w:p>
    <w:p w14:paraId="40DA1F24">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.4.2</w:t>
      </w:r>
      <w:r>
        <w:rPr>
          <w:rFonts w:hint="eastAsia" w:ascii="仿宋" w:hAnsi="仿宋" w:eastAsia="仿宋" w:cs="仿宋"/>
        </w:rPr>
        <w:t>.</w:t>
      </w:r>
      <w:r>
        <w:rPr>
          <w:rFonts w:ascii="仿宋" w:hAnsi="仿宋" w:eastAsia="仿宋" w:cs="仿宋"/>
        </w:rPr>
        <w:t xml:space="preserve">8 </w:t>
      </w:r>
      <w:r>
        <w:rPr>
          <w:rFonts w:hint="eastAsia" w:ascii="仿宋" w:hAnsi="仿宋" w:eastAsia="仿宋" w:cs="仿宋"/>
        </w:rPr>
        <w:t>对有电子记忆功能的设备推荐合适的电池或不间断电源设备，以使电子记忆在无电情况下不被消除。</w:t>
      </w:r>
    </w:p>
    <w:p w14:paraId="224163F6">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.4.3</w:t>
      </w:r>
      <w:r>
        <w:rPr>
          <w:rFonts w:hint="eastAsia" w:ascii="仿宋" w:hAnsi="仿宋" w:eastAsia="仿宋" w:cs="仿宋"/>
          <w:lang w:val="en-US" w:eastAsia="zh-CN"/>
        </w:rPr>
        <w:t xml:space="preserve"> </w:t>
      </w:r>
      <w:r>
        <w:rPr>
          <w:rFonts w:hint="eastAsia" w:ascii="仿宋" w:hAnsi="仿宋" w:eastAsia="仿宋" w:cs="仿宋"/>
        </w:rPr>
        <w:t>设备液压系统主要配置：</w:t>
      </w:r>
    </w:p>
    <w:p w14:paraId="3FD16300">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.4.3</w:t>
      </w:r>
      <w:r>
        <w:rPr>
          <w:rFonts w:hint="eastAsia" w:ascii="仿宋" w:hAnsi="仿宋" w:eastAsia="仿宋" w:cs="仿宋"/>
        </w:rPr>
        <w:t>.1</w:t>
      </w:r>
      <w:r>
        <w:rPr>
          <w:rFonts w:hint="eastAsia" w:ascii="仿宋" w:hAnsi="仿宋" w:eastAsia="仿宋" w:cs="仿宋"/>
          <w:lang w:val="en-US" w:eastAsia="zh-CN"/>
        </w:rPr>
        <w:t xml:space="preserve"> </w:t>
      </w:r>
      <w:r>
        <w:rPr>
          <w:rFonts w:hint="eastAsia" w:ascii="仿宋" w:hAnsi="仿宋" w:eastAsia="仿宋" w:cs="仿宋"/>
        </w:rPr>
        <w:t>液压系统加装功率足够油冷机，具备油位、油温显示；油冷却机的吸油口应加装过滤器，过滤器的滤芯应便于清洗和更换；油冷机采用国际知名品牌；</w:t>
      </w:r>
    </w:p>
    <w:p w14:paraId="165E9201">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.4.3</w:t>
      </w:r>
      <w:r>
        <w:rPr>
          <w:rFonts w:hint="eastAsia" w:ascii="仿宋" w:hAnsi="仿宋" w:eastAsia="仿宋" w:cs="仿宋"/>
        </w:rPr>
        <w:t>.</w:t>
      </w:r>
      <w:r>
        <w:rPr>
          <w:rFonts w:ascii="仿宋" w:hAnsi="仿宋" w:eastAsia="仿宋" w:cs="仿宋"/>
        </w:rPr>
        <w:t>2</w:t>
      </w:r>
      <w:r>
        <w:rPr>
          <w:rFonts w:hint="eastAsia" w:ascii="仿宋" w:hAnsi="仿宋" w:eastAsia="仿宋" w:cs="仿宋"/>
          <w:lang w:val="en-US" w:eastAsia="zh-CN"/>
        </w:rPr>
        <w:t xml:space="preserve"> </w:t>
      </w:r>
      <w:r>
        <w:rPr>
          <w:rFonts w:hint="eastAsia" w:ascii="仿宋" w:hAnsi="仿宋" w:eastAsia="仿宋" w:cs="仿宋"/>
        </w:rPr>
        <w:t>液压阀采用叠加式，采用国际知名品牌；</w:t>
      </w:r>
    </w:p>
    <w:p w14:paraId="3331B3E5">
      <w:pPr>
        <w:pStyle w:val="16"/>
        <w:snapToGrid w:val="0"/>
        <w:spacing w:line="360" w:lineRule="auto"/>
        <w:ind w:firstLine="480" w:firstLineChars="200"/>
        <w:rPr>
          <w:rFonts w:ascii="仿宋" w:hAnsi="仿宋" w:eastAsia="仿宋" w:cs="仿宋"/>
        </w:rPr>
      </w:pPr>
      <w:r>
        <w:rPr>
          <w:rFonts w:hint="eastAsia" w:ascii="仿宋" w:hAnsi="仿宋" w:eastAsia="仿宋" w:cs="仿宋"/>
        </w:rPr>
        <w:t>3</w:t>
      </w:r>
      <w:r>
        <w:rPr>
          <w:rFonts w:ascii="仿宋" w:hAnsi="仿宋" w:eastAsia="仿宋" w:cs="仿宋"/>
        </w:rPr>
        <w:t>.4.3</w:t>
      </w:r>
      <w:r>
        <w:rPr>
          <w:rFonts w:hint="eastAsia" w:ascii="仿宋" w:hAnsi="仿宋" w:eastAsia="仿宋" w:cs="仿宋"/>
        </w:rPr>
        <w:t>.</w:t>
      </w:r>
      <w:r>
        <w:rPr>
          <w:rFonts w:ascii="仿宋" w:hAnsi="仿宋" w:eastAsia="仿宋" w:cs="仿宋"/>
        </w:rPr>
        <w:t>3</w:t>
      </w:r>
      <w:r>
        <w:rPr>
          <w:rFonts w:hint="eastAsia" w:ascii="仿宋" w:hAnsi="仿宋" w:eastAsia="仿宋" w:cs="仿宋"/>
          <w:lang w:val="en-US" w:eastAsia="zh-CN"/>
        </w:rPr>
        <w:t xml:space="preserve"> </w:t>
      </w:r>
      <w:r>
        <w:rPr>
          <w:rFonts w:hint="eastAsia" w:ascii="仿宋" w:hAnsi="仿宋" w:eastAsia="仿宋" w:cs="仿宋"/>
        </w:rPr>
        <w:t>液压系统全部采用选用知名产密封件；</w:t>
      </w:r>
    </w:p>
    <w:p w14:paraId="7A0B0F71">
      <w:pPr>
        <w:pStyle w:val="16"/>
        <w:snapToGrid w:val="0"/>
        <w:spacing w:line="360" w:lineRule="auto"/>
        <w:ind w:firstLine="480" w:firstLineChars="200"/>
        <w:rPr>
          <w:rFonts w:ascii="仿宋" w:hAnsi="仿宋" w:eastAsia="仿宋" w:cs="仿宋"/>
        </w:rPr>
      </w:pPr>
      <w:r>
        <w:rPr>
          <w:rFonts w:hint="eastAsia" w:ascii="仿宋" w:hAnsi="仿宋" w:eastAsia="仿宋" w:cs="仿宋"/>
        </w:rPr>
        <w:t>3.4.</w:t>
      </w:r>
      <w:r>
        <w:rPr>
          <w:rFonts w:ascii="仿宋" w:hAnsi="仿宋" w:eastAsia="仿宋" w:cs="仿宋"/>
        </w:rPr>
        <w:t>3</w:t>
      </w:r>
      <w:r>
        <w:rPr>
          <w:rFonts w:hint="eastAsia" w:ascii="仿宋" w:hAnsi="仿宋" w:eastAsia="仿宋" w:cs="仿宋"/>
        </w:rPr>
        <w:t>.</w:t>
      </w:r>
      <w:r>
        <w:rPr>
          <w:rFonts w:ascii="仿宋" w:hAnsi="仿宋" w:eastAsia="仿宋" w:cs="仿宋"/>
        </w:rPr>
        <w:t>4</w:t>
      </w:r>
      <w:r>
        <w:rPr>
          <w:rFonts w:hint="eastAsia" w:ascii="仿宋" w:hAnsi="仿宋" w:eastAsia="仿宋" w:cs="仿宋"/>
          <w:lang w:val="en-US" w:eastAsia="zh-CN"/>
        </w:rPr>
        <w:t xml:space="preserve"> </w:t>
      </w:r>
      <w:r>
        <w:rPr>
          <w:rFonts w:hint="eastAsia" w:ascii="仿宋" w:hAnsi="仿宋" w:eastAsia="仿宋" w:cs="仿宋"/>
        </w:rPr>
        <w:t>具备液压失压保护、报警装置；</w:t>
      </w:r>
    </w:p>
    <w:p w14:paraId="32BCF1F2">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3</w:t>
      </w:r>
      <w:r>
        <w:rPr>
          <w:rFonts w:ascii="仿宋" w:hAnsi="仿宋" w:eastAsia="仿宋" w:cs="仿宋"/>
          <w:highlight w:val="none"/>
        </w:rPr>
        <w:t>.4.4</w:t>
      </w:r>
      <w:r>
        <w:rPr>
          <w:rFonts w:hint="eastAsia" w:ascii="仿宋" w:hAnsi="仿宋" w:eastAsia="仿宋" w:cs="仿宋"/>
          <w:highlight w:val="none"/>
          <w:lang w:val="en-US" w:eastAsia="zh-CN"/>
        </w:rPr>
        <w:t xml:space="preserve"> </w:t>
      </w:r>
      <w:r>
        <w:rPr>
          <w:rFonts w:hint="eastAsia" w:ascii="仿宋" w:hAnsi="仿宋" w:eastAsia="仿宋" w:cs="仿宋"/>
          <w:highlight w:val="none"/>
        </w:rPr>
        <w:t>控制系统</w:t>
      </w:r>
    </w:p>
    <w:p w14:paraId="7E4CCC30">
      <w:pPr>
        <w:pStyle w:val="16"/>
        <w:snapToGrid w:val="0"/>
        <w:spacing w:line="360" w:lineRule="auto"/>
        <w:ind w:firstLine="480" w:firstLineChars="200"/>
        <w:rPr>
          <w:rFonts w:hint="eastAsia" w:ascii="仿宋" w:hAnsi="仿宋" w:eastAsia="仿宋" w:cs="仿宋"/>
          <w:highlight w:val="none"/>
        </w:rPr>
      </w:pPr>
      <w:r>
        <w:rPr>
          <w:rFonts w:hint="eastAsia" w:ascii="仿宋" w:hAnsi="仿宋" w:eastAsia="仿宋" w:cs="仿宋"/>
        </w:rPr>
        <w:t>3</w:t>
      </w:r>
      <w:r>
        <w:rPr>
          <w:rFonts w:ascii="仿宋" w:hAnsi="仿宋" w:eastAsia="仿宋" w:cs="仿宋"/>
        </w:rPr>
        <w:t>.4.4.1</w:t>
      </w:r>
      <w:r>
        <w:rPr>
          <w:rFonts w:hint="eastAsia" w:ascii="仿宋" w:hAnsi="仿宋" w:eastAsia="仿宋" w:cs="仿宋"/>
          <w:lang w:val="en-US" w:eastAsia="zh-CN"/>
        </w:rPr>
        <w:t xml:space="preserve"> </w:t>
      </w:r>
      <w:r>
        <w:rPr>
          <w:rFonts w:hint="eastAsia" w:ascii="仿宋" w:hAnsi="仿宋" w:eastAsia="仿宋" w:cs="仿宋"/>
        </w:rPr>
        <w:t>控制系统具备简体中文显示的人机交互界面，应具备</w:t>
      </w:r>
      <w:r>
        <w:rPr>
          <w:rFonts w:hint="eastAsia" w:ascii="仿宋" w:hAnsi="仿宋" w:eastAsia="仿宋" w:cs="仿宋"/>
          <w:lang w:val="en-US" w:eastAsia="zh-CN"/>
        </w:rPr>
        <w:t>数据</w:t>
      </w:r>
      <w:r>
        <w:rPr>
          <w:rFonts w:hint="eastAsia" w:ascii="仿宋" w:hAnsi="仿宋" w:eastAsia="仿宋" w:cs="仿宋"/>
        </w:rPr>
        <w:t>自动采集、监控并显示、数据存储、</w:t>
      </w:r>
      <w:r>
        <w:rPr>
          <w:rFonts w:hint="eastAsia" w:ascii="仿宋" w:hAnsi="仿宋" w:eastAsia="仿宋" w:cs="仿宋"/>
          <w:lang w:val="en-US" w:eastAsia="zh-CN"/>
        </w:rPr>
        <w:t>历史</w:t>
      </w:r>
      <w:r>
        <w:rPr>
          <w:rFonts w:hint="eastAsia" w:ascii="仿宋" w:hAnsi="仿宋" w:eastAsia="仿宋" w:cs="仿宋"/>
        </w:rPr>
        <w:t>数据查询</w:t>
      </w:r>
      <w:r>
        <w:rPr>
          <w:rFonts w:hint="eastAsia" w:ascii="仿宋" w:hAnsi="仿宋" w:eastAsia="仿宋" w:cs="仿宋"/>
          <w:lang w:eastAsia="zh-CN"/>
        </w:rPr>
        <w:t>、</w:t>
      </w:r>
      <w:r>
        <w:rPr>
          <w:rFonts w:hint="eastAsia" w:ascii="仿宋" w:hAnsi="仿宋" w:eastAsia="仿宋" w:cs="仿宋"/>
        </w:rPr>
        <w:t>生产线（设备）运行状况及生产活动信息数据等</w:t>
      </w:r>
      <w:r>
        <w:rPr>
          <w:rFonts w:hint="eastAsia" w:ascii="仿宋" w:hAnsi="仿宋" w:eastAsia="仿宋" w:cs="仿宋"/>
          <w:highlight w:val="none"/>
        </w:rPr>
        <w:t>功能。生产线（设备）运行状况及生产活动信息数据不限于以下信息：生产状态统计、产品质量监控与统计、设备运行管控、程序管理等。</w:t>
      </w:r>
    </w:p>
    <w:p w14:paraId="43727B05">
      <w:pPr>
        <w:pStyle w:val="16"/>
        <w:snapToGrid w:val="0"/>
        <w:spacing w:line="360" w:lineRule="auto"/>
        <w:ind w:firstLine="480" w:firstLineChars="200"/>
        <w:rPr>
          <w:rFonts w:hint="eastAsia" w:ascii="仿宋" w:hAnsi="仿宋" w:eastAsia="仿宋" w:cs="仿宋"/>
          <w:highlight w:val="none"/>
        </w:rPr>
      </w:pPr>
      <w:r>
        <w:rPr>
          <w:rFonts w:hint="eastAsia" w:ascii="仿宋" w:hAnsi="仿宋" w:eastAsia="仿宋" w:cs="仿宋"/>
          <w:kern w:val="0"/>
          <w:sz w:val="24"/>
          <w:szCs w:val="24"/>
          <w:highlight w:val="none"/>
          <w:lang w:val="en-US" w:eastAsia="zh-CN" w:bidi="ar-SA"/>
        </w:rPr>
        <w:t>3.4.4.2</w:t>
      </w:r>
      <w:r>
        <w:rPr>
          <w:rFonts w:hint="eastAsia" w:ascii="仿宋" w:hAnsi="仿宋" w:eastAsia="仿宋" w:cs="仿宋"/>
          <w:highlight w:val="none"/>
          <w:lang w:val="en-US" w:eastAsia="zh-CN"/>
        </w:rPr>
        <w:t>投标方免费提供数据交互功能，交互数据包括但不限于实时数据、历史数据、报警信息等。</w:t>
      </w:r>
    </w:p>
    <w:p w14:paraId="5FDBE27F">
      <w:pPr>
        <w:pStyle w:val="16"/>
        <w:snapToGrid w:val="0"/>
        <w:spacing w:line="360" w:lineRule="auto"/>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3.4.4.3 控制系统须具有相应的以太网、总线等通讯接口，且免费开放所有通讯接口，</w:t>
      </w:r>
      <w:r>
        <w:rPr>
          <w:rFonts w:hint="eastAsia" w:ascii="仿宋" w:hAnsi="仿宋" w:eastAsia="仿宋" w:cs="仿宋"/>
          <w:highlight w:val="none"/>
        </w:rPr>
        <w:t>提供系统涉及所有通信协议</w:t>
      </w:r>
      <w:r>
        <w:rPr>
          <w:rFonts w:hint="eastAsia" w:ascii="仿宋" w:hAnsi="仿宋" w:eastAsia="仿宋" w:cs="仿宋"/>
          <w:highlight w:val="none"/>
          <w:lang w:eastAsia="zh-CN"/>
        </w:rPr>
        <w:t>，</w:t>
      </w:r>
      <w:r>
        <w:rPr>
          <w:rFonts w:hint="eastAsia" w:ascii="仿宋" w:hAnsi="仿宋" w:eastAsia="仿宋" w:cs="仿宋"/>
          <w:kern w:val="0"/>
          <w:sz w:val="24"/>
          <w:szCs w:val="24"/>
          <w:highlight w:val="none"/>
          <w:lang w:val="en-US" w:eastAsia="zh-CN" w:bidi="ar-SA"/>
        </w:rPr>
        <w:t>包括但不限于以太网、RS232、RS485、PROFIBUS、PROFINET、MODBUS 等常见接口，以及设备特有的专用接口</w:t>
      </w:r>
      <w:r>
        <w:rPr>
          <w:rFonts w:hint="eastAsia" w:ascii="仿宋" w:hAnsi="仿宋" w:eastAsia="仿宋" w:cs="仿宋"/>
          <w:highlight w:val="none"/>
          <w:lang w:eastAsia="zh-CN"/>
        </w:rPr>
        <w:t>。</w:t>
      </w:r>
    </w:p>
    <w:p w14:paraId="1913FA1B">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3</w:t>
      </w:r>
      <w:r>
        <w:rPr>
          <w:rFonts w:ascii="仿宋" w:hAnsi="仿宋" w:eastAsia="仿宋" w:cs="仿宋"/>
          <w:highlight w:val="none"/>
        </w:rPr>
        <w:t>.4.4.</w:t>
      </w:r>
      <w:r>
        <w:rPr>
          <w:rFonts w:hint="eastAsia" w:ascii="仿宋" w:hAnsi="仿宋" w:eastAsia="仿宋" w:cs="仿宋"/>
          <w:highlight w:val="none"/>
          <w:lang w:val="en-US" w:eastAsia="zh-CN"/>
        </w:rPr>
        <w:t xml:space="preserve">4 </w:t>
      </w:r>
      <w:r>
        <w:rPr>
          <w:rFonts w:hint="eastAsia" w:ascii="仿宋" w:hAnsi="仿宋" w:eastAsia="仿宋" w:cs="仿宋"/>
          <w:highlight w:val="none"/>
        </w:rPr>
        <w:t>控制系统具备自动、调试、手动功能模式。</w:t>
      </w:r>
    </w:p>
    <w:p w14:paraId="02DF8770">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3</w:t>
      </w:r>
      <w:r>
        <w:rPr>
          <w:rFonts w:ascii="仿宋" w:hAnsi="仿宋" w:eastAsia="仿宋" w:cs="仿宋"/>
          <w:highlight w:val="none"/>
        </w:rPr>
        <w:t>.4.4.</w:t>
      </w:r>
      <w:r>
        <w:rPr>
          <w:rFonts w:hint="eastAsia" w:ascii="仿宋" w:hAnsi="仿宋" w:eastAsia="仿宋" w:cs="仿宋"/>
          <w:highlight w:val="none"/>
          <w:lang w:val="en-US" w:eastAsia="zh-CN"/>
        </w:rPr>
        <w:t>5 投标方</w:t>
      </w:r>
      <w:r>
        <w:rPr>
          <w:rFonts w:ascii="仿宋" w:hAnsi="仿宋" w:eastAsia="仿宋" w:cs="仿宋"/>
          <w:highlight w:val="none"/>
          <w:lang w:val="en-US" w:eastAsia="zh-CN"/>
        </w:rPr>
        <w:t>必须提供所有设备程序的源代码，包括但不限于 PLC</w:t>
      </w:r>
      <w:r>
        <w:rPr>
          <w:rFonts w:hint="eastAsia" w:ascii="仿宋" w:hAnsi="仿宋" w:eastAsia="仿宋" w:cs="仿宋"/>
          <w:highlight w:val="none"/>
          <w:lang w:val="en-US" w:eastAsia="zh-CN"/>
        </w:rPr>
        <w:t>程序、HMI 程序、机器人程序、视觉程序、伺服等。</w:t>
      </w:r>
    </w:p>
    <w:p w14:paraId="4428A266">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3</w:t>
      </w:r>
      <w:r>
        <w:rPr>
          <w:rFonts w:ascii="仿宋" w:hAnsi="仿宋" w:eastAsia="仿宋" w:cs="仿宋"/>
          <w:highlight w:val="none"/>
        </w:rPr>
        <w:t>.4.4.</w:t>
      </w:r>
      <w:r>
        <w:rPr>
          <w:rFonts w:hint="eastAsia" w:ascii="仿宋" w:hAnsi="仿宋" w:eastAsia="仿宋" w:cs="仿宋"/>
          <w:highlight w:val="none"/>
          <w:lang w:val="en-US" w:eastAsia="zh-CN"/>
        </w:rPr>
        <w:t>6</w:t>
      </w:r>
      <w:r>
        <w:rPr>
          <w:rFonts w:ascii="仿宋" w:hAnsi="仿宋" w:eastAsia="仿宋" w:cs="仿宋"/>
          <w:highlight w:val="none"/>
          <w:lang w:val="en-US" w:eastAsia="zh-CN"/>
        </w:rPr>
        <w:t xml:space="preserve"> </w:t>
      </w:r>
      <w:r>
        <w:rPr>
          <w:rFonts w:hint="eastAsia" w:ascii="仿宋" w:hAnsi="仿宋" w:eastAsia="仿宋" w:cs="仿宋"/>
          <w:highlight w:val="none"/>
          <w:lang w:val="en-US" w:eastAsia="zh-CN"/>
        </w:rPr>
        <w:t>投标方</w:t>
      </w:r>
      <w:r>
        <w:rPr>
          <w:rFonts w:ascii="仿宋" w:hAnsi="仿宋" w:eastAsia="仿宋" w:cs="仿宋"/>
          <w:highlight w:val="none"/>
          <w:lang w:val="en-US" w:eastAsia="zh-CN"/>
        </w:rPr>
        <w:t>所提供的程序不得设置任何密码、保护等限制手段，</w:t>
      </w:r>
      <w:r>
        <w:rPr>
          <w:rFonts w:hint="eastAsia" w:ascii="仿宋" w:hAnsi="仿宋" w:eastAsia="仿宋" w:cs="仿宋"/>
          <w:highlight w:val="none"/>
          <w:lang w:val="en-US" w:eastAsia="zh-CN"/>
        </w:rPr>
        <w:t>PLC 不得设置修改下载权限，功能块不得设置密码保护。HMI界面等需要密码保护的程序，投标方必须提供所有级别的用户名、密码。</w:t>
      </w:r>
    </w:p>
    <w:p w14:paraId="16F23DEB">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3</w:t>
      </w:r>
      <w:r>
        <w:rPr>
          <w:rFonts w:ascii="仿宋" w:hAnsi="仿宋" w:eastAsia="仿宋" w:cs="仿宋"/>
          <w:highlight w:val="none"/>
        </w:rPr>
        <w:t>.4.4.</w:t>
      </w:r>
      <w:r>
        <w:rPr>
          <w:rFonts w:hint="eastAsia" w:ascii="仿宋" w:hAnsi="仿宋" w:eastAsia="仿宋" w:cs="仿宋"/>
          <w:highlight w:val="none"/>
          <w:lang w:val="en-US" w:eastAsia="zh-CN"/>
        </w:rPr>
        <w:t>7 投标方需在设备入场前提供设备程序源码，HMI 界面各级用户名和密码，并保证与现场程序一致。</w:t>
      </w:r>
    </w:p>
    <w:p w14:paraId="53416D0C">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3</w:t>
      </w:r>
      <w:r>
        <w:rPr>
          <w:rFonts w:ascii="仿宋" w:hAnsi="仿宋" w:eastAsia="仿宋" w:cs="仿宋"/>
          <w:highlight w:val="none"/>
        </w:rPr>
        <w:t>.4.4.</w:t>
      </w:r>
      <w:r>
        <w:rPr>
          <w:rFonts w:hint="eastAsia" w:ascii="仿宋" w:hAnsi="仿宋" w:eastAsia="仿宋" w:cs="仿宋"/>
          <w:highlight w:val="none"/>
          <w:lang w:val="en-US" w:eastAsia="zh-CN"/>
        </w:rPr>
        <w:t>8 投标方需在终验收前提供最新的设备程序源码和电气图纸，图纸要求为可编辑原格式（EPLAN、CAD 格式）且与实际接线一致。</w:t>
      </w:r>
    </w:p>
    <w:p w14:paraId="58FFEFEE">
      <w:pPr>
        <w:pStyle w:val="16"/>
        <w:snapToGrid w:val="0"/>
        <w:spacing w:line="360" w:lineRule="auto"/>
        <w:ind w:firstLine="480" w:firstLineChars="200"/>
        <w:rPr>
          <w:rFonts w:hint="eastAsia" w:ascii="仿宋" w:hAnsi="仿宋" w:eastAsia="仿宋" w:cs="仿宋"/>
          <w:highlight w:val="none"/>
        </w:rPr>
      </w:pPr>
      <w:r>
        <w:rPr>
          <w:rFonts w:hint="eastAsia" w:ascii="仿宋" w:hAnsi="仿宋" w:eastAsia="仿宋" w:cs="仿宋"/>
          <w:highlight w:val="none"/>
        </w:rPr>
        <w:t>3</w:t>
      </w:r>
      <w:r>
        <w:rPr>
          <w:rFonts w:ascii="仿宋" w:hAnsi="仿宋" w:eastAsia="仿宋" w:cs="仿宋"/>
          <w:highlight w:val="none"/>
        </w:rPr>
        <w:t>.4.4.</w:t>
      </w:r>
      <w:r>
        <w:rPr>
          <w:rFonts w:hint="eastAsia" w:ascii="仿宋" w:hAnsi="仿宋" w:eastAsia="仿宋" w:cs="仿宋"/>
          <w:highlight w:val="none"/>
          <w:lang w:val="en-US" w:eastAsia="zh-CN"/>
        </w:rPr>
        <w:t xml:space="preserve">9 </w:t>
      </w:r>
      <w:r>
        <w:rPr>
          <w:rFonts w:hint="eastAsia" w:ascii="仿宋" w:hAnsi="仿宋" w:eastAsia="仿宋" w:cs="仿宋"/>
          <w:highlight w:val="none"/>
        </w:rPr>
        <w:t>投标方提供系统恢复盘（备份），在系统出现故障需要重装系统时，保证招标方自主重装系统后，控制系统能后恢复到投标方调试完成最终交付时的状态。</w:t>
      </w:r>
    </w:p>
    <w:p w14:paraId="3EA03C37">
      <w:pPr>
        <w:pStyle w:val="16"/>
        <w:snapToGrid w:val="0"/>
        <w:spacing w:line="360" w:lineRule="auto"/>
        <w:ind w:firstLine="480" w:firstLineChars="200"/>
        <w:rPr>
          <w:rFonts w:hint="default" w:ascii="仿宋" w:hAnsi="仿宋" w:eastAsia="仿宋" w:cs="仿宋"/>
          <w:highlight w:val="none"/>
          <w:lang w:val="en-US"/>
        </w:rPr>
      </w:pPr>
      <w:r>
        <w:rPr>
          <w:rFonts w:hint="eastAsia" w:ascii="仿宋" w:hAnsi="仿宋" w:eastAsia="仿宋" w:cs="仿宋"/>
          <w:highlight w:val="none"/>
        </w:rPr>
        <w:t>3.4.4.</w:t>
      </w:r>
      <w:r>
        <w:rPr>
          <w:rFonts w:hint="eastAsia" w:ascii="仿宋" w:hAnsi="仿宋" w:eastAsia="仿宋" w:cs="仿宋"/>
          <w:highlight w:val="none"/>
          <w:lang w:val="en-US" w:eastAsia="zh-CN"/>
        </w:rPr>
        <w:t>10 项目若包含在线监控或 MES 系统，所属 MES 系统均应将所提取数据传输至重汽 IOT 平台,并由I0T 平台再传输至厂家 MES系统内。</w:t>
      </w:r>
    </w:p>
    <w:p w14:paraId="7A197D2B">
      <w:pPr>
        <w:pStyle w:val="16"/>
        <w:snapToGrid w:val="0"/>
        <w:spacing w:line="360" w:lineRule="auto"/>
        <w:ind w:firstLine="480" w:firstLineChars="200"/>
        <w:rPr>
          <w:rFonts w:hint="eastAsia" w:ascii="仿宋" w:hAnsi="仿宋" w:eastAsia="仿宋" w:cs="仿宋"/>
          <w:highlight w:val="none"/>
          <w:lang w:val="en-US" w:eastAsia="zh-CN"/>
        </w:rPr>
      </w:pPr>
      <w:bookmarkStart w:id="321" w:name="_Toc22074"/>
      <w:bookmarkStart w:id="322" w:name="_Toc32414"/>
      <w:bookmarkStart w:id="323" w:name="_Toc1066"/>
      <w:bookmarkStart w:id="324" w:name="_Toc16640"/>
      <w:bookmarkStart w:id="325" w:name="_Toc9566"/>
      <w:bookmarkStart w:id="326" w:name="_Toc8241"/>
      <w:bookmarkStart w:id="327" w:name="_Toc21361"/>
      <w:bookmarkStart w:id="328" w:name="_Toc18771"/>
      <w:bookmarkStart w:id="329" w:name="_Toc28939"/>
      <w:bookmarkStart w:id="330" w:name="_Toc25559"/>
      <w:bookmarkStart w:id="331" w:name="_Toc2308"/>
      <w:r>
        <w:rPr>
          <w:rFonts w:hint="eastAsia" w:ascii="仿宋" w:hAnsi="仿宋" w:eastAsia="仿宋" w:cs="仿宋"/>
          <w:highlight w:val="none"/>
        </w:rPr>
        <w:t>3.5</w:t>
      </w:r>
      <w:r>
        <w:rPr>
          <w:rFonts w:hint="eastAsia" w:ascii="仿宋" w:hAnsi="仿宋" w:eastAsia="仿宋" w:cs="仿宋"/>
          <w:highlight w:val="none"/>
          <w:lang w:val="en-US" w:eastAsia="zh-CN"/>
        </w:rPr>
        <w:t>工器具</w:t>
      </w:r>
      <w:r>
        <w:rPr>
          <w:rFonts w:hint="eastAsia" w:ascii="仿宋" w:hAnsi="仿宋" w:eastAsia="仿宋" w:cs="仿宋"/>
          <w:highlight w:val="none"/>
        </w:rPr>
        <w:t>要求</w:t>
      </w:r>
      <w:bookmarkEnd w:id="321"/>
      <w:bookmarkEnd w:id="322"/>
      <w:bookmarkEnd w:id="323"/>
      <w:bookmarkEnd w:id="324"/>
      <w:bookmarkEnd w:id="325"/>
      <w:bookmarkEnd w:id="326"/>
      <w:bookmarkEnd w:id="327"/>
      <w:bookmarkEnd w:id="328"/>
      <w:bookmarkEnd w:id="329"/>
      <w:bookmarkEnd w:id="330"/>
      <w:bookmarkEnd w:id="331"/>
    </w:p>
    <w:p w14:paraId="77DDA995">
      <w:pPr>
        <w:pStyle w:val="16"/>
        <w:snapToGrid w:val="0"/>
        <w:spacing w:line="360" w:lineRule="auto"/>
        <w:ind w:firstLine="480" w:firstLineChars="200"/>
        <w:rPr>
          <w:rFonts w:hint="default" w:ascii="仿宋" w:hAnsi="仿宋" w:eastAsia="仿宋" w:cs="仿宋"/>
          <w:highlight w:val="none"/>
          <w:lang w:val="en-US" w:eastAsia="zh-CN"/>
        </w:rPr>
      </w:pPr>
      <w:bookmarkStart w:id="332" w:name="_Toc32598"/>
      <w:bookmarkStart w:id="333" w:name="_Toc6136"/>
      <w:bookmarkStart w:id="334" w:name="_Toc20611"/>
      <w:bookmarkStart w:id="335" w:name="_Toc20368"/>
      <w:bookmarkStart w:id="336" w:name="_Toc15181"/>
      <w:bookmarkStart w:id="337" w:name="_Toc16996"/>
      <w:bookmarkStart w:id="338" w:name="_Toc13942"/>
      <w:bookmarkStart w:id="339" w:name="_Toc2985"/>
      <w:bookmarkStart w:id="340" w:name="_Toc11183"/>
      <w:bookmarkStart w:id="341" w:name="_Toc6345"/>
      <w:bookmarkStart w:id="342" w:name="_Toc24889"/>
      <w:r>
        <w:rPr>
          <w:rFonts w:hint="eastAsia" w:ascii="仿宋" w:hAnsi="仿宋" w:eastAsia="仿宋" w:cs="仿宋"/>
          <w:highlight w:val="none"/>
          <w:lang w:val="en-US" w:eastAsia="zh-CN"/>
        </w:rPr>
        <w:t xml:space="preserve">设备附带各系列产品换型工装，压装机构设计制作设备压头及连接工装。工装要求定位精准，硬度达标，设计单套换型时间不高于30s。工装、夹具、工具由厂家提供且必须提供两套。提供各设备易损备件清单（包含规格型号）及非标易损件件图纸。 </w:t>
      </w:r>
    </w:p>
    <w:p w14:paraId="32CBA448">
      <w:pPr>
        <w:pStyle w:val="16"/>
        <w:snapToGrid w:val="0"/>
        <w:spacing w:line="360" w:lineRule="auto"/>
        <w:ind w:firstLine="480" w:firstLineChars="200"/>
        <w:rPr>
          <w:rFonts w:hint="eastAsia" w:ascii="仿宋" w:hAnsi="仿宋" w:eastAsia="仿宋" w:cs="仿宋"/>
          <w:lang w:eastAsia="zh-CN"/>
        </w:rPr>
      </w:pPr>
      <w:r>
        <w:rPr>
          <w:rFonts w:hint="eastAsia" w:ascii="仿宋" w:hAnsi="仿宋" w:eastAsia="仿宋" w:cs="仿宋"/>
          <w:highlight w:val="none"/>
        </w:rPr>
        <w:t>3.6</w:t>
      </w:r>
      <w:bookmarkEnd w:id="332"/>
      <w:bookmarkEnd w:id="333"/>
      <w:bookmarkEnd w:id="334"/>
      <w:bookmarkEnd w:id="335"/>
      <w:bookmarkEnd w:id="336"/>
      <w:bookmarkEnd w:id="337"/>
      <w:bookmarkEnd w:id="338"/>
      <w:bookmarkEnd w:id="339"/>
      <w:bookmarkEnd w:id="340"/>
      <w:bookmarkEnd w:id="341"/>
      <w:bookmarkEnd w:id="342"/>
      <w:r>
        <w:rPr>
          <w:rFonts w:hint="eastAsia" w:ascii="仿宋" w:hAnsi="仿宋" w:eastAsia="仿宋" w:cs="仿宋"/>
          <w:highlight w:val="none"/>
        </w:rPr>
        <w:t>本项目</w:t>
      </w:r>
      <w:r>
        <w:rPr>
          <w:rFonts w:hint="eastAsia" w:ascii="仿宋" w:hAnsi="仿宋" w:eastAsia="仿宋" w:cs="仿宋"/>
          <w:highlight w:val="none"/>
          <w:lang w:val="en-US" w:eastAsia="zh-CN"/>
        </w:rPr>
        <w:t>供货及</w:t>
      </w:r>
      <w:r>
        <w:rPr>
          <w:rFonts w:hint="eastAsia" w:ascii="仿宋" w:hAnsi="仿宋" w:eastAsia="仿宋" w:cs="仿宋"/>
          <w:highlight w:val="none"/>
        </w:rPr>
        <w:t>品牌</w:t>
      </w:r>
      <w:r>
        <w:rPr>
          <w:rFonts w:hint="eastAsia" w:ascii="仿宋" w:hAnsi="仿宋" w:eastAsia="仿宋" w:cs="仿宋"/>
          <w:highlight w:val="none"/>
          <w:lang w:val="en-US" w:eastAsia="zh-CN"/>
        </w:rPr>
        <w:t>要求</w:t>
      </w:r>
    </w:p>
    <w:p w14:paraId="6BDD3BA8">
      <w:pPr>
        <w:pStyle w:val="16"/>
        <w:numPr>
          <w:ilvl w:val="0"/>
          <w:numId w:val="0"/>
        </w:numPr>
        <w:snapToGrid w:val="0"/>
        <w:spacing w:line="360" w:lineRule="auto"/>
        <w:ind w:firstLine="480" w:firstLineChars="200"/>
        <w:rPr>
          <w:rFonts w:hint="eastAsia" w:ascii="仿宋" w:hAnsi="仿宋" w:eastAsia="仿宋" w:cs="仿宋"/>
          <w:highlight w:val="none"/>
          <w:lang w:val="en-US" w:eastAsia="zh-CN"/>
        </w:rPr>
      </w:pPr>
      <w:r>
        <w:rPr>
          <w:rFonts w:hint="eastAsia" w:ascii="仿宋" w:hAnsi="仿宋" w:eastAsia="仿宋" w:cs="仿宋"/>
          <w:highlight w:val="none"/>
          <w:lang w:val="en-US" w:eastAsia="zh-CN"/>
        </w:rPr>
        <w:t>3.6.1 未注明国产或进口的元件均按进口元件选定；</w:t>
      </w:r>
    </w:p>
    <w:p w14:paraId="68660444">
      <w:pPr>
        <w:pStyle w:val="16"/>
        <w:numPr>
          <w:ilvl w:val="0"/>
          <w:numId w:val="0"/>
        </w:numPr>
        <w:snapToGrid w:val="0"/>
        <w:spacing w:line="360" w:lineRule="auto"/>
        <w:ind w:firstLine="480" w:firstLineChars="200"/>
        <w:rPr>
          <w:rFonts w:hint="eastAsia" w:ascii="仿宋" w:hAnsi="仿宋" w:eastAsia="仿宋" w:cs="仿宋"/>
          <w:highlight w:val="none"/>
          <w:lang w:val="en-US" w:eastAsia="zh-CN"/>
        </w:rPr>
      </w:pPr>
      <w:r>
        <w:rPr>
          <w:rFonts w:hint="eastAsia" w:ascii="仿宋" w:hAnsi="仿宋" w:eastAsia="仿宋" w:cs="仿宋"/>
          <w:highlight w:val="none"/>
          <w:lang w:val="en-US" w:eastAsia="zh-CN"/>
        </w:rPr>
        <w:t>3.6.2 出现不能满足附表选型时，应与招标方进行协商，必须取得招标方的批准；</w:t>
      </w:r>
    </w:p>
    <w:p w14:paraId="44348842">
      <w:pPr>
        <w:pStyle w:val="16"/>
        <w:numPr>
          <w:ilvl w:val="0"/>
          <w:numId w:val="0"/>
        </w:numPr>
        <w:snapToGrid w:val="0"/>
        <w:spacing w:line="360" w:lineRule="auto"/>
        <w:ind w:firstLine="480" w:firstLineChars="200"/>
        <w:rPr>
          <w:rFonts w:hint="eastAsia" w:ascii="仿宋" w:hAnsi="仿宋" w:eastAsia="仿宋" w:cs="仿宋"/>
          <w:highlight w:val="none"/>
          <w:lang w:val="en-US" w:eastAsia="zh-CN"/>
        </w:rPr>
      </w:pPr>
      <w:r>
        <w:rPr>
          <w:rFonts w:hint="eastAsia" w:ascii="仿宋" w:hAnsi="仿宋" w:eastAsia="仿宋" w:cs="仿宋"/>
          <w:highlight w:val="none"/>
          <w:lang w:val="en-US" w:eastAsia="zh-CN"/>
        </w:rPr>
        <w:t>3.6.3 所有电气零部件保护等级须符合IEC：IP-54以上，如工艺要求更高的防护以实际工艺要求为准。</w:t>
      </w:r>
    </w:p>
    <w:p w14:paraId="6EDDC6A0">
      <w:pPr>
        <w:pStyle w:val="16"/>
        <w:snapToGrid w:val="0"/>
        <w:spacing w:line="360" w:lineRule="auto"/>
        <w:ind w:firstLine="480" w:firstLineChars="200"/>
        <w:rPr>
          <w:rFonts w:hint="eastAsia" w:ascii="仿宋" w:hAnsi="仿宋" w:eastAsia="仿宋" w:cs="仿宋"/>
        </w:rPr>
      </w:pPr>
      <w:r>
        <w:rPr>
          <w:rFonts w:hint="eastAsia" w:ascii="仿宋" w:hAnsi="仿宋" w:eastAsia="仿宋" w:cs="仿宋"/>
        </w:rPr>
        <w:t>3.7其它主要要求</w:t>
      </w:r>
    </w:p>
    <w:p w14:paraId="3CDEA924">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3.7.</w:t>
      </w:r>
      <w:r>
        <w:rPr>
          <w:rFonts w:hint="eastAsia" w:ascii="仿宋" w:hAnsi="仿宋" w:eastAsia="仿宋" w:cs="仿宋"/>
          <w:highlight w:val="none"/>
          <w:lang w:val="en-US" w:eastAsia="zh-CN"/>
        </w:rPr>
        <w:t xml:space="preserve">1 </w:t>
      </w:r>
      <w:r>
        <w:rPr>
          <w:rFonts w:hint="eastAsia" w:ascii="仿宋" w:hAnsi="仿宋" w:eastAsia="仿宋" w:cs="仿宋"/>
          <w:highlight w:val="none"/>
        </w:rPr>
        <w:t>安全及环保要求</w:t>
      </w:r>
    </w:p>
    <w:p w14:paraId="047D22FE">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3.7.</w:t>
      </w:r>
      <w:r>
        <w:rPr>
          <w:rFonts w:hint="eastAsia" w:ascii="仿宋" w:hAnsi="仿宋" w:eastAsia="仿宋" w:cs="仿宋"/>
          <w:highlight w:val="none"/>
          <w:lang w:val="en-US" w:eastAsia="zh-CN"/>
        </w:rPr>
        <w:t>1</w:t>
      </w:r>
      <w:r>
        <w:rPr>
          <w:rFonts w:hint="eastAsia" w:ascii="仿宋" w:hAnsi="仿宋" w:eastAsia="仿宋" w:cs="仿宋"/>
          <w:highlight w:val="none"/>
        </w:rPr>
        <w:t>.1投标方所供的货物（或生产线），必须符合中国最新版的安全</w:t>
      </w:r>
      <w:r>
        <w:rPr>
          <w:rFonts w:hint="eastAsia" w:ascii="仿宋" w:hAnsi="仿宋" w:eastAsia="仿宋" w:cs="仿宋"/>
          <w:highlight w:val="none"/>
          <w:lang w:eastAsia="zh-CN"/>
        </w:rPr>
        <w:t>、环保、消防及职业健康的</w:t>
      </w:r>
      <w:r>
        <w:rPr>
          <w:rFonts w:hint="eastAsia" w:ascii="仿宋" w:hAnsi="仿宋" w:eastAsia="仿宋" w:cs="仿宋"/>
          <w:highlight w:val="none"/>
        </w:rPr>
        <w:t>法律、法规要求，符合行业安全标准及项目所在地政府有关特殊要求。</w:t>
      </w:r>
    </w:p>
    <w:p w14:paraId="21430C2F">
      <w:pPr>
        <w:adjustRightInd w:val="0"/>
        <w:snapToGrid w:val="0"/>
        <w:spacing w:line="360" w:lineRule="auto"/>
        <w:ind w:firstLine="420" w:firstLineChars="200"/>
        <w:rPr>
          <w:rFonts w:ascii="仿宋" w:hAnsi="仿宋" w:eastAsia="仿宋" w:cs="仿宋"/>
          <w:highlight w:val="none"/>
        </w:rPr>
      </w:pPr>
      <w:r>
        <w:rPr>
          <w:rFonts w:hint="eastAsia" w:ascii="仿宋" w:hAnsi="仿宋" w:eastAsia="仿宋" w:cs="仿宋"/>
          <w:highlight w:val="none"/>
        </w:rPr>
        <w:t>3.7.</w:t>
      </w:r>
      <w:r>
        <w:rPr>
          <w:rFonts w:hint="eastAsia" w:ascii="仿宋" w:hAnsi="仿宋" w:eastAsia="仿宋" w:cs="仿宋"/>
          <w:highlight w:val="none"/>
          <w:lang w:val="en-US" w:eastAsia="zh-CN"/>
        </w:rPr>
        <w:t>1</w:t>
      </w:r>
      <w:r>
        <w:rPr>
          <w:rFonts w:hint="eastAsia" w:ascii="仿宋" w:hAnsi="仿宋" w:eastAsia="仿宋" w:cs="仿宋"/>
          <w:highlight w:val="none"/>
        </w:rPr>
        <w:t>.2 货物（或生产线）应完整且所有的零部件应该安装安全、牢固，外观无损伤，所有的焊缝饱满、无残渣等缺陷且符合国家及行业相关标准。</w:t>
      </w:r>
    </w:p>
    <w:p w14:paraId="17558862">
      <w:pPr>
        <w:snapToGrid w:val="0"/>
        <w:spacing w:line="360" w:lineRule="auto"/>
        <w:ind w:firstLine="420" w:firstLineChars="200"/>
        <w:jc w:val="left"/>
        <w:rPr>
          <w:rFonts w:ascii="仿宋" w:hAnsi="仿宋" w:eastAsia="仿宋" w:cs="仿宋"/>
        </w:rPr>
      </w:pPr>
      <w:r>
        <w:rPr>
          <w:rFonts w:hint="eastAsia" w:ascii="仿宋" w:hAnsi="仿宋" w:eastAsia="仿宋" w:cs="仿宋"/>
          <w:highlight w:val="none"/>
        </w:rPr>
        <w:t>3.7.</w:t>
      </w:r>
      <w:r>
        <w:rPr>
          <w:rFonts w:hint="eastAsia" w:ascii="仿宋" w:hAnsi="仿宋" w:eastAsia="仿宋" w:cs="仿宋"/>
          <w:highlight w:val="none"/>
          <w:lang w:val="en-US" w:eastAsia="zh-CN"/>
        </w:rPr>
        <w:t>1</w:t>
      </w:r>
      <w:r>
        <w:rPr>
          <w:rFonts w:hint="eastAsia" w:ascii="仿宋" w:hAnsi="仿宋" w:eastAsia="仿宋" w:cs="仿宋"/>
          <w:highlight w:val="none"/>
        </w:rPr>
        <w:t>.3 对生产线存在安全</w:t>
      </w:r>
      <w:r>
        <w:rPr>
          <w:rFonts w:hint="eastAsia" w:ascii="仿宋" w:hAnsi="仿宋" w:eastAsia="仿宋" w:cs="仿宋"/>
          <w:highlight w:val="none"/>
          <w:lang w:val="en-US" w:eastAsia="zh-CN"/>
        </w:rPr>
        <w:t>风险</w:t>
      </w:r>
      <w:r>
        <w:rPr>
          <w:rFonts w:hint="eastAsia" w:ascii="仿宋" w:hAnsi="仿宋" w:eastAsia="仿宋" w:cs="仿宋"/>
          <w:highlight w:val="none"/>
        </w:rPr>
        <w:t>的工位</w:t>
      </w:r>
      <w:r>
        <w:rPr>
          <w:rFonts w:hint="eastAsia" w:ascii="仿宋" w:hAnsi="仿宋" w:eastAsia="仿宋" w:cs="仿宋"/>
        </w:rPr>
        <w:t>必须采取安全措施，如：线体防护板、高温防护、光栅等。</w:t>
      </w:r>
    </w:p>
    <w:p w14:paraId="6B31DDDB">
      <w:pPr>
        <w:snapToGrid w:val="0"/>
        <w:spacing w:line="360" w:lineRule="auto"/>
        <w:ind w:firstLine="420" w:firstLineChars="200"/>
        <w:rPr>
          <w:rFonts w:hint="default" w:ascii="仿宋" w:hAnsi="仿宋" w:eastAsia="仿宋" w:cs="仿宋"/>
          <w:lang w:val="en-US" w:eastAsia="zh-CN"/>
        </w:rPr>
      </w:pPr>
      <w:r>
        <w:rPr>
          <w:rFonts w:hint="eastAsia" w:ascii="仿宋" w:hAnsi="仿宋" w:eastAsia="仿宋" w:cs="仿宋"/>
        </w:rPr>
        <w:t>3.7.</w:t>
      </w:r>
      <w:r>
        <w:rPr>
          <w:rFonts w:hint="eastAsia" w:ascii="仿宋" w:hAnsi="仿宋" w:eastAsia="仿宋" w:cs="仿宋"/>
          <w:lang w:val="en-US" w:eastAsia="zh-CN"/>
        </w:rPr>
        <w:t>1</w:t>
      </w:r>
      <w:r>
        <w:rPr>
          <w:rFonts w:hint="eastAsia" w:ascii="仿宋" w:hAnsi="仿宋" w:eastAsia="仿宋" w:cs="仿宋"/>
        </w:rPr>
        <w:t>.4 从安全生产的角度考虑各单元及工位应设有急停按钮，并有明显标识。</w:t>
      </w:r>
      <w:r>
        <w:rPr>
          <w:rFonts w:hint="eastAsia" w:ascii="仿宋" w:hAnsi="仿宋" w:eastAsia="仿宋" w:cs="仿宋"/>
          <w:lang w:val="en-US" w:eastAsia="zh-CN"/>
        </w:rPr>
        <w:t>压力设备应设有双手压装功能、安全光栅防护，并具备安全光栅触发下的保压能力。</w:t>
      </w:r>
    </w:p>
    <w:p w14:paraId="4BE61BE0">
      <w:pPr>
        <w:snapToGrid w:val="0"/>
        <w:spacing w:line="360" w:lineRule="auto"/>
        <w:ind w:firstLine="420" w:firstLineChars="200"/>
        <w:rPr>
          <w:rFonts w:ascii="仿宋" w:hAnsi="仿宋" w:eastAsia="仿宋" w:cs="仿宋"/>
          <w:highlight w:val="none"/>
        </w:rPr>
      </w:pPr>
      <w:r>
        <w:rPr>
          <w:rFonts w:hint="eastAsia" w:ascii="仿宋" w:hAnsi="仿宋" w:eastAsia="仿宋" w:cs="仿宋"/>
        </w:rPr>
        <w:t>3.7.</w:t>
      </w:r>
      <w:r>
        <w:rPr>
          <w:rFonts w:hint="eastAsia" w:ascii="仿宋" w:hAnsi="仿宋" w:eastAsia="仿宋" w:cs="仿宋"/>
          <w:lang w:val="en-US" w:eastAsia="zh-CN"/>
        </w:rPr>
        <w:t>1</w:t>
      </w:r>
      <w:r>
        <w:rPr>
          <w:rFonts w:hint="eastAsia" w:ascii="仿宋" w:hAnsi="仿宋" w:eastAsia="仿宋" w:cs="仿宋"/>
        </w:rPr>
        <w:t>.</w:t>
      </w:r>
      <w:r>
        <w:rPr>
          <w:rFonts w:ascii="仿宋" w:hAnsi="仿宋" w:eastAsia="仿宋" w:cs="仿宋"/>
        </w:rPr>
        <w:t>5</w:t>
      </w:r>
      <w:r>
        <w:rPr>
          <w:rFonts w:hint="eastAsia" w:ascii="仿宋" w:hAnsi="仿宋" w:eastAsia="仿宋" w:cs="仿宋"/>
        </w:rPr>
        <w:t xml:space="preserve"> 单元操作面板上有上电按钮和急停按钮，上</w:t>
      </w:r>
      <w:r>
        <w:rPr>
          <w:rFonts w:hint="eastAsia" w:ascii="仿宋" w:hAnsi="仿宋" w:eastAsia="仿宋" w:cs="仿宋"/>
          <w:highlight w:val="none"/>
        </w:rPr>
        <w:t>电后可对系统进行操作</w:t>
      </w:r>
      <w:r>
        <w:rPr>
          <w:rFonts w:hint="eastAsia" w:ascii="仿宋" w:hAnsi="仿宋" w:eastAsia="仿宋" w:cs="仿宋"/>
          <w:highlight w:val="none"/>
          <w:lang w:eastAsia="zh-CN"/>
        </w:rPr>
        <w:t>，</w:t>
      </w:r>
      <w:r>
        <w:rPr>
          <w:rFonts w:hint="eastAsia" w:ascii="仿宋" w:hAnsi="仿宋" w:eastAsia="仿宋" w:cs="仿宋"/>
          <w:highlight w:val="none"/>
          <w:lang w:val="en-US" w:eastAsia="zh-CN"/>
        </w:rPr>
        <w:t>急停按钮具备中文标识</w:t>
      </w:r>
      <w:r>
        <w:rPr>
          <w:rFonts w:hint="eastAsia" w:ascii="仿宋" w:hAnsi="仿宋" w:eastAsia="仿宋" w:cs="仿宋"/>
          <w:highlight w:val="none"/>
        </w:rPr>
        <w:t>。</w:t>
      </w:r>
    </w:p>
    <w:p w14:paraId="130583B3">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3.7.</w:t>
      </w:r>
      <w:r>
        <w:rPr>
          <w:rFonts w:hint="eastAsia" w:ascii="仿宋" w:hAnsi="仿宋" w:eastAsia="仿宋" w:cs="仿宋"/>
          <w:highlight w:val="none"/>
          <w:lang w:val="en-US" w:eastAsia="zh-CN"/>
        </w:rPr>
        <w:t>1</w:t>
      </w:r>
      <w:r>
        <w:rPr>
          <w:rFonts w:hint="eastAsia" w:ascii="仿宋" w:hAnsi="仿宋" w:eastAsia="仿宋" w:cs="仿宋"/>
          <w:highlight w:val="none"/>
        </w:rPr>
        <w:t>.</w:t>
      </w:r>
      <w:r>
        <w:rPr>
          <w:rFonts w:ascii="仿宋" w:hAnsi="仿宋" w:eastAsia="仿宋" w:cs="仿宋"/>
          <w:highlight w:val="none"/>
        </w:rPr>
        <w:t>6</w:t>
      </w:r>
      <w:r>
        <w:rPr>
          <w:rFonts w:hint="eastAsia" w:ascii="仿宋" w:hAnsi="仿宋" w:eastAsia="仿宋" w:cs="仿宋"/>
          <w:highlight w:val="none"/>
        </w:rPr>
        <w:t xml:space="preserve"> 所有电气安装和施工均应符合我国现行行业标准（规范）</w:t>
      </w:r>
      <w:r>
        <w:rPr>
          <w:rFonts w:hint="eastAsia" w:ascii="仿宋" w:hAnsi="仿宋" w:eastAsia="仿宋" w:cs="仿宋"/>
          <w:highlight w:val="none"/>
          <w:lang w:eastAsia="zh-CN"/>
        </w:rPr>
        <w:t>，电器柜需张贴当心触电警示标识</w:t>
      </w:r>
      <w:r>
        <w:rPr>
          <w:rFonts w:hint="eastAsia" w:ascii="仿宋" w:hAnsi="仿宋" w:eastAsia="仿宋" w:cs="仿宋"/>
          <w:highlight w:val="none"/>
        </w:rPr>
        <w:t>。</w:t>
      </w:r>
    </w:p>
    <w:p w14:paraId="144BA6ED">
      <w:pPr>
        <w:snapToGrid w:val="0"/>
        <w:spacing w:line="360" w:lineRule="auto"/>
        <w:ind w:firstLine="420" w:firstLineChars="200"/>
        <w:rPr>
          <w:rFonts w:ascii="仿宋" w:hAnsi="仿宋" w:eastAsia="仿宋" w:cs="仿宋"/>
        </w:rPr>
      </w:pPr>
      <w:r>
        <w:rPr>
          <w:rFonts w:hint="eastAsia" w:ascii="仿宋" w:hAnsi="仿宋" w:eastAsia="仿宋" w:cs="仿宋"/>
        </w:rPr>
        <w:t>3.7.</w:t>
      </w:r>
      <w:r>
        <w:rPr>
          <w:rFonts w:hint="eastAsia" w:ascii="仿宋" w:hAnsi="仿宋" w:eastAsia="仿宋" w:cs="仿宋"/>
          <w:lang w:val="en-US" w:eastAsia="zh-CN"/>
        </w:rPr>
        <w:t>1</w:t>
      </w:r>
      <w:r>
        <w:rPr>
          <w:rFonts w:hint="eastAsia" w:ascii="仿宋" w:hAnsi="仿宋" w:eastAsia="仿宋" w:cs="仿宋"/>
        </w:rPr>
        <w:t>.</w:t>
      </w:r>
      <w:r>
        <w:rPr>
          <w:rFonts w:ascii="仿宋" w:hAnsi="仿宋" w:eastAsia="仿宋" w:cs="仿宋"/>
        </w:rPr>
        <w:t>7</w:t>
      </w:r>
      <w:r>
        <w:rPr>
          <w:rFonts w:hint="eastAsia" w:ascii="仿宋" w:hAnsi="仿宋" w:eastAsia="仿宋" w:cs="仿宋"/>
        </w:rPr>
        <w:t xml:space="preserve"> 投标方必须提供所供设备相应的安全操作规程和安全事项的说明书，危险化学品“一书一签”；负责对招标方相关人员开展“四新”安全培训。</w:t>
      </w:r>
    </w:p>
    <w:p w14:paraId="532BB715">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3.7.</w:t>
      </w:r>
      <w:r>
        <w:rPr>
          <w:rFonts w:hint="eastAsia" w:ascii="仿宋" w:hAnsi="仿宋" w:eastAsia="仿宋" w:cs="仿宋"/>
          <w:lang w:val="en-US" w:eastAsia="zh-CN"/>
        </w:rPr>
        <w:t>1</w:t>
      </w:r>
      <w:r>
        <w:rPr>
          <w:rFonts w:hint="eastAsia" w:ascii="仿宋" w:hAnsi="仿宋" w:eastAsia="仿宋" w:cs="仿宋"/>
        </w:rPr>
        <w:t>.</w:t>
      </w:r>
      <w:r>
        <w:rPr>
          <w:rFonts w:ascii="仿宋" w:hAnsi="仿宋" w:eastAsia="仿宋" w:cs="仿宋"/>
        </w:rPr>
        <w:t>8</w:t>
      </w:r>
      <w:r>
        <w:rPr>
          <w:rFonts w:hint="eastAsia" w:ascii="仿宋" w:hAnsi="仿宋" w:eastAsia="仿宋" w:cs="仿宋"/>
        </w:rPr>
        <w:t>货物（或生产线）应运行稳定、可靠、安全，无非正常变形，非正常振动，无异常声音；无漏水、漏液、漏气（汽）、漏电等现象。</w:t>
      </w:r>
    </w:p>
    <w:p w14:paraId="7E2F0D3D">
      <w:pPr>
        <w:adjustRightInd w:val="0"/>
        <w:snapToGrid w:val="0"/>
        <w:spacing w:line="360" w:lineRule="auto"/>
        <w:ind w:firstLine="420" w:firstLineChars="200"/>
        <w:rPr>
          <w:rFonts w:ascii="仿宋" w:hAnsi="仿宋" w:eastAsia="仿宋" w:cs="仿宋"/>
          <w:highlight w:val="none"/>
        </w:rPr>
      </w:pPr>
      <w:r>
        <w:rPr>
          <w:rFonts w:hint="eastAsia" w:ascii="仿宋" w:hAnsi="仿宋" w:eastAsia="仿宋" w:cs="仿宋"/>
        </w:rPr>
        <w:t>3.7.</w:t>
      </w:r>
      <w:r>
        <w:rPr>
          <w:rFonts w:hint="eastAsia" w:ascii="仿宋" w:hAnsi="仿宋" w:eastAsia="仿宋" w:cs="仿宋"/>
          <w:lang w:val="en-US" w:eastAsia="zh-CN"/>
        </w:rPr>
        <w:t>1</w:t>
      </w:r>
      <w:r>
        <w:rPr>
          <w:rFonts w:hint="eastAsia" w:ascii="仿宋" w:hAnsi="仿宋" w:eastAsia="仿宋" w:cs="仿宋"/>
        </w:rPr>
        <w:t>.</w:t>
      </w:r>
      <w:r>
        <w:rPr>
          <w:rFonts w:ascii="仿宋" w:hAnsi="仿宋" w:eastAsia="仿宋" w:cs="仿宋"/>
        </w:rPr>
        <w:t>9</w:t>
      </w:r>
      <w:r>
        <w:rPr>
          <w:rFonts w:hint="eastAsia" w:ascii="仿宋" w:hAnsi="仿宋" w:eastAsia="仿宋" w:cs="仿宋"/>
        </w:rPr>
        <w:t xml:space="preserve"> 所有的管路和线缆等，接头应完全正确、可靠地联接；应排列有序（正确、牢固、整齐），有必要的防护，无皱褶、收缩</w:t>
      </w:r>
      <w:r>
        <w:rPr>
          <w:rFonts w:hint="eastAsia" w:ascii="仿宋" w:hAnsi="仿宋" w:eastAsia="仿宋" w:cs="仿宋"/>
          <w:highlight w:val="none"/>
        </w:rPr>
        <w:t>和裂缝等不良现象。</w:t>
      </w:r>
    </w:p>
    <w:p w14:paraId="40226C22">
      <w:pPr>
        <w:adjustRightInd w:val="0"/>
        <w:snapToGrid w:val="0"/>
        <w:spacing w:line="360" w:lineRule="auto"/>
        <w:ind w:firstLine="420" w:firstLineChars="200"/>
        <w:rPr>
          <w:rFonts w:ascii="仿宋" w:hAnsi="仿宋" w:eastAsia="仿宋" w:cs="仿宋"/>
          <w:highlight w:val="none"/>
        </w:rPr>
      </w:pPr>
      <w:r>
        <w:rPr>
          <w:rFonts w:hint="eastAsia" w:ascii="仿宋" w:hAnsi="仿宋" w:eastAsia="仿宋" w:cs="仿宋"/>
          <w:highlight w:val="none"/>
        </w:rPr>
        <w:t>3.7.</w:t>
      </w:r>
      <w:r>
        <w:rPr>
          <w:rFonts w:hint="eastAsia" w:ascii="仿宋" w:hAnsi="仿宋" w:eastAsia="仿宋" w:cs="仿宋"/>
          <w:highlight w:val="none"/>
          <w:lang w:val="en-US" w:eastAsia="zh-CN"/>
        </w:rPr>
        <w:t>1</w:t>
      </w:r>
      <w:r>
        <w:rPr>
          <w:rFonts w:hint="eastAsia" w:ascii="仿宋" w:hAnsi="仿宋" w:eastAsia="仿宋" w:cs="仿宋"/>
          <w:highlight w:val="none"/>
        </w:rPr>
        <w:t>.1</w:t>
      </w:r>
      <w:r>
        <w:rPr>
          <w:rFonts w:ascii="仿宋" w:hAnsi="仿宋" w:eastAsia="仿宋" w:cs="仿宋"/>
          <w:highlight w:val="none"/>
        </w:rPr>
        <w:t>0</w:t>
      </w:r>
      <w:r>
        <w:rPr>
          <w:rFonts w:hint="eastAsia" w:ascii="仿宋" w:hAnsi="仿宋" w:eastAsia="仿宋" w:cs="仿宋"/>
          <w:highlight w:val="none"/>
        </w:rPr>
        <w:t>地线联接和地极符合国际（ISO/IEC）标准规范</w:t>
      </w:r>
      <w:r>
        <w:rPr>
          <w:rFonts w:hint="eastAsia" w:ascii="仿宋" w:hAnsi="仿宋" w:eastAsia="仿宋" w:cs="仿宋"/>
          <w:highlight w:val="none"/>
          <w:lang w:eastAsia="zh-CN"/>
        </w:rPr>
        <w:t>，电器柜需张贴当心触电警示标识</w:t>
      </w:r>
      <w:r>
        <w:rPr>
          <w:rFonts w:hint="eastAsia" w:ascii="仿宋" w:hAnsi="仿宋" w:eastAsia="仿宋" w:cs="仿宋"/>
          <w:highlight w:val="none"/>
        </w:rPr>
        <w:t>。</w:t>
      </w:r>
    </w:p>
    <w:p w14:paraId="25AEF239">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3.7.</w:t>
      </w:r>
      <w:r>
        <w:rPr>
          <w:rFonts w:hint="eastAsia" w:ascii="仿宋" w:hAnsi="仿宋" w:eastAsia="仿宋" w:cs="仿宋"/>
          <w:lang w:val="en-US" w:eastAsia="zh-CN"/>
        </w:rPr>
        <w:t>1</w:t>
      </w:r>
      <w:r>
        <w:rPr>
          <w:rFonts w:hint="eastAsia" w:ascii="仿宋" w:hAnsi="仿宋" w:eastAsia="仿宋" w:cs="仿宋"/>
        </w:rPr>
        <w:t>.11货物（或生产线）正常运行时，噪声等环境影响因素满足国家（《工作场所物理因素测量 噪声》GBZ/T 189.8-2007. 噪音≤80dB(A)（距设备一米处测量））和当地环保主管部门规定。项目验收时，投标方须提供由第三方监测机构出具的噪音合格监测报告。</w:t>
      </w:r>
    </w:p>
    <w:p w14:paraId="003542F9">
      <w:pPr>
        <w:snapToGrid w:val="0"/>
        <w:spacing w:line="360" w:lineRule="auto"/>
        <w:ind w:firstLine="420" w:firstLineChars="200"/>
        <w:rPr>
          <w:rFonts w:ascii="仿宋" w:hAnsi="仿宋" w:eastAsia="仿宋" w:cs="仿宋"/>
        </w:rPr>
      </w:pPr>
      <w:r>
        <w:rPr>
          <w:rFonts w:hint="eastAsia" w:ascii="仿宋" w:hAnsi="仿宋" w:eastAsia="仿宋" w:cs="仿宋"/>
        </w:rPr>
        <w:t>3.7.</w:t>
      </w:r>
      <w:r>
        <w:rPr>
          <w:rFonts w:hint="eastAsia" w:ascii="仿宋" w:hAnsi="仿宋" w:eastAsia="仿宋" w:cs="仿宋"/>
          <w:lang w:val="en-US" w:eastAsia="zh-CN"/>
        </w:rPr>
        <w:t>1</w:t>
      </w:r>
      <w:r>
        <w:rPr>
          <w:rFonts w:hint="eastAsia" w:ascii="仿宋" w:hAnsi="仿宋" w:eastAsia="仿宋" w:cs="仿宋"/>
        </w:rPr>
        <w:t>.1</w:t>
      </w:r>
      <w:r>
        <w:rPr>
          <w:rFonts w:ascii="仿宋" w:hAnsi="仿宋" w:eastAsia="仿宋" w:cs="仿宋"/>
        </w:rPr>
        <w:t>2</w:t>
      </w:r>
      <w:r>
        <w:rPr>
          <w:rFonts w:hint="eastAsia" w:ascii="仿宋" w:hAnsi="仿宋" w:eastAsia="仿宋" w:cs="仿宋"/>
        </w:rPr>
        <w:t xml:space="preserve"> 可附有投标方认为能够证明其所供货物（或生产线）安全性水平、节能性水平、环保性水平等相关的其它证明文件或资料、报告等，如电气开关柜等电气设备的内部故障电弧效应试验报告、噪声较大设备的噪声检验报告等。</w:t>
      </w:r>
    </w:p>
    <w:p w14:paraId="3581F9AE">
      <w:pPr>
        <w:adjustRightInd w:val="0"/>
        <w:snapToGrid w:val="0"/>
        <w:spacing w:line="360" w:lineRule="auto"/>
        <w:ind w:firstLine="420" w:firstLineChars="200"/>
        <w:rPr>
          <w:rFonts w:ascii="仿宋" w:hAnsi="仿宋" w:eastAsia="仿宋" w:cs="仿宋"/>
          <w:highlight w:val="none"/>
        </w:rPr>
      </w:pPr>
      <w:r>
        <w:rPr>
          <w:rFonts w:hint="eastAsia" w:ascii="仿宋" w:hAnsi="仿宋" w:eastAsia="仿宋" w:cs="仿宋"/>
        </w:rPr>
        <w:t>3.7.</w:t>
      </w:r>
      <w:r>
        <w:rPr>
          <w:rFonts w:hint="eastAsia" w:ascii="仿宋" w:hAnsi="仿宋" w:eastAsia="仿宋" w:cs="仿宋"/>
          <w:lang w:val="en-US" w:eastAsia="zh-CN"/>
        </w:rPr>
        <w:t>1</w:t>
      </w:r>
      <w:r>
        <w:rPr>
          <w:rFonts w:hint="eastAsia" w:ascii="仿宋" w:hAnsi="仿宋" w:eastAsia="仿宋" w:cs="仿宋"/>
        </w:rPr>
        <w:t>.1</w:t>
      </w:r>
      <w:r>
        <w:rPr>
          <w:rFonts w:ascii="仿宋" w:hAnsi="仿宋" w:eastAsia="仿宋" w:cs="仿宋"/>
        </w:rPr>
        <w:t>3</w:t>
      </w:r>
      <w:r>
        <w:rPr>
          <w:rFonts w:hint="eastAsia" w:ascii="仿宋" w:hAnsi="仿宋" w:eastAsia="仿宋" w:cs="仿宋"/>
        </w:rPr>
        <w:t xml:space="preserve"> 涉及需要进行环保、职业卫生强制检测的项目（设备、设施），应由</w:t>
      </w:r>
      <w:r>
        <w:rPr>
          <w:rFonts w:hint="eastAsia" w:ascii="仿宋" w:hAnsi="仿宋" w:eastAsia="仿宋" w:cs="仿宋"/>
          <w:highlight w:val="none"/>
        </w:rPr>
        <w:t>中标方提供权威第三方检测机构出具的完工检测报告。</w:t>
      </w:r>
    </w:p>
    <w:p w14:paraId="5E37D206">
      <w:pPr>
        <w:pStyle w:val="16"/>
        <w:snapToGrid w:val="0"/>
        <w:spacing w:line="360" w:lineRule="auto"/>
        <w:ind w:firstLine="480" w:firstLineChars="200"/>
        <w:rPr>
          <w:rFonts w:hint="eastAsia" w:ascii="仿宋" w:hAnsi="仿宋" w:eastAsia="仿宋" w:cs="仿宋"/>
        </w:rPr>
      </w:pPr>
      <w:r>
        <w:rPr>
          <w:rFonts w:hint="eastAsia" w:ascii="仿宋" w:hAnsi="仿宋" w:eastAsia="仿宋" w:cs="仿宋"/>
        </w:rPr>
        <w:t>3.7.</w:t>
      </w:r>
      <w:r>
        <w:rPr>
          <w:rFonts w:hint="eastAsia" w:ascii="仿宋" w:hAnsi="仿宋" w:eastAsia="仿宋" w:cs="仿宋"/>
          <w:lang w:val="en-US" w:eastAsia="zh-CN"/>
        </w:rPr>
        <w:t xml:space="preserve">1.14 </w:t>
      </w:r>
      <w:r>
        <w:rPr>
          <w:rFonts w:hint="eastAsia" w:ascii="仿宋" w:hAnsi="仿宋" w:eastAsia="仿宋" w:cs="仿宋"/>
        </w:rPr>
        <w:t>投标方所投货物外观颜色标准按招标方提供的标准《Q/ZZ 30070—2020》或双方书面约定的标准执行。</w:t>
      </w:r>
    </w:p>
    <w:p w14:paraId="18B0360F">
      <w:pPr>
        <w:pStyle w:val="16"/>
        <w:snapToGrid w:val="0"/>
        <w:spacing w:line="360" w:lineRule="auto"/>
        <w:ind w:firstLine="480" w:firstLineChars="200"/>
        <w:jc w:val="center"/>
        <w:rPr>
          <w:rFonts w:hint="eastAsia" w:ascii="仿宋" w:hAnsi="仿宋" w:eastAsia="仿宋" w:cs="仿宋"/>
        </w:rPr>
      </w:pPr>
      <w:r>
        <w:rPr>
          <w:rFonts w:hint="eastAsia" w:ascii="仿宋" w:hAnsi="仿宋" w:eastAsia="仿宋" w:cs="仿宋"/>
          <w:lang w:eastAsia="zh-CN"/>
        </w:rPr>
        <w:drawing>
          <wp:inline distT="0" distB="0" distL="114300" distR="114300">
            <wp:extent cx="3181985" cy="3162300"/>
            <wp:effectExtent l="0" t="0" r="5715" b="0"/>
            <wp:docPr id="5" name="图片 5" descr="1720838193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720838193733"/>
                    <pic:cNvPicPr>
                      <a:picLocks noChangeAspect="1"/>
                    </pic:cNvPicPr>
                  </pic:nvPicPr>
                  <pic:blipFill>
                    <a:blip r:embed="rId18"/>
                    <a:stretch>
                      <a:fillRect/>
                    </a:stretch>
                  </pic:blipFill>
                  <pic:spPr>
                    <a:xfrm>
                      <a:off x="0" y="0"/>
                      <a:ext cx="3181985" cy="3162300"/>
                    </a:xfrm>
                    <a:prstGeom prst="rect">
                      <a:avLst/>
                    </a:prstGeom>
                  </pic:spPr>
                </pic:pic>
              </a:graphicData>
            </a:graphic>
          </wp:inline>
        </w:drawing>
      </w:r>
    </w:p>
    <w:p w14:paraId="63B0942E">
      <w:pPr>
        <w:pStyle w:val="16"/>
        <w:snapToGrid w:val="0"/>
        <w:spacing w:line="360" w:lineRule="auto"/>
        <w:ind w:firstLine="480" w:firstLineChars="200"/>
        <w:jc w:val="center"/>
        <w:rPr>
          <w:rFonts w:hint="eastAsia" w:ascii="仿宋" w:hAnsi="仿宋" w:eastAsia="仿宋" w:cs="仿宋"/>
        </w:rPr>
      </w:pPr>
      <w:r>
        <w:rPr>
          <w:rFonts w:hint="eastAsia" w:ascii="仿宋" w:hAnsi="仿宋" w:eastAsia="仿宋" w:cs="仿宋"/>
          <w:lang w:eastAsia="zh-CN"/>
        </w:rPr>
        <w:drawing>
          <wp:inline distT="0" distB="0" distL="114300" distR="114300">
            <wp:extent cx="3239770" cy="1148715"/>
            <wp:effectExtent l="0" t="0" r="11430" b="6985"/>
            <wp:docPr id="6" name="图片 6" descr="1720838269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20838269968"/>
                    <pic:cNvPicPr>
                      <a:picLocks noChangeAspect="1"/>
                    </pic:cNvPicPr>
                  </pic:nvPicPr>
                  <pic:blipFill>
                    <a:blip r:embed="rId19"/>
                    <a:stretch>
                      <a:fillRect/>
                    </a:stretch>
                  </pic:blipFill>
                  <pic:spPr>
                    <a:xfrm>
                      <a:off x="0" y="0"/>
                      <a:ext cx="3239770" cy="1148715"/>
                    </a:xfrm>
                    <a:prstGeom prst="rect">
                      <a:avLst/>
                    </a:prstGeom>
                  </pic:spPr>
                </pic:pic>
              </a:graphicData>
            </a:graphic>
          </wp:inline>
        </w:drawing>
      </w:r>
    </w:p>
    <w:p w14:paraId="47BFA5EB">
      <w:pPr>
        <w:snapToGrid w:val="0"/>
        <w:spacing w:line="360" w:lineRule="auto"/>
        <w:ind w:firstLine="422" w:firstLineChars="200"/>
        <w:outlineLvl w:val="1"/>
        <w:rPr>
          <w:rFonts w:ascii="仿宋" w:hAnsi="仿宋" w:eastAsia="仿宋" w:cs="仿宋"/>
          <w:b/>
          <w:bCs/>
        </w:rPr>
      </w:pPr>
      <w:bookmarkStart w:id="343" w:name="_Toc12383"/>
      <w:bookmarkStart w:id="344" w:name="_Toc8256"/>
      <w:bookmarkStart w:id="345" w:name="_Toc2761"/>
      <w:bookmarkStart w:id="346" w:name="_Toc16595"/>
      <w:bookmarkStart w:id="347" w:name="_Toc16723"/>
      <w:bookmarkStart w:id="348" w:name="_Toc17206"/>
      <w:bookmarkStart w:id="349" w:name="_Toc31832"/>
      <w:bookmarkStart w:id="350" w:name="_Toc25096"/>
      <w:bookmarkStart w:id="351" w:name="_Toc14086"/>
      <w:bookmarkStart w:id="352" w:name="_Toc2382"/>
      <w:bookmarkStart w:id="353" w:name="_Toc10838"/>
      <w:bookmarkStart w:id="354" w:name="_Toc11655"/>
      <w:bookmarkStart w:id="355" w:name="_Toc73"/>
      <w:bookmarkStart w:id="356" w:name="_Toc16458"/>
      <w:bookmarkStart w:id="357" w:name="_Toc24970"/>
      <w:bookmarkStart w:id="358" w:name="_Toc11237"/>
      <w:bookmarkStart w:id="359" w:name="_Toc28651"/>
      <w:bookmarkStart w:id="360" w:name="_Toc4932"/>
      <w:bookmarkStart w:id="361" w:name="_Toc8333"/>
      <w:bookmarkStart w:id="362" w:name="_Toc24239"/>
      <w:bookmarkStart w:id="363" w:name="_Toc21641"/>
      <w:bookmarkStart w:id="364" w:name="_Toc10224"/>
      <w:bookmarkStart w:id="365" w:name="_Toc14754"/>
      <w:bookmarkStart w:id="366" w:name="_Toc3721"/>
      <w:bookmarkStart w:id="367" w:name="_Toc13730"/>
      <w:bookmarkStart w:id="368" w:name="_Toc14715"/>
      <w:bookmarkStart w:id="369" w:name="_Toc12980"/>
      <w:bookmarkStart w:id="370" w:name="_Toc11582"/>
      <w:bookmarkStart w:id="371" w:name="_Toc900"/>
      <w:bookmarkStart w:id="372" w:name="_Toc31046"/>
      <w:bookmarkStart w:id="373" w:name="_Toc1717"/>
      <w:bookmarkStart w:id="374" w:name="_Toc3096"/>
      <w:bookmarkStart w:id="375" w:name="_Toc28302"/>
      <w:bookmarkStart w:id="376" w:name="_Toc24311"/>
      <w:bookmarkStart w:id="377" w:name="_Toc466"/>
      <w:bookmarkStart w:id="378" w:name="_Toc11448"/>
      <w:bookmarkStart w:id="379" w:name="_Toc963"/>
      <w:bookmarkStart w:id="380" w:name="_Toc14191"/>
      <w:bookmarkStart w:id="381" w:name="_Toc30526"/>
      <w:bookmarkStart w:id="382" w:name="_Toc28134"/>
      <w:bookmarkStart w:id="383" w:name="_Toc73112402"/>
      <w:bookmarkStart w:id="384" w:name="_Toc15063"/>
      <w:bookmarkStart w:id="385" w:name="_Toc31509"/>
      <w:r>
        <w:rPr>
          <w:rFonts w:hint="eastAsia" w:ascii="仿宋" w:hAnsi="仿宋" w:eastAsia="仿宋" w:cs="仿宋"/>
          <w:b/>
          <w:bCs/>
        </w:rPr>
        <w:t>4</w:t>
      </w:r>
      <w:r>
        <w:rPr>
          <w:rFonts w:hint="eastAsia" w:ascii="仿宋" w:hAnsi="仿宋" w:eastAsia="仿宋" w:cs="仿宋"/>
          <w:b/>
          <w:bCs/>
          <w:lang w:val="en-US" w:eastAsia="zh-CN"/>
        </w:rPr>
        <w:t xml:space="preserve"> </w:t>
      </w:r>
      <w:r>
        <w:rPr>
          <w:rFonts w:hint="eastAsia" w:ascii="仿宋" w:hAnsi="仿宋" w:eastAsia="仿宋" w:cs="仿宋"/>
          <w:b/>
          <w:bCs/>
        </w:rPr>
        <w:t>特别提示</w:t>
      </w:r>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p>
    <w:p w14:paraId="40A7601A">
      <w:pPr>
        <w:pStyle w:val="16"/>
        <w:snapToGrid w:val="0"/>
        <w:spacing w:line="360" w:lineRule="auto"/>
        <w:ind w:firstLine="480" w:firstLineChars="200"/>
        <w:rPr>
          <w:rFonts w:ascii="仿宋" w:hAnsi="仿宋" w:eastAsia="仿宋" w:cs="仿宋"/>
        </w:rPr>
      </w:pPr>
      <w:r>
        <w:rPr>
          <w:rFonts w:hint="eastAsia" w:ascii="仿宋" w:hAnsi="仿宋" w:eastAsia="仿宋" w:cs="仿宋"/>
        </w:rPr>
        <w:t>4.1</w:t>
      </w:r>
      <w:r>
        <w:rPr>
          <w:rFonts w:hint="eastAsia" w:ascii="仿宋" w:hAnsi="仿宋" w:eastAsia="仿宋" w:cs="仿宋"/>
          <w:lang w:val="en-US" w:eastAsia="zh-CN"/>
        </w:rPr>
        <w:t xml:space="preserve"> </w:t>
      </w:r>
      <w:r>
        <w:rPr>
          <w:rFonts w:hint="eastAsia" w:ascii="仿宋" w:hAnsi="仿宋" w:eastAsia="仿宋" w:cs="仿宋"/>
        </w:rPr>
        <w:t>本技术要求，仅对功能、设计、结构、性能、安装和试验等方面，提出了最低和一般性的技术要求；并未对一切技术细节作出规定，未充分引述有关标准和规范的条文。投标方应保证提供的货物（或生产线）是符合本技术标书和国家最新的有关标准、规范的优质产品。若有异议，不管是多么微小，都应在投标文件“技术偏离”中予以详细说明。</w:t>
      </w:r>
    </w:p>
    <w:p w14:paraId="4C82787F">
      <w:pPr>
        <w:pStyle w:val="16"/>
        <w:snapToGrid w:val="0"/>
        <w:spacing w:line="360" w:lineRule="auto"/>
        <w:ind w:firstLine="480" w:firstLineChars="200"/>
        <w:rPr>
          <w:rFonts w:ascii="仿宋" w:hAnsi="仿宋" w:eastAsia="仿宋" w:cs="仿宋"/>
        </w:rPr>
      </w:pPr>
      <w:r>
        <w:rPr>
          <w:rFonts w:hint="eastAsia" w:ascii="仿宋" w:hAnsi="仿宋" w:eastAsia="仿宋" w:cs="仿宋"/>
        </w:rPr>
        <w:t>4.2</w:t>
      </w:r>
      <w:r>
        <w:rPr>
          <w:rFonts w:hint="eastAsia" w:ascii="仿宋" w:hAnsi="仿宋" w:eastAsia="仿宋" w:cs="仿宋"/>
          <w:lang w:val="en-US" w:eastAsia="zh-CN"/>
        </w:rPr>
        <w:t xml:space="preserve"> </w:t>
      </w:r>
      <w:r>
        <w:rPr>
          <w:rFonts w:hint="eastAsia" w:ascii="仿宋" w:hAnsi="仿宋" w:eastAsia="仿宋" w:cs="仿宋"/>
        </w:rPr>
        <w:t>本技术要求所使用的标准、规范等，如与投标方所执行的标准、规范不一致时，应按高于本技术要求所列的标准、规范执行，并在投标文件“技术偏离”中予以说明。</w:t>
      </w:r>
    </w:p>
    <w:p w14:paraId="06455119">
      <w:pPr>
        <w:pStyle w:val="16"/>
        <w:snapToGrid w:val="0"/>
        <w:spacing w:line="360" w:lineRule="auto"/>
        <w:ind w:firstLine="480" w:firstLineChars="200"/>
        <w:rPr>
          <w:rFonts w:ascii="仿宋" w:hAnsi="仿宋" w:eastAsia="仿宋" w:cs="仿宋"/>
        </w:rPr>
      </w:pPr>
      <w:r>
        <w:rPr>
          <w:rFonts w:hint="eastAsia" w:ascii="仿宋" w:hAnsi="仿宋" w:eastAsia="仿宋" w:cs="仿宋"/>
        </w:rPr>
        <w:t>4.3</w:t>
      </w:r>
      <w:r>
        <w:rPr>
          <w:rFonts w:hint="eastAsia" w:ascii="仿宋" w:hAnsi="仿宋" w:eastAsia="仿宋" w:cs="仿宋"/>
          <w:lang w:val="en-US" w:eastAsia="zh-CN"/>
        </w:rPr>
        <w:t xml:space="preserve"> </w:t>
      </w:r>
      <w:r>
        <w:rPr>
          <w:rFonts w:hint="eastAsia" w:ascii="仿宋" w:hAnsi="仿宋" w:eastAsia="仿宋" w:cs="仿宋"/>
        </w:rPr>
        <w:t>投标方认为所供货物（或生产线）必需由招标方配备、解决或提供的其它要求，如设备基础隔振和减振设施、软化水、洁净气源等，均应在投标文件“技术偏离”中予以充分说明。</w:t>
      </w:r>
    </w:p>
    <w:p w14:paraId="69F45C12">
      <w:pPr>
        <w:pStyle w:val="16"/>
        <w:snapToGrid w:val="0"/>
        <w:spacing w:line="360" w:lineRule="auto"/>
        <w:ind w:firstLine="480" w:firstLineChars="200"/>
        <w:rPr>
          <w:rFonts w:ascii="仿宋" w:hAnsi="仿宋" w:eastAsia="仿宋" w:cs="仿宋"/>
        </w:rPr>
      </w:pPr>
      <w:r>
        <w:rPr>
          <w:rFonts w:hint="eastAsia" w:ascii="仿宋" w:hAnsi="仿宋" w:eastAsia="仿宋" w:cs="仿宋"/>
        </w:rPr>
        <w:t>4.4</w:t>
      </w:r>
      <w:r>
        <w:rPr>
          <w:rFonts w:hint="eastAsia" w:ascii="仿宋" w:hAnsi="仿宋" w:eastAsia="仿宋" w:cs="仿宋"/>
          <w:lang w:val="en-US" w:eastAsia="zh-CN"/>
        </w:rPr>
        <w:t xml:space="preserve"> </w:t>
      </w:r>
      <w:r>
        <w:rPr>
          <w:rFonts w:hint="eastAsia" w:ascii="仿宋" w:hAnsi="仿宋" w:eastAsia="仿宋" w:cs="仿宋"/>
        </w:rPr>
        <w:t>投标方须负责在终验收前，在招标方设备现场对投标设备实施电能质量和公用电网谐波检测并出具检测报告。检测工作由投标方负责安排第三方实施（第三方的资质须由招标方认可）。</w:t>
      </w:r>
    </w:p>
    <w:p w14:paraId="3AF7B2BD">
      <w:pPr>
        <w:pStyle w:val="16"/>
        <w:snapToGrid w:val="0"/>
        <w:spacing w:line="360" w:lineRule="auto"/>
        <w:ind w:firstLine="480" w:firstLineChars="200"/>
        <w:rPr>
          <w:rFonts w:ascii="仿宋" w:hAnsi="仿宋" w:eastAsia="仿宋" w:cs="仿宋"/>
        </w:rPr>
      </w:pPr>
      <w:r>
        <w:rPr>
          <w:rFonts w:hint="eastAsia" w:ascii="仿宋" w:hAnsi="仿宋" w:eastAsia="仿宋" w:cs="仿宋"/>
        </w:rPr>
        <w:t>4.5</w:t>
      </w:r>
      <w:r>
        <w:rPr>
          <w:rFonts w:hint="eastAsia" w:ascii="仿宋" w:hAnsi="仿宋" w:eastAsia="仿宋" w:cs="仿宋"/>
          <w:lang w:val="en-US" w:eastAsia="zh-CN"/>
        </w:rPr>
        <w:t xml:space="preserve"> </w:t>
      </w:r>
      <w:r>
        <w:rPr>
          <w:rFonts w:hint="eastAsia" w:ascii="仿宋" w:hAnsi="仿宋" w:eastAsia="仿宋" w:cs="仿宋"/>
        </w:rPr>
        <w:t>投标文件中，针对“特别提示”条款所做的回应，将作为投标方能否中标的重要依据之一。</w:t>
      </w:r>
      <w:bookmarkStart w:id="386" w:name="_Toc133783970"/>
    </w:p>
    <w:p w14:paraId="58F0CDAF">
      <w:pPr>
        <w:pStyle w:val="16"/>
        <w:snapToGrid w:val="0"/>
        <w:spacing w:line="360" w:lineRule="auto"/>
        <w:ind w:firstLine="480" w:firstLineChars="200"/>
        <w:rPr>
          <w:rFonts w:ascii="仿宋" w:hAnsi="仿宋" w:eastAsia="仿宋" w:cs="仿宋"/>
        </w:rPr>
      </w:pPr>
      <w:r>
        <w:rPr>
          <w:rFonts w:hint="eastAsia" w:ascii="仿宋" w:hAnsi="仿宋" w:eastAsia="仿宋" w:cs="仿宋"/>
        </w:rPr>
        <w:t>4.</w:t>
      </w:r>
      <w:r>
        <w:rPr>
          <w:rFonts w:hint="eastAsia" w:ascii="仿宋" w:hAnsi="仿宋" w:eastAsia="仿宋" w:cs="仿宋"/>
          <w:lang w:val="en-US" w:eastAsia="zh-CN"/>
        </w:rPr>
        <w:t xml:space="preserve">6 </w:t>
      </w:r>
      <w:r>
        <w:rPr>
          <w:rFonts w:hint="eastAsia" w:ascii="仿宋" w:hAnsi="仿宋" w:eastAsia="仿宋" w:cs="仿宋"/>
        </w:rPr>
        <w:t>投标方所投货物外观颜色标准按招标方提供的标准或双方书面约定的标准执行。</w:t>
      </w:r>
    </w:p>
    <w:p w14:paraId="2490AE1E">
      <w:pPr>
        <w:adjustRightInd w:val="0"/>
        <w:snapToGrid w:val="0"/>
        <w:spacing w:before="163" w:beforeLines="50" w:after="163" w:afterLines="50" w:line="360" w:lineRule="auto"/>
        <w:jc w:val="center"/>
        <w:outlineLvl w:val="0"/>
        <w:rPr>
          <w:rFonts w:ascii="仿宋" w:hAnsi="仿宋" w:eastAsia="仿宋" w:cs="仿宋"/>
          <w:b/>
          <w:bCs/>
        </w:rPr>
      </w:pPr>
      <w:bookmarkStart w:id="387" w:name="_Toc28745"/>
      <w:bookmarkStart w:id="388" w:name="_Toc16316"/>
      <w:bookmarkStart w:id="389" w:name="_Toc31159"/>
      <w:bookmarkStart w:id="390" w:name="_Toc19812"/>
      <w:bookmarkStart w:id="391" w:name="_Toc17909"/>
      <w:bookmarkStart w:id="392" w:name="_Toc21086"/>
      <w:bookmarkStart w:id="393" w:name="_Toc20841"/>
      <w:bookmarkStart w:id="394" w:name="_Toc73112403"/>
      <w:bookmarkStart w:id="395" w:name="_Toc22156"/>
      <w:bookmarkStart w:id="396" w:name="_Toc26551"/>
      <w:bookmarkStart w:id="397" w:name="_Toc19022"/>
      <w:bookmarkStart w:id="398" w:name="_Toc19805"/>
      <w:bookmarkStart w:id="399" w:name="_Toc16352"/>
      <w:bookmarkStart w:id="400" w:name="_Toc28398"/>
      <w:bookmarkStart w:id="401" w:name="_Toc22347"/>
      <w:bookmarkStart w:id="402" w:name="_Toc24173"/>
      <w:bookmarkStart w:id="403" w:name="_Toc26601"/>
      <w:bookmarkStart w:id="404" w:name="_Toc22662"/>
      <w:bookmarkStart w:id="405" w:name="_Toc4641"/>
      <w:bookmarkStart w:id="406" w:name="_Toc3808"/>
      <w:bookmarkStart w:id="407" w:name="_Toc11725"/>
      <w:bookmarkStart w:id="408" w:name="_Toc32382"/>
      <w:bookmarkStart w:id="409" w:name="_Toc11390"/>
      <w:bookmarkStart w:id="410" w:name="_Toc22516"/>
      <w:bookmarkStart w:id="411" w:name="_Toc10828"/>
      <w:bookmarkStart w:id="412" w:name="_Toc19081"/>
      <w:bookmarkStart w:id="413" w:name="_Toc8892"/>
      <w:bookmarkStart w:id="414" w:name="_Toc20260"/>
      <w:bookmarkStart w:id="415" w:name="_Toc1171"/>
      <w:bookmarkStart w:id="416" w:name="_Toc22710"/>
      <w:bookmarkStart w:id="417" w:name="_Toc1962"/>
      <w:bookmarkStart w:id="418" w:name="_Toc6352"/>
      <w:bookmarkStart w:id="419" w:name="_Toc20994"/>
      <w:bookmarkStart w:id="420" w:name="_Toc27327"/>
      <w:bookmarkStart w:id="421" w:name="_Toc7258"/>
      <w:bookmarkStart w:id="422" w:name="_Toc31816"/>
      <w:bookmarkStart w:id="423" w:name="_Toc13526"/>
      <w:bookmarkStart w:id="424" w:name="_Toc29006"/>
      <w:bookmarkStart w:id="425" w:name="_Toc25915"/>
      <w:bookmarkStart w:id="426" w:name="_Toc1909"/>
      <w:bookmarkStart w:id="427" w:name="_Toc16317"/>
      <w:bookmarkStart w:id="428" w:name="_Toc14583"/>
      <w:bookmarkStart w:id="429" w:name="_Toc30892"/>
      <w:bookmarkStart w:id="430" w:name="_Toc20329"/>
      <w:r>
        <w:rPr>
          <w:rFonts w:hint="eastAsia" w:ascii="仿宋" w:hAnsi="仿宋" w:eastAsia="仿宋" w:cs="仿宋"/>
          <w:b/>
          <w:bCs/>
        </w:rPr>
        <w:t>第三章</w:t>
      </w:r>
      <w:r>
        <w:rPr>
          <w:rFonts w:hint="eastAsia" w:ascii="仿宋" w:hAnsi="仿宋" w:eastAsia="仿宋" w:cs="仿宋"/>
          <w:b/>
          <w:bCs/>
          <w:lang w:val="en-US" w:eastAsia="zh-CN"/>
        </w:rPr>
        <w:t xml:space="preserve"> </w:t>
      </w:r>
      <w:r>
        <w:rPr>
          <w:rFonts w:hint="eastAsia" w:ascii="仿宋" w:hAnsi="仿宋" w:eastAsia="仿宋" w:cs="仿宋"/>
          <w:b/>
          <w:bCs/>
        </w:rPr>
        <w:t>供货范围及供货方式</w:t>
      </w:r>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p>
    <w:p w14:paraId="2E544982">
      <w:pPr>
        <w:pStyle w:val="5"/>
        <w:snapToGrid w:val="0"/>
        <w:spacing w:before="0" w:after="0" w:line="360" w:lineRule="auto"/>
        <w:ind w:left="6" w:firstLine="474"/>
        <w:jc w:val="center"/>
        <w:rPr>
          <w:rFonts w:ascii="仿宋" w:hAnsi="仿宋" w:eastAsia="仿宋" w:cs="仿宋"/>
          <w:b w:val="0"/>
          <w:bCs w:val="0"/>
          <w:sz w:val="24"/>
          <w:szCs w:val="24"/>
        </w:rPr>
      </w:pPr>
      <w:bookmarkStart w:id="431" w:name="_Toc19908"/>
      <w:bookmarkStart w:id="432" w:name="_Toc32716"/>
      <w:bookmarkStart w:id="433" w:name="_Toc73112404"/>
      <w:bookmarkStart w:id="434" w:name="_Toc16027"/>
      <w:bookmarkStart w:id="435" w:name="_Toc6864"/>
      <w:bookmarkStart w:id="436" w:name="_Toc27567"/>
      <w:bookmarkStart w:id="437" w:name="_Toc19860"/>
      <w:bookmarkStart w:id="438" w:name="_Toc29751"/>
      <w:bookmarkStart w:id="439" w:name="_Toc16351"/>
      <w:bookmarkStart w:id="440" w:name="_Toc6219"/>
      <w:bookmarkStart w:id="441" w:name="_Toc32542"/>
      <w:bookmarkStart w:id="442" w:name="_Toc20721"/>
      <w:bookmarkStart w:id="443" w:name="_Toc17404"/>
      <w:bookmarkStart w:id="444" w:name="_Toc19111"/>
      <w:bookmarkStart w:id="445" w:name="_Toc20066"/>
      <w:bookmarkStart w:id="446" w:name="_Toc20301"/>
      <w:bookmarkStart w:id="447" w:name="_Toc10323"/>
      <w:bookmarkStart w:id="448" w:name="_Toc11227"/>
      <w:bookmarkStart w:id="449" w:name="_Toc27831"/>
      <w:bookmarkStart w:id="450" w:name="_Toc5052"/>
      <w:bookmarkStart w:id="451" w:name="_Toc4896"/>
      <w:bookmarkStart w:id="452" w:name="_Toc2288"/>
      <w:bookmarkStart w:id="453" w:name="_Toc8963"/>
      <w:bookmarkStart w:id="454" w:name="_Toc13578"/>
      <w:bookmarkStart w:id="455" w:name="_Toc2127"/>
      <w:bookmarkStart w:id="456" w:name="_Toc32741"/>
      <w:bookmarkStart w:id="457" w:name="_Toc32286"/>
      <w:bookmarkStart w:id="458" w:name="_Toc9580"/>
      <w:bookmarkStart w:id="459" w:name="_Toc5032"/>
      <w:bookmarkStart w:id="460" w:name="_Toc3639"/>
      <w:bookmarkStart w:id="461" w:name="_Toc8238"/>
      <w:bookmarkStart w:id="462" w:name="_Toc3358"/>
      <w:bookmarkStart w:id="463" w:name="_Toc9994"/>
      <w:bookmarkStart w:id="464" w:name="_Toc11979"/>
      <w:bookmarkStart w:id="465" w:name="_Toc12581"/>
      <w:bookmarkStart w:id="466" w:name="_Toc969"/>
      <w:bookmarkStart w:id="467" w:name="_Toc28344"/>
      <w:bookmarkStart w:id="468" w:name="_Toc680"/>
      <w:bookmarkStart w:id="469" w:name="_Toc9571"/>
      <w:bookmarkStart w:id="470" w:name="_Toc18238"/>
      <w:bookmarkStart w:id="471" w:name="_Toc14383"/>
      <w:bookmarkStart w:id="472" w:name="_Toc19155"/>
      <w:bookmarkStart w:id="473" w:name="_Toc133783971"/>
      <w:bookmarkStart w:id="474" w:name="_Toc4032"/>
      <w:bookmarkStart w:id="475" w:name="_Toc32750"/>
      <w:bookmarkStart w:id="476" w:name="_Toc31722"/>
      <w:bookmarkStart w:id="477" w:name="_Toc25354"/>
      <w:bookmarkStart w:id="478" w:name="_Toc5131"/>
      <w:r>
        <w:rPr>
          <w:rFonts w:hint="eastAsia" w:ascii="仿宋" w:hAnsi="仿宋" w:eastAsia="仿宋" w:cs="仿宋"/>
          <w:b w:val="0"/>
          <w:bCs w:val="0"/>
          <w:sz w:val="24"/>
          <w:szCs w:val="24"/>
        </w:rPr>
        <w:t>第一节</w:t>
      </w:r>
      <w:r>
        <w:rPr>
          <w:rFonts w:hint="eastAsia" w:ascii="仿宋" w:hAnsi="仿宋" w:eastAsia="仿宋" w:cs="仿宋"/>
          <w:b w:val="0"/>
          <w:bCs w:val="0"/>
          <w:sz w:val="24"/>
          <w:szCs w:val="24"/>
          <w:lang w:val="en-US" w:eastAsia="zh-CN"/>
        </w:rPr>
        <w:t xml:space="preserve"> </w:t>
      </w:r>
      <w:r>
        <w:rPr>
          <w:rFonts w:hint="eastAsia" w:ascii="仿宋" w:hAnsi="仿宋" w:eastAsia="仿宋" w:cs="仿宋"/>
          <w:b w:val="0"/>
          <w:bCs w:val="0"/>
          <w:sz w:val="24"/>
          <w:szCs w:val="24"/>
        </w:rPr>
        <w:t>供货范围</w:t>
      </w:r>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p w14:paraId="28B15EEC">
      <w:pPr>
        <w:snapToGrid w:val="0"/>
        <w:spacing w:line="360" w:lineRule="auto"/>
        <w:ind w:left="480"/>
        <w:outlineLvl w:val="2"/>
        <w:rPr>
          <w:rFonts w:ascii="仿宋" w:hAnsi="仿宋" w:eastAsia="仿宋" w:cs="仿宋"/>
          <w:b/>
          <w:bCs/>
        </w:rPr>
      </w:pPr>
      <w:bookmarkStart w:id="479" w:name="_Toc4850"/>
      <w:bookmarkStart w:id="480" w:name="_Toc18228"/>
      <w:bookmarkStart w:id="481" w:name="_Toc6385"/>
      <w:bookmarkStart w:id="482" w:name="_Toc21071"/>
      <w:bookmarkStart w:id="483" w:name="_Toc9769"/>
      <w:bookmarkStart w:id="484" w:name="_Toc73112405"/>
      <w:bookmarkStart w:id="485" w:name="_Toc17608"/>
      <w:bookmarkStart w:id="486" w:name="_Toc14280"/>
      <w:bookmarkStart w:id="487" w:name="_Toc28468"/>
      <w:bookmarkStart w:id="488" w:name="_Toc17029"/>
      <w:bookmarkStart w:id="489" w:name="_Toc272"/>
      <w:bookmarkStart w:id="490" w:name="_Toc13760"/>
      <w:bookmarkStart w:id="491" w:name="_Toc15878"/>
      <w:bookmarkStart w:id="492" w:name="_Toc18305"/>
      <w:bookmarkStart w:id="493" w:name="_Toc14137"/>
      <w:bookmarkStart w:id="494" w:name="_Toc5149"/>
      <w:bookmarkStart w:id="495" w:name="_Toc17678"/>
      <w:bookmarkStart w:id="496" w:name="_Toc25761"/>
      <w:bookmarkStart w:id="497" w:name="_Toc4815"/>
      <w:bookmarkStart w:id="498" w:name="_Toc29417"/>
      <w:r>
        <w:rPr>
          <w:rFonts w:hint="eastAsia" w:ascii="仿宋" w:hAnsi="仿宋" w:eastAsia="仿宋" w:cs="仿宋"/>
          <w:b/>
          <w:bCs/>
        </w:rPr>
        <w:t>1主要供货范围</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p>
    <w:p w14:paraId="2BB436B6">
      <w:pPr>
        <w:pStyle w:val="16"/>
        <w:snapToGrid w:val="0"/>
        <w:spacing w:line="360" w:lineRule="auto"/>
        <w:ind w:left="6" w:firstLine="474" w:firstLineChars="0"/>
        <w:rPr>
          <w:rFonts w:ascii="仿宋" w:hAnsi="仿宋" w:eastAsia="仿宋" w:cs="仿宋"/>
        </w:rPr>
      </w:pPr>
      <w:r>
        <w:rPr>
          <w:rFonts w:hint="eastAsia" w:ascii="仿宋" w:hAnsi="仿宋" w:eastAsia="仿宋" w:cs="仿宋"/>
        </w:rPr>
        <w:t>1.1</w:t>
      </w:r>
      <w:r>
        <w:rPr>
          <w:rFonts w:hint="eastAsia" w:ascii="仿宋" w:hAnsi="仿宋" w:eastAsia="仿宋" w:cs="仿宋"/>
          <w:lang w:val="en-US" w:eastAsia="zh-CN"/>
        </w:rPr>
        <w:t xml:space="preserve"> </w:t>
      </w:r>
      <w:r>
        <w:rPr>
          <w:rFonts w:hint="eastAsia" w:ascii="仿宋" w:hAnsi="仿宋" w:eastAsia="仿宋" w:cs="仿宋"/>
        </w:rPr>
        <w:t>招标方只提供所需厂房、货物（或生产线）的基本砼基础，如不满足项目需求，由投标方负责进行建设。</w:t>
      </w:r>
    </w:p>
    <w:p w14:paraId="575C0FEE">
      <w:pPr>
        <w:pStyle w:val="16"/>
        <w:snapToGrid w:val="0"/>
        <w:spacing w:line="360" w:lineRule="auto"/>
        <w:ind w:left="6" w:firstLine="474" w:firstLineChars="0"/>
        <w:rPr>
          <w:rFonts w:ascii="仿宋" w:hAnsi="仿宋" w:eastAsia="仿宋" w:cs="仿宋"/>
        </w:rPr>
      </w:pPr>
      <w:r>
        <w:rPr>
          <w:rFonts w:hint="eastAsia" w:ascii="仿宋" w:hAnsi="仿宋" w:eastAsia="仿宋" w:cs="仿宋"/>
        </w:rPr>
        <w:t>1.2</w:t>
      </w:r>
      <w:r>
        <w:rPr>
          <w:rFonts w:hint="eastAsia" w:ascii="仿宋" w:hAnsi="仿宋" w:eastAsia="仿宋" w:cs="仿宋"/>
          <w:lang w:val="en-US" w:eastAsia="zh-CN"/>
        </w:rPr>
        <w:t xml:space="preserve"> </w:t>
      </w:r>
      <w:r>
        <w:rPr>
          <w:rFonts w:hint="eastAsia" w:ascii="仿宋" w:hAnsi="仿宋" w:eastAsia="仿宋" w:cs="仿宋"/>
        </w:rPr>
        <w:t>招标方只负责提供符合本技术标书中“采购货物概况”和“使用环境”章节所列明品质的电力、自来水、压缩空气、蒸汽、天然气（或煤气）管线至车间接口,投标方负责从车间接口到项目系统的对接。</w:t>
      </w:r>
    </w:p>
    <w:p w14:paraId="0F5CD262">
      <w:pPr>
        <w:pStyle w:val="16"/>
        <w:snapToGrid w:val="0"/>
        <w:spacing w:line="360" w:lineRule="auto"/>
        <w:ind w:left="6" w:firstLine="474" w:firstLineChars="0"/>
        <w:rPr>
          <w:rFonts w:ascii="仿宋" w:hAnsi="仿宋" w:eastAsia="仿宋" w:cs="仿宋"/>
        </w:rPr>
      </w:pPr>
      <w:r>
        <w:rPr>
          <w:rFonts w:hint="eastAsia" w:ascii="仿宋" w:hAnsi="仿宋" w:eastAsia="仿宋" w:cs="仿宋"/>
        </w:rPr>
        <w:t>1.3</w:t>
      </w:r>
      <w:r>
        <w:rPr>
          <w:rFonts w:hint="eastAsia" w:ascii="仿宋" w:hAnsi="仿宋" w:eastAsia="仿宋" w:cs="仿宋"/>
          <w:lang w:val="en-US" w:eastAsia="zh-CN"/>
        </w:rPr>
        <w:t xml:space="preserve"> </w:t>
      </w:r>
      <w:r>
        <w:rPr>
          <w:rFonts w:hint="eastAsia" w:ascii="仿宋" w:hAnsi="仿宋" w:eastAsia="仿宋" w:cs="仿宋"/>
        </w:rPr>
        <w:t>投标方应提供包括货物（或生产线）正常运行所必需的全套连线设备、材料等；如：联接法兰外端面（含联接螺栓）之内的、电气系统接口压线板（插座等）之内的设备、材料等；</w:t>
      </w:r>
    </w:p>
    <w:p w14:paraId="081CE861">
      <w:pPr>
        <w:pStyle w:val="16"/>
        <w:snapToGrid w:val="0"/>
        <w:spacing w:line="360" w:lineRule="auto"/>
        <w:ind w:left="6" w:firstLine="474" w:firstLineChars="0"/>
        <w:rPr>
          <w:rFonts w:ascii="仿宋" w:hAnsi="仿宋" w:eastAsia="仿宋" w:cs="仿宋"/>
          <w:color w:val="auto"/>
          <w:highlight w:val="none"/>
        </w:rPr>
      </w:pPr>
      <w:r>
        <w:rPr>
          <w:rFonts w:hint="eastAsia" w:ascii="仿宋" w:hAnsi="仿宋" w:eastAsia="仿宋" w:cs="仿宋"/>
        </w:rPr>
        <w:t>1.4</w:t>
      </w:r>
      <w:r>
        <w:rPr>
          <w:rFonts w:hint="eastAsia" w:ascii="仿宋" w:hAnsi="仿宋" w:eastAsia="仿宋" w:cs="仿宋"/>
          <w:lang w:val="en-US" w:eastAsia="zh-CN"/>
        </w:rPr>
        <w:t xml:space="preserve"> </w:t>
      </w:r>
      <w:r>
        <w:rPr>
          <w:rFonts w:hint="eastAsia" w:ascii="仿宋" w:hAnsi="仿宋" w:eastAsia="仿宋" w:cs="仿宋"/>
        </w:rPr>
        <w:t>投标方应提供包括货物（或生产线）正常运行、使用所必需的过桥、护栏、防护网、盖板等辅助设施。标书中有要求的，按标书要求提供；标书中无具体要求而投标方认为必须具备的，在投标文件报价明细中，单独报价（但不计入税费等其它费用的计算基数）。</w:t>
      </w:r>
    </w:p>
    <w:p w14:paraId="799EC26F">
      <w:pPr>
        <w:pStyle w:val="16"/>
        <w:snapToGrid w:val="0"/>
        <w:spacing w:line="360" w:lineRule="auto"/>
        <w:ind w:left="6" w:firstLine="474" w:firstLineChars="0"/>
        <w:rPr>
          <w:rFonts w:ascii="仿宋" w:hAnsi="仿宋" w:eastAsia="仿宋" w:cs="仿宋"/>
        </w:rPr>
      </w:pPr>
      <w:r>
        <w:rPr>
          <w:rFonts w:hint="eastAsia" w:ascii="仿宋" w:hAnsi="仿宋" w:eastAsia="仿宋" w:cs="仿宋"/>
          <w:color w:val="auto"/>
          <w:highlight w:val="none"/>
        </w:rPr>
        <w:t>1.5</w:t>
      </w:r>
      <w:r>
        <w:rPr>
          <w:rFonts w:hint="eastAsia" w:ascii="仿宋" w:hAnsi="仿宋" w:eastAsia="仿宋" w:cs="仿宋"/>
          <w:color w:val="auto"/>
          <w:highlight w:val="none"/>
          <w:lang w:val="en-US" w:eastAsia="zh-CN"/>
        </w:rPr>
        <w:t xml:space="preserve"> </w:t>
      </w:r>
      <w:r>
        <w:rPr>
          <w:rFonts w:hint="eastAsia" w:ascii="仿宋" w:hAnsi="仿宋" w:eastAsia="仿宋" w:cs="仿宋"/>
          <w:color w:val="auto"/>
          <w:highlight w:val="none"/>
        </w:rPr>
        <w:t>投标方应提供包括为达到环保、消防和</w:t>
      </w:r>
      <w:r>
        <w:rPr>
          <w:rFonts w:hint="eastAsia" w:ascii="仿宋" w:hAnsi="仿宋" w:eastAsia="仿宋" w:cs="仿宋"/>
          <w:color w:val="auto"/>
          <w:highlight w:val="none"/>
          <w:lang w:eastAsia="zh-CN"/>
        </w:rPr>
        <w:t>职业健康</w:t>
      </w:r>
      <w:r>
        <w:rPr>
          <w:rFonts w:hint="eastAsia" w:ascii="仿宋" w:hAnsi="仿宋" w:eastAsia="仿宋" w:cs="仿宋"/>
          <w:color w:val="auto"/>
          <w:highlight w:val="none"/>
        </w:rPr>
        <w:t>等国家法律、法规和标准、规范要求的除尘系统、通风系统以及近距离照明系统等配</w:t>
      </w:r>
      <w:r>
        <w:rPr>
          <w:rFonts w:hint="eastAsia" w:ascii="仿宋" w:hAnsi="仿宋" w:eastAsia="仿宋" w:cs="仿宋"/>
        </w:rPr>
        <w:t>套的设备、材料等。如投标方难以提供或无优势提供，则应当在投标文件的技术偏离条款中，予以详细说明并注明投标报价未包含该部分的货值。</w:t>
      </w:r>
    </w:p>
    <w:p w14:paraId="6DE795A6">
      <w:pPr>
        <w:pStyle w:val="16"/>
        <w:snapToGrid w:val="0"/>
        <w:spacing w:line="360" w:lineRule="auto"/>
        <w:ind w:left="6" w:firstLine="474" w:firstLineChars="0"/>
        <w:rPr>
          <w:rFonts w:ascii="仿宋" w:hAnsi="仿宋" w:eastAsia="仿宋" w:cs="仿宋"/>
        </w:rPr>
      </w:pPr>
      <w:r>
        <w:rPr>
          <w:rFonts w:hint="eastAsia" w:ascii="仿宋" w:hAnsi="仿宋" w:eastAsia="仿宋" w:cs="仿宋"/>
        </w:rPr>
        <w:t>1.6</w:t>
      </w:r>
      <w:r>
        <w:rPr>
          <w:rFonts w:hint="eastAsia" w:ascii="仿宋" w:hAnsi="仿宋" w:eastAsia="仿宋" w:cs="仿宋"/>
          <w:lang w:val="en-US" w:eastAsia="zh-CN"/>
        </w:rPr>
        <w:t xml:space="preserve"> </w:t>
      </w:r>
      <w:r>
        <w:rPr>
          <w:rFonts w:hint="eastAsia" w:ascii="仿宋" w:hAnsi="仿宋" w:eastAsia="仿宋" w:cs="仿宋"/>
        </w:rPr>
        <w:t>投标方应提供包括为保证货物（或生产线）自身正常运行所必需的、适应使用地点条件的通风、冷却、降温系统等。</w:t>
      </w:r>
    </w:p>
    <w:p w14:paraId="0F4CB7B6">
      <w:pPr>
        <w:pStyle w:val="16"/>
        <w:snapToGrid w:val="0"/>
        <w:spacing w:line="360" w:lineRule="auto"/>
        <w:ind w:left="6" w:firstLine="474" w:firstLineChars="0"/>
        <w:rPr>
          <w:rFonts w:ascii="仿宋" w:hAnsi="仿宋" w:eastAsia="仿宋" w:cs="仿宋"/>
        </w:rPr>
      </w:pPr>
      <w:r>
        <w:rPr>
          <w:rFonts w:hint="eastAsia" w:ascii="仿宋" w:hAnsi="仿宋" w:eastAsia="仿宋" w:cs="仿宋"/>
        </w:rPr>
        <w:t>1.7</w:t>
      </w:r>
      <w:r>
        <w:rPr>
          <w:rFonts w:hint="eastAsia" w:ascii="仿宋" w:hAnsi="仿宋" w:eastAsia="仿宋" w:cs="仿宋"/>
          <w:lang w:val="en-US" w:eastAsia="zh-CN"/>
        </w:rPr>
        <w:t xml:space="preserve"> </w:t>
      </w:r>
      <w:r>
        <w:rPr>
          <w:rFonts w:hint="eastAsia" w:ascii="仿宋" w:hAnsi="仿宋" w:eastAsia="仿宋" w:cs="仿宋"/>
        </w:rPr>
        <w:t>投标方应提供包括为保证货物（或生产线）正常安装、调试和验收完成及以前所必需的整套配件、附件及材料、油料等。如果终验收完成后，投标方有需要收回的配件、附件、材料、油料等，应当在投标文件的技术偏离条款中，予以详细说明；否则视同包括在供货范围之内。</w:t>
      </w:r>
    </w:p>
    <w:p w14:paraId="2C01979D">
      <w:pPr>
        <w:pStyle w:val="16"/>
        <w:snapToGrid w:val="0"/>
        <w:spacing w:line="360" w:lineRule="auto"/>
        <w:ind w:left="6" w:firstLine="474" w:firstLineChars="0"/>
        <w:rPr>
          <w:rFonts w:ascii="仿宋" w:hAnsi="仿宋" w:eastAsia="仿宋" w:cs="仿宋"/>
        </w:rPr>
      </w:pPr>
      <w:r>
        <w:rPr>
          <w:rFonts w:hint="eastAsia" w:ascii="仿宋" w:hAnsi="仿宋" w:eastAsia="仿宋" w:cs="仿宋"/>
        </w:rPr>
        <w:t>1.8</w:t>
      </w:r>
      <w:r>
        <w:rPr>
          <w:rFonts w:hint="eastAsia" w:ascii="仿宋" w:hAnsi="仿宋" w:eastAsia="仿宋" w:cs="仿宋"/>
          <w:lang w:val="en-US" w:eastAsia="zh-CN"/>
        </w:rPr>
        <w:t xml:space="preserve"> </w:t>
      </w:r>
      <w:r>
        <w:rPr>
          <w:rFonts w:hint="eastAsia" w:ascii="仿宋" w:hAnsi="仿宋" w:eastAsia="仿宋" w:cs="仿宋"/>
        </w:rPr>
        <w:t>投标方应提供货物（或生产线）维修所必需的专用工具，并在投标报价部分说明数量。</w:t>
      </w:r>
    </w:p>
    <w:p w14:paraId="1DD48CA2">
      <w:pPr>
        <w:snapToGrid w:val="0"/>
        <w:spacing w:line="360" w:lineRule="auto"/>
        <w:ind w:left="480"/>
        <w:outlineLvl w:val="2"/>
        <w:rPr>
          <w:rFonts w:ascii="仿宋" w:hAnsi="仿宋" w:eastAsia="仿宋" w:cs="仿宋"/>
          <w:b/>
          <w:bCs/>
        </w:rPr>
      </w:pPr>
      <w:bookmarkStart w:id="499" w:name="_Toc6916"/>
      <w:bookmarkStart w:id="500" w:name="_Toc434"/>
      <w:bookmarkStart w:id="501" w:name="_Toc19187"/>
      <w:bookmarkStart w:id="502" w:name="_Toc10027"/>
      <w:bookmarkStart w:id="503" w:name="_Toc18018"/>
      <w:bookmarkStart w:id="504" w:name="_Toc2744"/>
      <w:bookmarkStart w:id="505" w:name="_Toc11531"/>
      <w:bookmarkStart w:id="506" w:name="_Toc20059"/>
      <w:bookmarkStart w:id="507" w:name="_Toc31074"/>
      <w:bookmarkStart w:id="508" w:name="_Toc29389"/>
      <w:bookmarkStart w:id="509" w:name="_Toc25570"/>
      <w:bookmarkStart w:id="510" w:name="_Toc3726"/>
      <w:bookmarkStart w:id="511" w:name="_Toc8330"/>
      <w:bookmarkStart w:id="512" w:name="_Toc30004"/>
      <w:bookmarkStart w:id="513" w:name="_Toc31685"/>
      <w:bookmarkStart w:id="514" w:name="_Toc5521"/>
      <w:bookmarkStart w:id="515" w:name="_Toc73112406"/>
      <w:bookmarkStart w:id="516" w:name="_Toc30087"/>
      <w:bookmarkStart w:id="517" w:name="_Toc31723"/>
      <w:bookmarkStart w:id="518" w:name="_Toc10211"/>
      <w:r>
        <w:rPr>
          <w:rFonts w:hint="eastAsia" w:ascii="仿宋" w:hAnsi="仿宋" w:eastAsia="仿宋" w:cs="仿宋"/>
          <w:b/>
          <w:bCs/>
        </w:rPr>
        <w:t>2备品备件、易损件和专用耗材供货范围</w:t>
      </w:r>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14:paraId="08ABEF6D">
      <w:pPr>
        <w:pStyle w:val="16"/>
        <w:snapToGrid w:val="0"/>
        <w:spacing w:line="360" w:lineRule="auto"/>
        <w:ind w:left="6" w:firstLine="474" w:firstLineChars="0"/>
        <w:rPr>
          <w:rFonts w:hint="eastAsia" w:ascii="仿宋" w:hAnsi="仿宋" w:eastAsia="仿宋" w:cs="仿宋"/>
          <w:lang w:val="en-US" w:eastAsia="zh-CN"/>
        </w:rPr>
      </w:pPr>
      <w:r>
        <w:rPr>
          <w:rFonts w:hint="eastAsia" w:ascii="仿宋" w:hAnsi="仿宋" w:eastAsia="仿宋" w:cs="仿宋"/>
        </w:rPr>
        <w:t>2.1</w:t>
      </w:r>
      <w:r>
        <w:rPr>
          <w:rFonts w:hint="eastAsia" w:ascii="仿宋" w:hAnsi="仿宋" w:eastAsia="仿宋" w:cs="仿宋"/>
          <w:lang w:val="en-US" w:eastAsia="zh-CN"/>
        </w:rPr>
        <w:t xml:space="preserve"> </w:t>
      </w:r>
      <w:r>
        <w:rPr>
          <w:rFonts w:hint="eastAsia" w:ascii="仿宋" w:hAnsi="仿宋" w:eastAsia="仿宋" w:cs="仿宋"/>
        </w:rPr>
        <w:t>招标方招标文件所指备品备件、易损件和专用耗材，是招标方为保证货物（或生产线）质保期之后正常运行一年所自备自用的备品备件、易损件和专用耗材。</w:t>
      </w:r>
    </w:p>
    <w:p w14:paraId="35752A04">
      <w:pPr>
        <w:pStyle w:val="16"/>
        <w:snapToGrid w:val="0"/>
        <w:spacing w:line="360" w:lineRule="auto"/>
        <w:ind w:left="6" w:firstLine="474" w:firstLineChars="0"/>
        <w:rPr>
          <w:rFonts w:ascii="仿宋" w:hAnsi="仿宋" w:eastAsia="仿宋" w:cs="仿宋"/>
        </w:rPr>
      </w:pPr>
      <w:r>
        <w:rPr>
          <w:rFonts w:hint="eastAsia" w:ascii="仿宋" w:hAnsi="仿宋" w:eastAsia="仿宋" w:cs="仿宋"/>
        </w:rPr>
        <w:t>2.2</w:t>
      </w:r>
      <w:r>
        <w:rPr>
          <w:rFonts w:hint="eastAsia" w:ascii="仿宋" w:hAnsi="仿宋" w:eastAsia="仿宋" w:cs="仿宋"/>
          <w:lang w:val="en-US" w:eastAsia="zh-CN"/>
        </w:rPr>
        <w:t xml:space="preserve"> </w:t>
      </w:r>
      <w:r>
        <w:rPr>
          <w:rFonts w:hint="eastAsia" w:ascii="仿宋" w:hAnsi="仿宋" w:eastAsia="仿宋" w:cs="仿宋"/>
        </w:rPr>
        <w:t>投标方按照招标文件要求提供、或投标方认为招标方应当储备的备品备件、易损件和专用耗材，投标方应当在投标报价部分分别说明所列备品备件、易损件和专用耗材的使用时间。</w:t>
      </w:r>
    </w:p>
    <w:p w14:paraId="1CA9F0F1">
      <w:pPr>
        <w:pStyle w:val="16"/>
        <w:snapToGrid w:val="0"/>
        <w:spacing w:line="360" w:lineRule="auto"/>
        <w:ind w:left="6" w:firstLine="474" w:firstLineChars="0"/>
        <w:rPr>
          <w:rFonts w:ascii="仿宋" w:hAnsi="仿宋" w:eastAsia="仿宋" w:cs="仿宋"/>
        </w:rPr>
      </w:pPr>
      <w:r>
        <w:rPr>
          <w:rFonts w:hint="eastAsia" w:ascii="仿宋" w:hAnsi="仿宋" w:eastAsia="仿宋" w:cs="仿宋"/>
        </w:rPr>
        <w:t>2.3</w:t>
      </w:r>
      <w:r>
        <w:rPr>
          <w:rFonts w:hint="eastAsia" w:ascii="仿宋" w:hAnsi="仿宋" w:eastAsia="仿宋" w:cs="仿宋"/>
          <w:lang w:val="en-US" w:eastAsia="zh-CN"/>
        </w:rPr>
        <w:t xml:space="preserve"> </w:t>
      </w:r>
      <w:r>
        <w:rPr>
          <w:rFonts w:hint="eastAsia" w:ascii="仿宋" w:hAnsi="仿宋" w:eastAsia="仿宋" w:cs="仿宋"/>
        </w:rPr>
        <w:t>投标方应提供易损件和专用耗材的制造图纸及其技术要求等资料。</w:t>
      </w:r>
    </w:p>
    <w:p w14:paraId="064E5359">
      <w:pPr>
        <w:pStyle w:val="16"/>
        <w:snapToGrid w:val="0"/>
        <w:spacing w:line="360" w:lineRule="auto"/>
        <w:ind w:left="6" w:firstLine="474" w:firstLineChars="0"/>
        <w:rPr>
          <w:rFonts w:ascii="仿宋" w:hAnsi="仿宋" w:eastAsia="仿宋" w:cs="仿宋"/>
        </w:rPr>
      </w:pPr>
      <w:r>
        <w:rPr>
          <w:rFonts w:hint="eastAsia" w:ascii="仿宋" w:hAnsi="仿宋" w:eastAsia="仿宋" w:cs="仿宋"/>
        </w:rPr>
        <w:t>2.4</w:t>
      </w:r>
      <w:r>
        <w:rPr>
          <w:rFonts w:hint="eastAsia" w:ascii="仿宋" w:hAnsi="仿宋" w:eastAsia="仿宋" w:cs="仿宋"/>
          <w:lang w:val="en-US" w:eastAsia="zh-CN"/>
        </w:rPr>
        <w:t xml:space="preserve"> </w:t>
      </w:r>
      <w:r>
        <w:rPr>
          <w:rFonts w:hint="eastAsia" w:ascii="仿宋" w:hAnsi="仿宋" w:eastAsia="仿宋" w:cs="仿宋"/>
        </w:rPr>
        <w:t>投标文件中，应当有备品备件、易损件和专</w:t>
      </w:r>
      <w:r>
        <w:rPr>
          <w:rFonts w:hint="eastAsia" w:ascii="仿宋" w:hAnsi="仿宋" w:eastAsia="仿宋" w:cs="仿宋"/>
          <w:highlight w:val="none"/>
        </w:rPr>
        <w:t>用耗材的详细清单（内容包括名称、型号、规格、单位、数量、</w:t>
      </w:r>
      <w:r>
        <w:rPr>
          <w:rFonts w:hint="eastAsia" w:ascii="仿宋" w:hAnsi="仿宋" w:eastAsia="仿宋" w:cs="仿宋"/>
          <w:highlight w:val="none"/>
          <w:lang w:val="en-US" w:eastAsia="zh-CN"/>
        </w:rPr>
        <w:t>品牌、</w:t>
      </w:r>
      <w:r>
        <w:rPr>
          <w:rFonts w:hint="eastAsia" w:ascii="仿宋" w:hAnsi="仿宋" w:eastAsia="仿宋" w:cs="仿宋"/>
          <w:highlight w:val="none"/>
        </w:rPr>
        <w:t>生产厂家、单价、总价</w:t>
      </w:r>
      <w:r>
        <w:rPr>
          <w:rFonts w:hint="eastAsia" w:ascii="仿宋" w:hAnsi="仿宋" w:eastAsia="仿宋" w:cs="仿宋"/>
          <w:highlight w:val="none"/>
          <w:lang w:eastAsia="zh-CN"/>
        </w:rPr>
        <w:t>、</w:t>
      </w:r>
      <w:r>
        <w:rPr>
          <w:rFonts w:hint="eastAsia" w:ascii="仿宋" w:hAnsi="仿宋" w:eastAsia="仿宋" w:cs="仿宋"/>
          <w:highlight w:val="none"/>
          <w:lang w:val="en-US" w:eastAsia="zh-CN"/>
        </w:rPr>
        <w:t>重汽折扣价</w:t>
      </w:r>
      <w:r>
        <w:rPr>
          <w:rFonts w:hint="eastAsia" w:ascii="仿宋" w:hAnsi="仿宋" w:eastAsia="仿宋" w:cs="仿宋"/>
          <w:highlight w:val="none"/>
        </w:rPr>
        <w:t>等）。机床和机器人的主要参数、配置表、关键件和进口外购明</w:t>
      </w:r>
      <w:r>
        <w:rPr>
          <w:rFonts w:hint="eastAsia" w:ascii="仿宋" w:hAnsi="仿宋" w:eastAsia="仿宋" w:cs="仿宋"/>
        </w:rPr>
        <w:t>细表、随机附明细表、技术文件明细表等。</w:t>
      </w:r>
    </w:p>
    <w:p w14:paraId="2DE9A691">
      <w:pPr>
        <w:pStyle w:val="16"/>
        <w:snapToGrid w:val="0"/>
        <w:spacing w:line="360" w:lineRule="auto"/>
        <w:ind w:left="6" w:firstLine="474" w:firstLineChars="0"/>
        <w:rPr>
          <w:rFonts w:ascii="仿宋" w:hAnsi="仿宋" w:eastAsia="仿宋" w:cs="仿宋"/>
          <w:highlight w:val="none"/>
        </w:rPr>
      </w:pPr>
      <w:r>
        <w:rPr>
          <w:rFonts w:hint="eastAsia" w:ascii="仿宋" w:hAnsi="仿宋" w:eastAsia="仿宋" w:cs="仿宋"/>
        </w:rPr>
        <w:t>2.5</w:t>
      </w:r>
      <w:r>
        <w:rPr>
          <w:rFonts w:hint="eastAsia" w:ascii="仿宋" w:hAnsi="仿宋" w:eastAsia="仿宋" w:cs="仿宋"/>
          <w:lang w:val="en-US" w:eastAsia="zh-CN"/>
        </w:rPr>
        <w:t xml:space="preserve"> </w:t>
      </w:r>
      <w:r>
        <w:rPr>
          <w:rFonts w:hint="eastAsia" w:ascii="仿宋" w:hAnsi="仿宋" w:eastAsia="仿宋" w:cs="仿宋"/>
        </w:rPr>
        <w:t>备品备件、易损件和专用耗材的费用应分类单列，并计入投标总报价之内。</w:t>
      </w:r>
    </w:p>
    <w:p w14:paraId="2829E1CD">
      <w:pPr>
        <w:snapToGrid w:val="0"/>
        <w:spacing w:line="360" w:lineRule="auto"/>
        <w:ind w:left="480"/>
        <w:outlineLvl w:val="2"/>
        <w:rPr>
          <w:rFonts w:ascii="仿宋" w:hAnsi="仿宋" w:eastAsia="仿宋" w:cs="仿宋"/>
          <w:b/>
          <w:bCs/>
          <w:highlight w:val="none"/>
        </w:rPr>
      </w:pPr>
      <w:bookmarkStart w:id="519" w:name="_Toc73112407"/>
      <w:bookmarkStart w:id="520" w:name="_Toc253"/>
      <w:bookmarkStart w:id="521" w:name="_Toc29526"/>
      <w:bookmarkStart w:id="522" w:name="_Toc21438"/>
      <w:bookmarkStart w:id="523" w:name="_Toc14387"/>
      <w:bookmarkStart w:id="524" w:name="_Toc30185"/>
      <w:bookmarkStart w:id="525" w:name="_Toc29028"/>
      <w:bookmarkStart w:id="526" w:name="_Toc30333"/>
      <w:bookmarkStart w:id="527" w:name="_Toc27176"/>
      <w:bookmarkStart w:id="528" w:name="_Toc13573"/>
      <w:bookmarkStart w:id="529" w:name="_Toc6474"/>
      <w:bookmarkStart w:id="530" w:name="_Toc8994"/>
      <w:bookmarkStart w:id="531" w:name="_Toc19082"/>
      <w:bookmarkStart w:id="532" w:name="_Toc11396"/>
      <w:bookmarkStart w:id="533" w:name="_Toc23668"/>
      <w:bookmarkStart w:id="534" w:name="_Toc8769"/>
      <w:bookmarkStart w:id="535" w:name="_Toc29622"/>
      <w:bookmarkStart w:id="536" w:name="_Toc30460"/>
      <w:bookmarkStart w:id="537" w:name="_Toc20956"/>
      <w:bookmarkStart w:id="538" w:name="_Toc26974"/>
      <w:r>
        <w:rPr>
          <w:rFonts w:hint="eastAsia" w:ascii="仿宋" w:hAnsi="仿宋" w:eastAsia="仿宋" w:cs="仿宋"/>
          <w:b/>
          <w:bCs/>
          <w:highlight w:val="none"/>
        </w:rPr>
        <w:t>3技术资料供货范围</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p>
    <w:p w14:paraId="48879912">
      <w:pPr>
        <w:pStyle w:val="16"/>
        <w:snapToGrid w:val="0"/>
        <w:spacing w:line="360" w:lineRule="auto"/>
        <w:ind w:left="6" w:firstLine="474" w:firstLineChars="0"/>
        <w:rPr>
          <w:rFonts w:ascii="仿宋" w:hAnsi="仿宋" w:eastAsia="仿宋" w:cs="仿宋"/>
        </w:rPr>
      </w:pPr>
      <w:bookmarkStart w:id="539" w:name="_Toc133783972"/>
      <w:r>
        <w:rPr>
          <w:rFonts w:hint="eastAsia" w:ascii="仿宋" w:hAnsi="仿宋" w:eastAsia="仿宋" w:cs="仿宋"/>
          <w:highlight w:val="none"/>
        </w:rPr>
        <w:t>技术资料（进口设备</w:t>
      </w:r>
      <w:r>
        <w:rPr>
          <w:rFonts w:hint="eastAsia" w:ascii="仿宋" w:hAnsi="仿宋" w:eastAsia="仿宋" w:cs="仿宋"/>
        </w:rPr>
        <w:t>要求中英文对照）包括：</w:t>
      </w:r>
    </w:p>
    <w:p w14:paraId="7D2D939F">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w:t>
      </w:r>
      <w:r>
        <w:rPr>
          <w:rFonts w:hint="eastAsia" w:ascii="仿宋" w:hAnsi="仿宋" w:eastAsia="仿宋" w:cs="仿宋"/>
          <w:lang w:val="en-US" w:eastAsia="zh-CN"/>
        </w:rPr>
        <w:t xml:space="preserve"> </w:t>
      </w:r>
      <w:r>
        <w:rPr>
          <w:rFonts w:hint="eastAsia" w:ascii="仿宋" w:hAnsi="仿宋" w:eastAsia="仿宋" w:cs="仿宋"/>
        </w:rPr>
        <w:t>设备安全操作规程和使用手册；</w:t>
      </w:r>
    </w:p>
    <w:p w14:paraId="5E39E503">
      <w:pPr>
        <w:pStyle w:val="16"/>
        <w:snapToGrid w:val="0"/>
        <w:spacing w:line="360" w:lineRule="auto"/>
        <w:ind w:left="6" w:firstLine="474" w:firstLineChars="0"/>
        <w:rPr>
          <w:rFonts w:ascii="仿宋" w:hAnsi="仿宋" w:eastAsia="仿宋" w:cs="仿宋"/>
        </w:rPr>
      </w:pPr>
      <w:r>
        <w:rPr>
          <w:rFonts w:hint="eastAsia" w:ascii="仿宋" w:hAnsi="仿宋" w:eastAsia="仿宋" w:cs="仿宋"/>
        </w:rPr>
        <w:t>3.2</w:t>
      </w:r>
      <w:r>
        <w:rPr>
          <w:rFonts w:hint="eastAsia" w:ascii="仿宋" w:hAnsi="仿宋" w:eastAsia="仿宋" w:cs="仿宋"/>
          <w:lang w:val="en-US" w:eastAsia="zh-CN"/>
        </w:rPr>
        <w:t xml:space="preserve"> </w:t>
      </w:r>
      <w:r>
        <w:rPr>
          <w:rFonts w:hint="eastAsia" w:ascii="仿宋" w:hAnsi="仿宋" w:eastAsia="仿宋" w:cs="仿宋"/>
        </w:rPr>
        <w:t>PLC编程手册和使用手册；</w:t>
      </w:r>
    </w:p>
    <w:p w14:paraId="00DA9DF0">
      <w:pPr>
        <w:pStyle w:val="16"/>
        <w:snapToGrid w:val="0"/>
        <w:spacing w:line="360" w:lineRule="auto"/>
        <w:ind w:left="6" w:firstLine="474" w:firstLineChars="0"/>
        <w:rPr>
          <w:rFonts w:ascii="仿宋" w:hAnsi="仿宋" w:eastAsia="仿宋" w:cs="仿宋"/>
        </w:rPr>
      </w:pPr>
      <w:r>
        <w:rPr>
          <w:rFonts w:hint="eastAsia" w:ascii="仿宋" w:hAnsi="仿宋" w:eastAsia="仿宋" w:cs="仿宋"/>
        </w:rPr>
        <w:t>3.3</w:t>
      </w:r>
      <w:r>
        <w:rPr>
          <w:rFonts w:hint="eastAsia" w:ascii="仿宋" w:hAnsi="仿宋" w:eastAsia="仿宋" w:cs="仿宋"/>
          <w:lang w:val="en-US" w:eastAsia="zh-CN"/>
        </w:rPr>
        <w:t xml:space="preserve"> </w:t>
      </w:r>
      <w:r>
        <w:rPr>
          <w:rFonts w:hint="eastAsia" w:ascii="仿宋" w:hAnsi="仿宋" w:eastAsia="仿宋" w:cs="仿宋"/>
        </w:rPr>
        <w:t>维修手册及保养手册；</w:t>
      </w:r>
    </w:p>
    <w:p w14:paraId="27D233BA">
      <w:pPr>
        <w:pStyle w:val="16"/>
        <w:snapToGrid w:val="0"/>
        <w:spacing w:line="360" w:lineRule="auto"/>
        <w:ind w:left="6" w:firstLine="474" w:firstLineChars="0"/>
        <w:rPr>
          <w:rFonts w:ascii="仿宋" w:hAnsi="仿宋" w:eastAsia="仿宋" w:cs="仿宋"/>
        </w:rPr>
      </w:pPr>
      <w:r>
        <w:rPr>
          <w:rFonts w:hint="eastAsia" w:ascii="仿宋" w:hAnsi="仿宋" w:eastAsia="仿宋" w:cs="仿宋"/>
        </w:rPr>
        <w:t>3.4</w:t>
      </w:r>
      <w:r>
        <w:rPr>
          <w:rFonts w:hint="eastAsia" w:ascii="仿宋" w:hAnsi="仿宋" w:eastAsia="仿宋" w:cs="仿宋"/>
          <w:lang w:val="en-US" w:eastAsia="zh-CN"/>
        </w:rPr>
        <w:t xml:space="preserve"> </w:t>
      </w:r>
      <w:r>
        <w:rPr>
          <w:rFonts w:hint="eastAsia" w:ascii="仿宋" w:hAnsi="仿宋" w:eastAsia="仿宋" w:cs="仿宋"/>
        </w:rPr>
        <w:t>液压原理图（含动作顺序表）、气动原理图（含动作顺序表）、润滑原理图、电气原理图、电器接线图、电气元件分布图、梯形图（带中文注释）；</w:t>
      </w:r>
    </w:p>
    <w:p w14:paraId="67B28C0B">
      <w:pPr>
        <w:pStyle w:val="16"/>
        <w:snapToGrid w:val="0"/>
        <w:spacing w:line="360" w:lineRule="auto"/>
        <w:ind w:left="6" w:firstLine="474" w:firstLineChars="0"/>
        <w:rPr>
          <w:rFonts w:ascii="仿宋" w:hAnsi="仿宋" w:eastAsia="仿宋" w:cs="仿宋"/>
        </w:rPr>
      </w:pPr>
      <w:r>
        <w:rPr>
          <w:rFonts w:hint="eastAsia" w:ascii="仿宋" w:hAnsi="仿宋" w:eastAsia="仿宋" w:cs="仿宋"/>
        </w:rPr>
        <w:t>3.5</w:t>
      </w:r>
      <w:r>
        <w:rPr>
          <w:rFonts w:hint="eastAsia" w:ascii="仿宋" w:hAnsi="仿宋" w:eastAsia="仿宋" w:cs="仿宋"/>
          <w:lang w:val="en-US" w:eastAsia="zh-CN"/>
        </w:rPr>
        <w:t xml:space="preserve"> </w:t>
      </w:r>
      <w:r>
        <w:rPr>
          <w:rFonts w:hint="eastAsia" w:ascii="仿宋" w:hAnsi="仿宋" w:eastAsia="仿宋" w:cs="仿宋"/>
        </w:rPr>
        <w:t>总装配图和主要部件的装配图，全部自制零件正规图纸，提供机床所有零件的明细表，零件号与装配图应一一对应，且能方便地查找零件在装配图上的位置。提供关键件、易损件零件图。</w:t>
      </w:r>
    </w:p>
    <w:p w14:paraId="6ED58777">
      <w:pPr>
        <w:pStyle w:val="16"/>
        <w:snapToGrid w:val="0"/>
        <w:spacing w:line="360" w:lineRule="auto"/>
        <w:ind w:left="6" w:firstLine="474" w:firstLineChars="0"/>
        <w:rPr>
          <w:rFonts w:ascii="仿宋" w:hAnsi="仿宋" w:eastAsia="仿宋" w:cs="仿宋"/>
        </w:rPr>
      </w:pPr>
      <w:r>
        <w:rPr>
          <w:rFonts w:hint="eastAsia" w:ascii="仿宋" w:hAnsi="仿宋" w:eastAsia="仿宋" w:cs="仿宋"/>
        </w:rPr>
        <w:t>3.6</w:t>
      </w:r>
      <w:r>
        <w:rPr>
          <w:rFonts w:hint="eastAsia" w:ascii="仿宋" w:hAnsi="仿宋" w:eastAsia="仿宋" w:cs="仿宋"/>
          <w:lang w:val="en-US" w:eastAsia="zh-CN"/>
        </w:rPr>
        <w:t xml:space="preserve"> </w:t>
      </w:r>
      <w:r>
        <w:rPr>
          <w:rFonts w:hint="eastAsia" w:ascii="仿宋" w:hAnsi="仿宋" w:eastAsia="仿宋" w:cs="仿宋"/>
        </w:rPr>
        <w:t>采购部件提供正规装配图及零件明细;标准件提供明细（包括型号、规格、部位、数量、制造厂家）并与装配图一一对应；提供关键件，易损件明细。</w:t>
      </w:r>
    </w:p>
    <w:p w14:paraId="4CEDC5A4">
      <w:pPr>
        <w:pStyle w:val="16"/>
        <w:snapToGrid w:val="0"/>
        <w:spacing w:line="360" w:lineRule="auto"/>
        <w:ind w:left="6" w:firstLine="474" w:firstLineChars="0"/>
        <w:rPr>
          <w:rFonts w:ascii="仿宋" w:hAnsi="仿宋" w:eastAsia="仿宋" w:cs="仿宋"/>
        </w:rPr>
      </w:pPr>
      <w:r>
        <w:rPr>
          <w:rFonts w:hint="eastAsia" w:ascii="仿宋" w:hAnsi="仿宋" w:eastAsia="仿宋" w:cs="仿宋"/>
        </w:rPr>
        <w:t>3.7</w:t>
      </w:r>
      <w:r>
        <w:rPr>
          <w:rFonts w:hint="eastAsia" w:ascii="仿宋" w:hAnsi="仿宋" w:eastAsia="仿宋" w:cs="仿宋"/>
          <w:lang w:val="en-US" w:eastAsia="zh-CN"/>
        </w:rPr>
        <w:t xml:space="preserve"> </w:t>
      </w:r>
      <w:r>
        <w:rPr>
          <w:rFonts w:hint="eastAsia" w:ascii="仿宋" w:hAnsi="仿宋" w:eastAsia="仿宋" w:cs="仿宋"/>
        </w:rPr>
        <w:t>提供所有电气元件，液压元件，气动元件，润滑元件明细表（包括型号、规格、部位、数量、制造厂家）。</w:t>
      </w:r>
    </w:p>
    <w:p w14:paraId="6B6524C1">
      <w:pPr>
        <w:pStyle w:val="16"/>
        <w:snapToGrid w:val="0"/>
        <w:spacing w:line="360" w:lineRule="auto"/>
        <w:ind w:left="6" w:firstLine="474" w:firstLineChars="0"/>
        <w:rPr>
          <w:rFonts w:ascii="仿宋" w:hAnsi="仿宋" w:eastAsia="仿宋" w:cs="仿宋"/>
        </w:rPr>
      </w:pPr>
      <w:r>
        <w:rPr>
          <w:rFonts w:hint="eastAsia" w:ascii="仿宋" w:hAnsi="仿宋" w:eastAsia="仿宋" w:cs="仿宋"/>
        </w:rPr>
        <w:t>3.8 主要外购装置、外购件的使用指导说明书。</w:t>
      </w:r>
    </w:p>
    <w:p w14:paraId="658D117B">
      <w:pPr>
        <w:snapToGrid w:val="0"/>
        <w:spacing w:line="360" w:lineRule="auto"/>
        <w:ind w:left="6" w:firstLine="474"/>
        <w:rPr>
          <w:rFonts w:hint="eastAsia" w:ascii="仿宋" w:hAnsi="仿宋" w:eastAsia="仿宋" w:cs="仿宋"/>
        </w:rPr>
      </w:pPr>
      <w:r>
        <w:rPr>
          <w:rFonts w:hint="eastAsia" w:ascii="仿宋" w:hAnsi="仿宋" w:eastAsia="仿宋" w:cs="仿宋"/>
        </w:rPr>
        <w:t>3.9</w:t>
      </w:r>
      <w:r>
        <w:rPr>
          <w:rFonts w:hint="eastAsia" w:ascii="仿宋" w:hAnsi="仿宋" w:eastAsia="仿宋" w:cs="仿宋"/>
          <w:lang w:val="en-US" w:eastAsia="zh-CN"/>
        </w:rPr>
        <w:t xml:space="preserve"> </w:t>
      </w:r>
      <w:r>
        <w:rPr>
          <w:rFonts w:hint="eastAsia" w:ascii="仿宋" w:hAnsi="仿宋" w:eastAsia="仿宋" w:cs="仿宋"/>
        </w:rPr>
        <w:t>主要零部件、元器件，由投标方负责检验，并提供检验报告。</w:t>
      </w:r>
    </w:p>
    <w:p w14:paraId="6CED1E6F">
      <w:pPr>
        <w:snapToGrid w:val="0"/>
        <w:spacing w:line="360" w:lineRule="auto"/>
        <w:ind w:left="6" w:firstLine="474"/>
        <w:rPr>
          <w:rFonts w:hint="eastAsia" w:ascii="仿宋" w:hAnsi="仿宋" w:eastAsia="仿宋" w:cs="仿宋"/>
        </w:rPr>
      </w:pPr>
      <w:r>
        <w:rPr>
          <w:rFonts w:hint="eastAsia" w:ascii="仿宋" w:hAnsi="仿宋" w:eastAsia="仿宋" w:cs="仿宋"/>
        </w:rPr>
        <w:t>3.10 应提供设备出厂所必须的具备国际标准或国内标准规定的具备相关计量检定资质单位精度检验证书、性能测试记录和报告。校准（标定）作业指导书</w:t>
      </w:r>
      <w:r>
        <w:rPr>
          <w:rFonts w:hint="eastAsia" w:ascii="仿宋" w:hAnsi="仿宋" w:eastAsia="仿宋" w:cs="仿宋"/>
          <w:lang w:eastAsia="zh-CN"/>
        </w:rPr>
        <w:t>。</w:t>
      </w:r>
      <w:r>
        <w:rPr>
          <w:rFonts w:hint="eastAsia" w:ascii="仿宋" w:hAnsi="仿宋" w:eastAsia="仿宋" w:cs="仿宋"/>
        </w:rPr>
        <w:t>应提供具有测量、检定、校准等功能设备及具备有压力、温度、流量、位移等计量监控要求的计量器具进行检定/校准/标定所用受控标准器具及作业指导书、检定机构名单。涉及安全、工艺参数的传感器应可拆卸并具备送检条件，</w:t>
      </w:r>
      <w:r>
        <w:rPr>
          <w:rFonts w:hint="eastAsia" w:ascii="仿宋" w:hAnsi="仿宋" w:eastAsia="仿宋" w:cs="仿宋"/>
          <w:lang w:val="en-US" w:eastAsia="zh-CN"/>
        </w:rPr>
        <w:t>并且至少提供一件同型号传感器备件，</w:t>
      </w:r>
      <w:r>
        <w:rPr>
          <w:rFonts w:hint="eastAsia" w:ascii="仿宋" w:hAnsi="仿宋" w:eastAsia="仿宋" w:cs="仿宋"/>
        </w:rPr>
        <w:t>不能</w:t>
      </w:r>
      <w:r>
        <w:rPr>
          <w:rFonts w:hint="eastAsia" w:ascii="仿宋" w:hAnsi="仿宋" w:eastAsia="仿宋" w:cs="仿宋"/>
          <w:lang w:val="en-US" w:eastAsia="zh-CN"/>
        </w:rPr>
        <w:t>因仪表检测</w:t>
      </w:r>
      <w:r>
        <w:rPr>
          <w:rFonts w:hint="eastAsia" w:ascii="仿宋" w:hAnsi="仿宋" w:eastAsia="仿宋" w:cs="仿宋"/>
        </w:rPr>
        <w:t>影响设备正常使用；不可拆卸的传感器应提供可用于校准的标准器及其图纸</w:t>
      </w:r>
      <w:r>
        <w:rPr>
          <w:rFonts w:hint="eastAsia" w:ascii="仿宋" w:hAnsi="仿宋" w:eastAsia="仿宋" w:cs="仿宋"/>
          <w:lang w:eastAsia="zh-CN"/>
        </w:rPr>
        <w:t>，</w:t>
      </w:r>
      <w:r>
        <w:rPr>
          <w:rFonts w:hint="eastAsia" w:ascii="仿宋" w:hAnsi="仿宋" w:eastAsia="仿宋" w:cs="仿宋"/>
          <w:lang w:val="en-US" w:eastAsia="zh-CN"/>
        </w:rPr>
        <w:t>提供标定工装，以便于设备后期传感器精度标定</w:t>
      </w:r>
      <w:r>
        <w:rPr>
          <w:rFonts w:hint="eastAsia" w:ascii="仿宋" w:hAnsi="仿宋" w:eastAsia="仿宋" w:cs="仿宋"/>
          <w:lang w:eastAsia="zh-CN"/>
        </w:rPr>
        <w:t>。</w:t>
      </w:r>
    </w:p>
    <w:p w14:paraId="1E663EF1">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3.11 提供设备消耗水、电、气的详细资料。</w:t>
      </w:r>
    </w:p>
    <w:p w14:paraId="4AF16828">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3.12 保证设备正常运行、维护和保养必需的其他参数和资料。</w:t>
      </w:r>
    </w:p>
    <w:p w14:paraId="23B2CB6B">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3.13</w:t>
      </w:r>
      <w:r>
        <w:rPr>
          <w:rFonts w:hint="eastAsia" w:ascii="仿宋" w:hAnsi="仿宋" w:eastAsia="仿宋" w:cs="仿宋"/>
          <w:lang w:val="en-US" w:eastAsia="zh-CN"/>
        </w:rPr>
        <w:t xml:space="preserve"> </w:t>
      </w:r>
      <w:r>
        <w:rPr>
          <w:rFonts w:hint="eastAsia" w:ascii="仿宋" w:hAnsi="仿宋" w:eastAsia="仿宋" w:cs="仿宋"/>
        </w:rPr>
        <w:t>投标方须负责在合同签订后</w:t>
      </w:r>
      <w:r>
        <w:rPr>
          <w:rFonts w:hint="eastAsia" w:ascii="仿宋" w:hAnsi="仿宋" w:eastAsia="仿宋" w:cs="仿宋"/>
          <w:u w:val="single"/>
          <w:shd w:val="pct10" w:color="auto" w:fill="FFFFFF"/>
        </w:rPr>
        <w:t>30</w:t>
      </w:r>
      <w:r>
        <w:rPr>
          <w:rFonts w:hint="eastAsia" w:ascii="仿宋" w:hAnsi="仿宋" w:eastAsia="仿宋" w:cs="仿宋"/>
        </w:rPr>
        <w:t>日内，提供设备基础及相关的安装、设计资料，并提供电子版资料文件，文件格式为：.doc,.dwg或.dxf；（进口货物、设备应有中外文对照）；并同时提出对厂房、基础、公用设施、消防、环保等不超出招标文件、投标文件、答疑文件、技术交流文件、技术协议书和合同等规定的、有特殊要求的解释、说明和要求；</w:t>
      </w:r>
    </w:p>
    <w:p w14:paraId="5EA3A2A9">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3.14</w:t>
      </w:r>
      <w:r>
        <w:rPr>
          <w:rFonts w:hint="eastAsia" w:ascii="仿宋" w:hAnsi="仿宋" w:eastAsia="仿宋" w:cs="仿宋"/>
          <w:lang w:val="en-US" w:eastAsia="zh-CN"/>
        </w:rPr>
        <w:t xml:space="preserve"> </w:t>
      </w:r>
      <w:r>
        <w:rPr>
          <w:rFonts w:hint="eastAsia" w:ascii="仿宋" w:hAnsi="仿宋" w:eastAsia="仿宋" w:cs="仿宋"/>
        </w:rPr>
        <w:t>投标方须负责在预验收前，提供设备各部分的功能描述文件、图片、影像等资料（进口、设备应有中外文对照）；</w:t>
      </w:r>
    </w:p>
    <w:p w14:paraId="1C7A2644">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3.15</w:t>
      </w:r>
      <w:r>
        <w:rPr>
          <w:rFonts w:hint="eastAsia" w:ascii="仿宋" w:hAnsi="仿宋" w:eastAsia="仿宋" w:cs="仿宋"/>
          <w:lang w:val="en-US" w:eastAsia="zh-CN"/>
        </w:rPr>
        <w:t xml:space="preserve"> </w:t>
      </w:r>
      <w:r>
        <w:rPr>
          <w:rFonts w:hint="eastAsia" w:ascii="仿宋" w:hAnsi="仿宋" w:eastAsia="仿宋" w:cs="仿宋"/>
        </w:rPr>
        <w:t>投标方须负责在终验收前，提供招标方所需全套的工装、模具、吊（挂）具明细及其图纸、具体技术要求等资料；</w:t>
      </w:r>
    </w:p>
    <w:p w14:paraId="50BEA7B2">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3.16</w:t>
      </w:r>
      <w:r>
        <w:rPr>
          <w:rFonts w:hint="eastAsia" w:ascii="仿宋" w:hAnsi="仿宋" w:eastAsia="仿宋" w:cs="仿宋"/>
          <w:lang w:val="en-US" w:eastAsia="zh-CN"/>
        </w:rPr>
        <w:t xml:space="preserve"> </w:t>
      </w:r>
      <w:r>
        <w:rPr>
          <w:rFonts w:hint="eastAsia" w:ascii="仿宋" w:hAnsi="仿宋" w:eastAsia="仿宋" w:cs="仿宋"/>
        </w:rPr>
        <w:t>投标方须负责在终验收前，提供确定的设备的外购件、外协件、电气元件及主要原材料的供货厂家明细表；</w:t>
      </w:r>
    </w:p>
    <w:p w14:paraId="7C0941CD">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3.17</w:t>
      </w:r>
      <w:r>
        <w:rPr>
          <w:rFonts w:hint="eastAsia" w:ascii="仿宋" w:hAnsi="仿宋" w:eastAsia="仿宋" w:cs="仿宋"/>
          <w:lang w:val="en-US" w:eastAsia="zh-CN"/>
        </w:rPr>
        <w:t xml:space="preserve"> </w:t>
      </w:r>
      <w:r>
        <w:rPr>
          <w:rFonts w:hint="eastAsia" w:ascii="仿宋" w:hAnsi="仿宋" w:eastAsia="仿宋" w:cs="仿宋"/>
        </w:rPr>
        <w:t>投标方须负责在设备到达招标方工厂时，与设备一并提供包括设备的备品备件、易损件和专用耗材规定的图纸及技术参数、技术要求等资料；</w:t>
      </w:r>
    </w:p>
    <w:p w14:paraId="160D539A">
      <w:pPr>
        <w:pStyle w:val="16"/>
        <w:snapToGrid w:val="0"/>
        <w:spacing w:line="360" w:lineRule="auto"/>
        <w:ind w:left="6" w:firstLine="474" w:firstLineChars="0"/>
        <w:rPr>
          <w:rFonts w:ascii="仿宋" w:hAnsi="仿宋" w:eastAsia="仿宋" w:cs="仿宋"/>
        </w:rPr>
      </w:pPr>
      <w:r>
        <w:rPr>
          <w:rFonts w:hint="eastAsia" w:ascii="仿宋" w:hAnsi="仿宋" w:eastAsia="仿宋" w:cs="仿宋"/>
        </w:rPr>
        <w:t>3.18</w:t>
      </w:r>
      <w:r>
        <w:rPr>
          <w:rFonts w:hint="eastAsia" w:ascii="仿宋" w:hAnsi="仿宋" w:eastAsia="仿宋" w:cs="仿宋"/>
          <w:lang w:val="en-US" w:eastAsia="zh-CN"/>
        </w:rPr>
        <w:t xml:space="preserve"> </w:t>
      </w:r>
      <w:r>
        <w:rPr>
          <w:rFonts w:hint="eastAsia" w:ascii="仿宋" w:hAnsi="仿宋" w:eastAsia="仿宋" w:cs="仿宋"/>
        </w:rPr>
        <w:t>投标方须负责在设备到达招标方工厂时，与设备一并提供包括设备的操作维护手册，保养维修手册、安全操作规程和安全事项的说明书、仪器仪表检定和使用维修说明书、产品样本等技术资料、图片、影像等资料(对于进口设备，应有中外文资料说明)；</w:t>
      </w:r>
    </w:p>
    <w:p w14:paraId="1B76A342">
      <w:pPr>
        <w:pStyle w:val="16"/>
        <w:snapToGrid w:val="0"/>
        <w:spacing w:line="360" w:lineRule="auto"/>
        <w:ind w:left="6" w:firstLine="474" w:firstLineChars="0"/>
        <w:rPr>
          <w:rFonts w:hint="eastAsia" w:ascii="仿宋" w:hAnsi="仿宋" w:eastAsia="仿宋" w:cs="仿宋"/>
        </w:rPr>
      </w:pPr>
      <w:r>
        <w:rPr>
          <w:rFonts w:hint="eastAsia" w:ascii="仿宋" w:hAnsi="仿宋" w:eastAsia="仿宋" w:cs="仿宋"/>
        </w:rPr>
        <w:t>3.19</w:t>
      </w:r>
      <w:r>
        <w:rPr>
          <w:rFonts w:hint="eastAsia" w:ascii="仿宋" w:hAnsi="仿宋" w:eastAsia="仿宋" w:cs="仿宋"/>
          <w:lang w:val="en-US" w:eastAsia="zh-CN"/>
        </w:rPr>
        <w:t xml:space="preserve"> </w:t>
      </w:r>
      <w:r>
        <w:rPr>
          <w:rFonts w:hint="eastAsia" w:ascii="仿宋" w:hAnsi="仿宋" w:eastAsia="仿宋" w:cs="仿宋"/>
        </w:rPr>
        <w:t>投标方须负责在设备到达招标方工厂时，与设备一并提供包括设备的设计总图、设备全线布置图、电气资料（包括接线图、原理图、布线图、梯形图等）、液压（气动）原理图和系统图、安装基础图、维修图等有关的资料、图片、影像等资料(对于进口设备，应有中外文资料说明)；</w:t>
      </w:r>
    </w:p>
    <w:p w14:paraId="0934BFF9">
      <w:pPr>
        <w:pStyle w:val="16"/>
        <w:snapToGrid w:val="0"/>
        <w:spacing w:line="360" w:lineRule="auto"/>
        <w:ind w:left="6" w:firstLine="474" w:firstLineChars="0"/>
        <w:rPr>
          <w:rFonts w:hint="default" w:ascii="仿宋" w:hAnsi="仿宋" w:eastAsia="仿宋" w:cs="仿宋"/>
          <w:lang w:val="en-US" w:eastAsia="zh-CN"/>
        </w:rPr>
      </w:pPr>
      <w:r>
        <w:rPr>
          <w:rFonts w:hint="eastAsia" w:ascii="仿宋" w:hAnsi="仿宋" w:eastAsia="仿宋" w:cs="仿宋"/>
          <w:lang w:val="en-US" w:eastAsia="zh-CN"/>
        </w:rPr>
        <w:t xml:space="preserve">3.20 投标方在设备入场前提供接口的技术文档和参数说明，包括但不限于接口协议、通讯速率、数据格式等。 </w:t>
      </w:r>
    </w:p>
    <w:p w14:paraId="1EBF0530">
      <w:pPr>
        <w:pStyle w:val="16"/>
        <w:snapToGrid w:val="0"/>
        <w:spacing w:line="360" w:lineRule="auto"/>
        <w:ind w:left="6" w:firstLine="474" w:firstLineChars="0"/>
        <w:rPr>
          <w:rFonts w:ascii="仿宋" w:hAnsi="仿宋" w:eastAsia="仿宋" w:cs="仿宋"/>
          <w:highlight w:val="none"/>
        </w:rPr>
      </w:pPr>
      <w:r>
        <w:rPr>
          <w:rFonts w:hint="eastAsia" w:ascii="仿宋" w:hAnsi="仿宋" w:eastAsia="仿宋" w:cs="仿宋"/>
        </w:rPr>
        <w:t>3.</w:t>
      </w:r>
      <w:r>
        <w:rPr>
          <w:rFonts w:hint="eastAsia" w:ascii="仿宋" w:hAnsi="仿宋" w:eastAsia="仿宋" w:cs="仿宋"/>
          <w:lang w:val="en-US" w:eastAsia="zh-CN"/>
        </w:rPr>
        <w:t xml:space="preserve">21 </w:t>
      </w:r>
      <w:r>
        <w:rPr>
          <w:rFonts w:hint="eastAsia" w:ascii="仿宋" w:hAnsi="仿宋" w:eastAsia="仿宋" w:cs="仿宋"/>
        </w:rPr>
        <w:t>本“技术资料范围”所列的技术资料、图片、影像等，投标方应各提供</w:t>
      </w:r>
      <w:r>
        <w:rPr>
          <w:rFonts w:hint="eastAsia" w:ascii="仿宋" w:hAnsi="仿宋" w:eastAsia="仿宋" w:cs="仿宋"/>
          <w:shd w:val="pct10" w:color="auto" w:fill="FFFFFF"/>
          <w:lang w:val="en-US" w:eastAsia="zh-CN"/>
        </w:rPr>
        <w:t>5</w:t>
      </w:r>
      <w:r>
        <w:rPr>
          <w:rFonts w:hint="eastAsia" w:ascii="仿宋" w:hAnsi="仿宋" w:eastAsia="仿宋" w:cs="仿宋"/>
        </w:rPr>
        <w:t>套，其中</w:t>
      </w:r>
      <w:r>
        <w:rPr>
          <w:rFonts w:hint="eastAsia" w:ascii="仿宋" w:hAnsi="仿宋" w:eastAsia="仿宋" w:cs="仿宋"/>
          <w:shd w:val="pct10" w:color="auto" w:fill="FFFFFF"/>
          <w:lang w:val="en-US" w:eastAsia="zh-CN"/>
        </w:rPr>
        <w:t>3</w:t>
      </w:r>
      <w:r>
        <w:rPr>
          <w:rFonts w:hint="eastAsia" w:ascii="仿宋" w:hAnsi="仿宋" w:eastAsia="仿宋" w:cs="仿宋"/>
        </w:rPr>
        <w:t>套为电子版</w:t>
      </w:r>
      <w:r>
        <w:rPr>
          <w:rFonts w:hint="eastAsia" w:ascii="仿宋" w:hAnsi="仿宋" w:eastAsia="仿宋" w:cs="仿宋"/>
          <w:lang w:val="en-US" w:eastAsia="zh-CN"/>
        </w:rPr>
        <w:t>U</w:t>
      </w:r>
      <w:r>
        <w:rPr>
          <w:rFonts w:hint="eastAsia" w:ascii="仿宋" w:hAnsi="仿宋" w:eastAsia="仿宋" w:cs="仿宋"/>
        </w:rPr>
        <w:t>盘</w:t>
      </w:r>
      <w:r>
        <w:rPr>
          <w:rFonts w:hint="eastAsia" w:ascii="仿宋" w:hAnsi="仿宋" w:eastAsia="仿宋" w:cs="仿宋"/>
          <w:lang w:eastAsia="zh-CN"/>
        </w:rPr>
        <w:t>，</w:t>
      </w:r>
      <w:r>
        <w:rPr>
          <w:rFonts w:hint="eastAsia" w:ascii="仿宋" w:hAnsi="仿宋" w:eastAsia="仿宋" w:cs="仿宋"/>
          <w:lang w:val="en-US" w:eastAsia="zh-CN"/>
        </w:rPr>
        <w:t>2套为装订成册的纸质版</w:t>
      </w:r>
      <w:r>
        <w:rPr>
          <w:rFonts w:hint="eastAsia" w:ascii="仿宋" w:hAnsi="仿宋" w:eastAsia="仿宋" w:cs="仿宋"/>
        </w:rPr>
        <w:t>；每份技术文件应装有目录清单；</w:t>
      </w:r>
    </w:p>
    <w:p w14:paraId="41EAE6C9">
      <w:pPr>
        <w:pStyle w:val="16"/>
        <w:snapToGrid w:val="0"/>
        <w:spacing w:line="360" w:lineRule="auto"/>
        <w:ind w:left="6" w:firstLine="474" w:firstLineChars="0"/>
        <w:rPr>
          <w:rFonts w:ascii="仿宋" w:hAnsi="仿宋" w:eastAsia="仿宋" w:cs="仿宋"/>
          <w:highlight w:val="none"/>
        </w:rPr>
      </w:pPr>
      <w:r>
        <w:rPr>
          <w:rFonts w:hint="eastAsia" w:ascii="仿宋" w:hAnsi="仿宋" w:eastAsia="仿宋" w:cs="仿宋"/>
          <w:highlight w:val="none"/>
        </w:rPr>
        <w:t>3.2</w:t>
      </w:r>
      <w:r>
        <w:rPr>
          <w:rFonts w:hint="eastAsia" w:ascii="仿宋" w:hAnsi="仿宋" w:eastAsia="仿宋" w:cs="仿宋"/>
          <w:highlight w:val="none"/>
          <w:lang w:val="en-US" w:eastAsia="zh-CN"/>
        </w:rPr>
        <w:t xml:space="preserve">2 </w:t>
      </w:r>
      <w:r>
        <w:rPr>
          <w:rFonts w:hint="eastAsia" w:ascii="仿宋" w:hAnsi="仿宋" w:eastAsia="仿宋" w:cs="仿宋"/>
          <w:highlight w:val="none"/>
        </w:rPr>
        <w:t>本“技术资料范围”所列要求，如招标方认为投标方提供的资料不能满足要求时，有权要求投标方补充或增加。</w:t>
      </w:r>
    </w:p>
    <w:p w14:paraId="5F8DFAA2">
      <w:pPr>
        <w:adjustRightInd w:val="0"/>
        <w:snapToGrid w:val="0"/>
        <w:spacing w:before="163" w:beforeLines="50" w:after="163" w:afterLines="50" w:line="360" w:lineRule="auto"/>
        <w:jc w:val="center"/>
        <w:outlineLvl w:val="1"/>
        <w:rPr>
          <w:rFonts w:ascii="仿宋" w:hAnsi="仿宋" w:eastAsia="仿宋" w:cs="仿宋"/>
          <w:b w:val="0"/>
          <w:bCs w:val="0"/>
          <w:highlight w:val="none"/>
        </w:rPr>
      </w:pPr>
      <w:bookmarkStart w:id="540" w:name="_Toc21360"/>
      <w:bookmarkStart w:id="541" w:name="_Toc17660"/>
      <w:bookmarkStart w:id="542" w:name="_Toc10692"/>
      <w:bookmarkStart w:id="543" w:name="_Toc16163"/>
      <w:bookmarkStart w:id="544" w:name="_Toc12288"/>
      <w:bookmarkStart w:id="545" w:name="_Toc17572"/>
      <w:bookmarkStart w:id="546" w:name="_Toc4601"/>
      <w:bookmarkStart w:id="547" w:name="_Toc603"/>
      <w:bookmarkStart w:id="548" w:name="_Toc25983"/>
      <w:bookmarkStart w:id="549" w:name="_Toc30635"/>
      <w:bookmarkStart w:id="550" w:name="_Toc18492"/>
      <w:bookmarkStart w:id="551" w:name="_Toc81"/>
      <w:bookmarkStart w:id="552" w:name="_Toc27636"/>
      <w:bookmarkStart w:id="553" w:name="_Toc9917"/>
      <w:bookmarkStart w:id="554" w:name="_Toc4183"/>
      <w:bookmarkStart w:id="555" w:name="_Toc4381"/>
      <w:bookmarkStart w:id="556" w:name="_Toc13201"/>
      <w:bookmarkStart w:id="557" w:name="_Toc23856"/>
      <w:bookmarkStart w:id="558" w:name="_Toc17613"/>
      <w:bookmarkStart w:id="559" w:name="_Toc1998"/>
      <w:bookmarkStart w:id="560" w:name="_Toc24898"/>
      <w:bookmarkStart w:id="561" w:name="_Toc3548"/>
      <w:bookmarkStart w:id="562" w:name="_Toc6313"/>
      <w:bookmarkStart w:id="563" w:name="_Toc1897"/>
      <w:bookmarkStart w:id="564" w:name="_Toc18839"/>
      <w:bookmarkStart w:id="565" w:name="_Toc29792"/>
      <w:bookmarkStart w:id="566" w:name="_Toc23025"/>
      <w:bookmarkStart w:id="567" w:name="_Toc15620"/>
      <w:bookmarkStart w:id="568" w:name="_Toc18118"/>
      <w:bookmarkStart w:id="569" w:name="_Toc22358"/>
      <w:bookmarkStart w:id="570" w:name="_Toc15671"/>
      <w:bookmarkStart w:id="571" w:name="_Toc4676"/>
      <w:bookmarkStart w:id="572" w:name="_Toc29107"/>
      <w:bookmarkStart w:id="573" w:name="_Toc3580"/>
      <w:bookmarkStart w:id="574" w:name="_Toc11851"/>
      <w:bookmarkStart w:id="575" w:name="_Toc73112408"/>
      <w:bookmarkStart w:id="576" w:name="_Toc8309"/>
      <w:bookmarkStart w:id="577" w:name="_Toc11837"/>
      <w:bookmarkStart w:id="578" w:name="_Toc19194"/>
      <w:bookmarkStart w:id="579" w:name="_Toc16689"/>
      <w:bookmarkStart w:id="580" w:name="_Toc20754"/>
      <w:bookmarkStart w:id="581" w:name="_Toc5634"/>
      <w:bookmarkStart w:id="582" w:name="_Toc27960"/>
      <w:r>
        <w:rPr>
          <w:rFonts w:hint="eastAsia" w:ascii="仿宋" w:hAnsi="仿宋" w:eastAsia="仿宋" w:cs="仿宋"/>
          <w:b w:val="0"/>
          <w:bCs w:val="0"/>
          <w:highlight w:val="none"/>
        </w:rPr>
        <w:t>第二节</w:t>
      </w:r>
      <w:r>
        <w:rPr>
          <w:rFonts w:hint="eastAsia" w:ascii="仿宋" w:hAnsi="仿宋" w:eastAsia="仿宋" w:cs="仿宋"/>
          <w:b w:val="0"/>
          <w:bCs w:val="0"/>
          <w:highlight w:val="none"/>
          <w:lang w:val="en-US" w:eastAsia="zh-CN"/>
        </w:rPr>
        <w:t xml:space="preserve"> </w:t>
      </w:r>
      <w:r>
        <w:rPr>
          <w:rFonts w:hint="eastAsia" w:ascii="仿宋" w:hAnsi="仿宋" w:eastAsia="仿宋" w:cs="仿宋"/>
          <w:b w:val="0"/>
          <w:bCs w:val="0"/>
          <w:highlight w:val="none"/>
        </w:rPr>
        <w:t>供货方式</w:t>
      </w:r>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p>
    <w:p w14:paraId="23A07987">
      <w:pPr>
        <w:snapToGrid w:val="0"/>
        <w:spacing w:line="360" w:lineRule="auto"/>
        <w:ind w:left="480"/>
        <w:outlineLvl w:val="2"/>
        <w:rPr>
          <w:rFonts w:ascii="仿宋" w:hAnsi="仿宋" w:eastAsia="仿宋" w:cs="仿宋"/>
          <w:b/>
          <w:bCs/>
          <w:highlight w:val="none"/>
        </w:rPr>
      </w:pPr>
      <w:bookmarkStart w:id="583" w:name="_Toc24179"/>
      <w:bookmarkStart w:id="584" w:name="_Toc28360"/>
      <w:bookmarkStart w:id="585" w:name="_Toc28962"/>
      <w:bookmarkStart w:id="586" w:name="_Toc1116"/>
      <w:bookmarkStart w:id="587" w:name="_Toc18282"/>
      <w:bookmarkStart w:id="588" w:name="_Toc1474"/>
      <w:bookmarkStart w:id="589" w:name="_Toc28759"/>
      <w:bookmarkStart w:id="590" w:name="_Toc73112409"/>
      <w:bookmarkStart w:id="591" w:name="_Toc32491"/>
      <w:bookmarkStart w:id="592" w:name="_Toc28222"/>
      <w:bookmarkStart w:id="593" w:name="_Toc28534"/>
      <w:bookmarkStart w:id="594" w:name="_Toc10286"/>
      <w:bookmarkStart w:id="595" w:name="_Toc11533"/>
      <w:bookmarkStart w:id="596" w:name="_Toc20263"/>
      <w:bookmarkStart w:id="597" w:name="_Toc22679"/>
      <w:bookmarkStart w:id="598" w:name="_Toc14135"/>
      <w:bookmarkStart w:id="599" w:name="_Toc4344"/>
      <w:bookmarkStart w:id="600" w:name="_Toc19237"/>
      <w:bookmarkStart w:id="601" w:name="_Toc27005"/>
      <w:bookmarkStart w:id="602" w:name="_Toc3032"/>
      <w:r>
        <w:rPr>
          <w:rFonts w:hint="eastAsia" w:ascii="仿宋" w:hAnsi="仿宋" w:eastAsia="仿宋" w:cs="仿宋"/>
          <w:b/>
          <w:bCs/>
          <w:highlight w:val="none"/>
        </w:rPr>
        <w:t>1供货地点</w:t>
      </w:r>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p>
    <w:p w14:paraId="6852A777">
      <w:pPr>
        <w:pStyle w:val="16"/>
        <w:snapToGrid w:val="0"/>
        <w:spacing w:line="360" w:lineRule="auto"/>
        <w:ind w:firstLine="480" w:firstLineChars="200"/>
        <w:rPr>
          <w:rFonts w:ascii="仿宋" w:hAnsi="仿宋" w:eastAsia="仿宋" w:cs="仿宋"/>
          <w:highlight w:val="none"/>
        </w:rPr>
      </w:pPr>
      <w:r>
        <w:rPr>
          <w:rFonts w:hint="eastAsia" w:ascii="仿宋" w:hAnsi="仿宋" w:eastAsia="仿宋" w:cs="仿宋"/>
          <w:highlight w:val="none"/>
        </w:rPr>
        <w:t>本项目建设工地。</w:t>
      </w:r>
    </w:p>
    <w:p w14:paraId="6D9FD54D">
      <w:pPr>
        <w:snapToGrid w:val="0"/>
        <w:spacing w:line="360" w:lineRule="auto"/>
        <w:ind w:left="480"/>
        <w:outlineLvl w:val="2"/>
        <w:rPr>
          <w:rFonts w:ascii="仿宋" w:hAnsi="仿宋" w:eastAsia="仿宋" w:cs="仿宋"/>
          <w:b/>
          <w:bCs/>
          <w:highlight w:val="none"/>
        </w:rPr>
      </w:pPr>
      <w:bookmarkStart w:id="603" w:name="_Toc27558"/>
      <w:bookmarkStart w:id="604" w:name="_Toc21521"/>
      <w:bookmarkStart w:id="605" w:name="_Toc30858"/>
      <w:bookmarkStart w:id="606" w:name="_Toc8043"/>
      <w:bookmarkStart w:id="607" w:name="_Toc5862"/>
      <w:bookmarkStart w:id="608" w:name="_Toc11152"/>
      <w:bookmarkStart w:id="609" w:name="_Toc27724"/>
      <w:bookmarkStart w:id="610" w:name="_Toc531"/>
      <w:bookmarkStart w:id="611" w:name="_Toc73112410"/>
      <w:bookmarkStart w:id="612" w:name="_Toc6963"/>
      <w:bookmarkStart w:id="613" w:name="_Toc31657"/>
      <w:bookmarkStart w:id="614" w:name="_Toc26611"/>
      <w:bookmarkStart w:id="615" w:name="_Toc26178"/>
      <w:bookmarkStart w:id="616" w:name="_Toc4215"/>
      <w:bookmarkStart w:id="617" w:name="_Toc11086"/>
      <w:bookmarkStart w:id="618" w:name="_Toc22044"/>
      <w:bookmarkStart w:id="619" w:name="_Toc2280"/>
      <w:bookmarkStart w:id="620" w:name="_Toc6707"/>
      <w:bookmarkStart w:id="621" w:name="_Toc9856"/>
      <w:bookmarkStart w:id="622" w:name="_Toc20257"/>
      <w:r>
        <w:rPr>
          <w:rFonts w:hint="eastAsia" w:ascii="仿宋" w:hAnsi="仿宋" w:eastAsia="仿宋" w:cs="仿宋"/>
          <w:b/>
          <w:bCs/>
          <w:highlight w:val="none"/>
        </w:rPr>
        <w:t>2供货时间</w:t>
      </w:r>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p>
    <w:p w14:paraId="7431AAF4">
      <w:pPr>
        <w:snapToGrid w:val="0"/>
        <w:spacing w:line="360" w:lineRule="auto"/>
        <w:ind w:firstLine="420" w:firstLineChars="200"/>
        <w:jc w:val="left"/>
        <w:rPr>
          <w:rFonts w:ascii="仿宋" w:hAnsi="仿宋" w:eastAsia="仿宋" w:cs="仿宋"/>
          <w:strike/>
          <w:highlight w:val="none"/>
        </w:rPr>
      </w:pPr>
      <w:r>
        <w:rPr>
          <w:rFonts w:hint="eastAsia" w:ascii="仿宋" w:hAnsi="仿宋" w:eastAsia="仿宋" w:cs="仿宋"/>
          <w:highlight w:val="none"/>
        </w:rPr>
        <w:t>2.1投标方应自</w:t>
      </w:r>
      <w:r>
        <w:rPr>
          <w:rFonts w:hint="eastAsia" w:ascii="仿宋" w:hAnsi="仿宋" w:eastAsia="仿宋" w:cs="仿宋"/>
          <w:highlight w:val="none"/>
          <w:lang w:val="en-US" w:eastAsia="zh-CN"/>
        </w:rPr>
        <w:t>合同签定</w:t>
      </w:r>
      <w:r>
        <w:rPr>
          <w:rFonts w:hint="eastAsia" w:ascii="仿宋" w:hAnsi="仿宋" w:eastAsia="仿宋" w:cs="仿宋"/>
          <w:highlight w:val="none"/>
        </w:rPr>
        <w:t>后，</w:t>
      </w:r>
      <w:r>
        <w:rPr>
          <w:rFonts w:hint="eastAsia" w:ascii="仿宋" w:hAnsi="仿宋" w:eastAsia="仿宋" w:cs="仿宋"/>
          <w:highlight w:val="none"/>
          <w:u w:val="single"/>
          <w:shd w:val="pct10" w:color="auto" w:fill="FFFFFF"/>
          <w:lang w:val="en-US" w:eastAsia="zh-CN"/>
        </w:rPr>
        <w:t>25</w:t>
      </w:r>
      <w:r>
        <w:rPr>
          <w:rFonts w:hint="eastAsia" w:ascii="仿宋" w:hAnsi="仿宋" w:eastAsia="仿宋" w:cs="仿宋"/>
          <w:highlight w:val="none"/>
          <w:lang w:val="en-US" w:eastAsia="zh-CN"/>
        </w:rPr>
        <w:t>个</w:t>
      </w:r>
      <w:r>
        <w:rPr>
          <w:rFonts w:hint="eastAsia" w:ascii="仿宋" w:hAnsi="仿宋" w:eastAsia="仿宋" w:cs="仿宋"/>
          <w:highlight w:val="none"/>
        </w:rPr>
        <w:t>日历日之内交货至供货地点。</w:t>
      </w:r>
    </w:p>
    <w:p w14:paraId="20B33542">
      <w:pPr>
        <w:snapToGrid w:val="0"/>
        <w:spacing w:line="360" w:lineRule="auto"/>
        <w:ind w:firstLine="420" w:firstLineChars="200"/>
        <w:jc w:val="left"/>
        <w:rPr>
          <w:rFonts w:ascii="仿宋" w:hAnsi="仿宋" w:eastAsia="仿宋" w:cs="仿宋"/>
          <w:highlight w:val="none"/>
        </w:rPr>
      </w:pPr>
      <w:r>
        <w:rPr>
          <w:rFonts w:hint="eastAsia" w:ascii="仿宋" w:hAnsi="仿宋" w:eastAsia="仿宋" w:cs="仿宋"/>
          <w:highlight w:val="none"/>
        </w:rPr>
        <w:t>2.2连续</w:t>
      </w:r>
      <w:r>
        <w:rPr>
          <w:rFonts w:hint="eastAsia" w:ascii="仿宋" w:hAnsi="仿宋" w:eastAsia="仿宋" w:cs="仿宋"/>
          <w:highlight w:val="none"/>
          <w:u w:val="single"/>
        </w:rPr>
        <w:t xml:space="preserve"> </w:t>
      </w:r>
      <w:r>
        <w:rPr>
          <w:rFonts w:hint="eastAsia" w:ascii="仿宋" w:hAnsi="仿宋" w:eastAsia="仿宋" w:cs="仿宋"/>
          <w:highlight w:val="none"/>
          <w:u w:val="single"/>
          <w:shd w:val="pct10" w:color="auto" w:fill="FFFFFF"/>
          <w:lang w:val="en-US" w:eastAsia="zh-CN"/>
        </w:rPr>
        <w:t>10</w:t>
      </w:r>
      <w:r>
        <w:rPr>
          <w:rFonts w:hint="eastAsia" w:ascii="仿宋" w:hAnsi="仿宋" w:eastAsia="仿宋" w:cs="仿宋"/>
          <w:highlight w:val="none"/>
        </w:rPr>
        <w:t>个日历日之内安装调试完毕；</w:t>
      </w:r>
    </w:p>
    <w:p w14:paraId="4E8AB1A2">
      <w:pPr>
        <w:snapToGrid w:val="0"/>
        <w:spacing w:line="360" w:lineRule="auto"/>
        <w:ind w:firstLine="420" w:firstLineChars="200"/>
        <w:jc w:val="left"/>
        <w:rPr>
          <w:rFonts w:ascii="仿宋" w:hAnsi="仿宋" w:eastAsia="仿宋" w:cs="仿宋"/>
          <w:highlight w:val="none"/>
        </w:rPr>
      </w:pPr>
      <w:r>
        <w:rPr>
          <w:rFonts w:hint="eastAsia" w:ascii="仿宋" w:hAnsi="仿宋" w:eastAsia="仿宋" w:cs="仿宋"/>
          <w:highlight w:val="none"/>
        </w:rPr>
        <w:t>2.3连续</w:t>
      </w:r>
      <w:r>
        <w:rPr>
          <w:rFonts w:hint="eastAsia" w:ascii="仿宋" w:hAnsi="仿宋" w:eastAsia="仿宋" w:cs="仿宋"/>
          <w:highlight w:val="none"/>
          <w:u w:val="single"/>
          <w:shd w:val="pct10" w:color="auto" w:fill="FFFFFF"/>
        </w:rPr>
        <w:t xml:space="preserve"> 30</w:t>
      </w:r>
      <w:r>
        <w:rPr>
          <w:rFonts w:hint="eastAsia" w:ascii="仿宋" w:hAnsi="仿宋" w:eastAsia="仿宋" w:cs="仿宋"/>
          <w:highlight w:val="none"/>
          <w:u w:val="single"/>
        </w:rPr>
        <w:t xml:space="preserve"> </w:t>
      </w:r>
      <w:r>
        <w:rPr>
          <w:rFonts w:hint="eastAsia" w:ascii="仿宋" w:hAnsi="仿宋" w:eastAsia="仿宋" w:cs="仿宋"/>
          <w:highlight w:val="none"/>
        </w:rPr>
        <w:t>个日历日之内完成终验收。</w:t>
      </w:r>
    </w:p>
    <w:p w14:paraId="40E711E6">
      <w:pPr>
        <w:snapToGrid w:val="0"/>
        <w:spacing w:line="360" w:lineRule="auto"/>
        <w:ind w:firstLine="420" w:firstLineChars="200"/>
        <w:jc w:val="left"/>
        <w:rPr>
          <w:rFonts w:ascii="仿宋" w:hAnsi="仿宋" w:eastAsia="仿宋" w:cs="仿宋"/>
          <w:highlight w:val="none"/>
        </w:rPr>
      </w:pPr>
      <w:r>
        <w:rPr>
          <w:rFonts w:hint="eastAsia" w:ascii="仿宋" w:hAnsi="仿宋" w:eastAsia="仿宋" w:cs="仿宋"/>
          <w:highlight w:val="none"/>
        </w:rPr>
        <w:t>2.4必要时，投标方应当提供详细的工期计划。</w:t>
      </w:r>
    </w:p>
    <w:p w14:paraId="787C53E0">
      <w:pPr>
        <w:snapToGrid w:val="0"/>
        <w:spacing w:line="360" w:lineRule="auto"/>
        <w:ind w:left="480"/>
        <w:outlineLvl w:val="2"/>
        <w:rPr>
          <w:rFonts w:ascii="仿宋" w:hAnsi="仿宋" w:eastAsia="仿宋" w:cs="仿宋"/>
          <w:b/>
          <w:bCs/>
          <w:highlight w:val="none"/>
        </w:rPr>
      </w:pPr>
      <w:bookmarkStart w:id="623" w:name="_Toc17489"/>
      <w:bookmarkStart w:id="624" w:name="_Toc5288"/>
      <w:bookmarkStart w:id="625" w:name="_Toc4431"/>
      <w:bookmarkStart w:id="626" w:name="_Toc73112411"/>
      <w:bookmarkStart w:id="627" w:name="_Toc23122"/>
      <w:bookmarkStart w:id="628" w:name="_Toc16960"/>
      <w:bookmarkStart w:id="629" w:name="_Toc8193"/>
      <w:bookmarkStart w:id="630" w:name="_Toc22617"/>
      <w:bookmarkStart w:id="631" w:name="_Toc22394"/>
      <w:bookmarkStart w:id="632" w:name="_Toc29786"/>
      <w:bookmarkStart w:id="633" w:name="_Toc31485"/>
      <w:bookmarkStart w:id="634" w:name="_Toc22968"/>
      <w:bookmarkStart w:id="635" w:name="_Toc18845"/>
      <w:bookmarkStart w:id="636" w:name="_Toc24587"/>
      <w:bookmarkStart w:id="637" w:name="_Toc8419"/>
      <w:bookmarkStart w:id="638" w:name="_Toc17351"/>
      <w:bookmarkStart w:id="639" w:name="_Toc11749"/>
      <w:bookmarkStart w:id="640" w:name="_Toc30983"/>
      <w:bookmarkStart w:id="641" w:name="_Toc9507"/>
      <w:bookmarkStart w:id="642" w:name="_Toc18153"/>
      <w:r>
        <w:rPr>
          <w:rFonts w:hint="eastAsia" w:ascii="仿宋" w:hAnsi="仿宋" w:eastAsia="仿宋" w:cs="仿宋"/>
          <w:b/>
          <w:bCs/>
          <w:highlight w:val="none"/>
        </w:rPr>
        <w:t>3质保期</w:t>
      </w:r>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p>
    <w:p w14:paraId="6D1F420D">
      <w:pPr>
        <w:snapToGrid w:val="0"/>
        <w:spacing w:line="360" w:lineRule="auto"/>
        <w:ind w:firstLine="420" w:firstLineChars="200"/>
        <w:rPr>
          <w:rFonts w:ascii="仿宋" w:hAnsi="仿宋" w:eastAsia="仿宋" w:cs="仿宋"/>
        </w:rPr>
      </w:pPr>
      <w:r>
        <w:rPr>
          <w:rFonts w:hint="eastAsia" w:ascii="仿宋" w:hAnsi="仿宋" w:eastAsia="仿宋" w:cs="仿宋"/>
          <w:highlight w:val="none"/>
        </w:rPr>
        <w:t>3.1投标方所提供货物（或生产线</w:t>
      </w:r>
      <w:r>
        <w:rPr>
          <w:rFonts w:hint="eastAsia" w:ascii="仿宋" w:hAnsi="仿宋" w:eastAsia="仿宋" w:cs="仿宋"/>
        </w:rPr>
        <w:t>）涉及的全部供货范围内的设备、材料、零配件和工器具等，除合同特别约定外，其质保期均自终验收签字生效之日起</w:t>
      </w:r>
      <w:r>
        <w:rPr>
          <w:rFonts w:hint="eastAsia" w:ascii="仿宋" w:hAnsi="仿宋" w:eastAsia="仿宋" w:cs="仿宋"/>
          <w:u w:val="single"/>
          <w:shd w:val="pct10" w:color="auto" w:fill="FFFFFF"/>
        </w:rPr>
        <w:t>12</w:t>
      </w:r>
      <w:r>
        <w:rPr>
          <w:rFonts w:hint="eastAsia" w:ascii="仿宋" w:hAnsi="仿宋" w:eastAsia="仿宋" w:cs="仿宋"/>
        </w:rPr>
        <w:t>个月。</w:t>
      </w:r>
    </w:p>
    <w:p w14:paraId="172C5476">
      <w:pPr>
        <w:snapToGrid w:val="0"/>
        <w:spacing w:line="360" w:lineRule="auto"/>
        <w:ind w:firstLine="420" w:firstLineChars="200"/>
        <w:jc w:val="left"/>
        <w:rPr>
          <w:rFonts w:ascii="仿宋" w:hAnsi="仿宋" w:eastAsia="仿宋" w:cs="仿宋"/>
        </w:rPr>
      </w:pPr>
      <w:r>
        <w:rPr>
          <w:rFonts w:hint="eastAsia" w:ascii="仿宋" w:hAnsi="仿宋" w:eastAsia="仿宋" w:cs="仿宋"/>
        </w:rPr>
        <w:t>3.2质保期之内，如果货物（或生产线）出现关键设备、总成、零部件或者多处一般设备、总成、零部件的更换或维修行为，则质保期自更换或维修行为结束、货物（或生产线）能够正常运行使用之日起重新计算。</w:t>
      </w:r>
    </w:p>
    <w:p w14:paraId="57DBCF87">
      <w:pPr>
        <w:snapToGrid w:val="0"/>
        <w:spacing w:line="360" w:lineRule="auto"/>
        <w:ind w:left="480"/>
        <w:outlineLvl w:val="2"/>
        <w:rPr>
          <w:rFonts w:ascii="仿宋" w:hAnsi="仿宋" w:eastAsia="仿宋" w:cs="仿宋"/>
          <w:b/>
          <w:bCs/>
        </w:rPr>
      </w:pPr>
      <w:bookmarkStart w:id="643" w:name="_Toc21924"/>
      <w:bookmarkStart w:id="644" w:name="_Toc21555"/>
      <w:bookmarkStart w:id="645" w:name="_Toc29090"/>
      <w:bookmarkStart w:id="646" w:name="_Toc73112412"/>
      <w:bookmarkStart w:id="647" w:name="_Toc426"/>
      <w:bookmarkStart w:id="648" w:name="_Toc16381"/>
      <w:bookmarkStart w:id="649" w:name="_Toc5126"/>
      <w:bookmarkStart w:id="650" w:name="_Toc16664"/>
      <w:bookmarkStart w:id="651" w:name="_Toc12791"/>
      <w:bookmarkStart w:id="652" w:name="_Toc27729"/>
      <w:bookmarkStart w:id="653" w:name="_Toc20400"/>
      <w:bookmarkStart w:id="654" w:name="_Toc17320"/>
      <w:bookmarkStart w:id="655" w:name="_Toc26040"/>
      <w:bookmarkStart w:id="656" w:name="_Toc27377"/>
      <w:bookmarkStart w:id="657" w:name="_Toc20248"/>
      <w:bookmarkStart w:id="658" w:name="_Toc14622"/>
      <w:bookmarkStart w:id="659" w:name="_Toc10272"/>
      <w:bookmarkStart w:id="660" w:name="_Toc27080"/>
      <w:bookmarkStart w:id="661" w:name="_Toc28907"/>
      <w:bookmarkStart w:id="662" w:name="_Toc19011"/>
      <w:r>
        <w:rPr>
          <w:rFonts w:hint="eastAsia" w:ascii="仿宋" w:hAnsi="仿宋" w:eastAsia="仿宋" w:cs="仿宋"/>
          <w:b/>
          <w:bCs/>
        </w:rPr>
        <w:t>4包装</w:t>
      </w:r>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p>
    <w:p w14:paraId="4419655B">
      <w:pPr>
        <w:pStyle w:val="16"/>
        <w:snapToGrid w:val="0"/>
        <w:spacing w:line="360" w:lineRule="auto"/>
        <w:ind w:firstLine="480" w:firstLineChars="200"/>
        <w:rPr>
          <w:rFonts w:ascii="仿宋" w:hAnsi="仿宋" w:eastAsia="仿宋" w:cs="仿宋"/>
        </w:rPr>
      </w:pPr>
      <w:r>
        <w:rPr>
          <w:rFonts w:hint="eastAsia" w:ascii="仿宋" w:hAnsi="仿宋" w:eastAsia="仿宋" w:cs="仿宋"/>
        </w:rPr>
        <w:t>4.1投标方所提供货物（或设备）的包装，应遵照国家标准和有关包装、包皮的技术条件，或按照最好的商业惯例进行包装。</w:t>
      </w:r>
    </w:p>
    <w:p w14:paraId="5C67022D">
      <w:pPr>
        <w:pStyle w:val="16"/>
        <w:snapToGrid w:val="0"/>
        <w:spacing w:line="360" w:lineRule="auto"/>
        <w:ind w:firstLine="480" w:firstLineChars="200"/>
        <w:rPr>
          <w:rFonts w:ascii="仿宋" w:hAnsi="仿宋" w:eastAsia="仿宋" w:cs="仿宋"/>
        </w:rPr>
      </w:pPr>
      <w:r>
        <w:rPr>
          <w:rFonts w:hint="eastAsia" w:ascii="仿宋" w:hAnsi="仿宋" w:eastAsia="仿宋" w:cs="仿宋"/>
        </w:rPr>
        <w:t>4.2包装应能满足所需要采取的运输方式（船运、汽运或铁路运输）、多次吊装卸装、卸货以及长期露天堆放要求，应能防止雨淋、受潮、生锈、腐蚀、受振、受磁以及机械和化学因素等引起的损坏。</w:t>
      </w:r>
    </w:p>
    <w:p w14:paraId="0B040CAE">
      <w:pPr>
        <w:pStyle w:val="16"/>
        <w:snapToGrid w:val="0"/>
        <w:spacing w:line="360" w:lineRule="auto"/>
        <w:ind w:firstLine="480" w:firstLineChars="200"/>
        <w:rPr>
          <w:rFonts w:ascii="仿宋" w:hAnsi="仿宋" w:eastAsia="仿宋" w:cs="仿宋"/>
        </w:rPr>
      </w:pPr>
      <w:r>
        <w:rPr>
          <w:rFonts w:hint="eastAsia" w:ascii="仿宋" w:hAnsi="仿宋" w:eastAsia="仿宋" w:cs="仿宋"/>
        </w:rPr>
        <w:t>4.3投标方所提供货物（或设备）的包装，应能防止其一般性被窃或受外力破坏；一般不得采用有大缝隙的板条包装。</w:t>
      </w:r>
    </w:p>
    <w:p w14:paraId="3836B0EE">
      <w:pPr>
        <w:pStyle w:val="16"/>
        <w:snapToGrid w:val="0"/>
        <w:spacing w:line="360" w:lineRule="auto"/>
        <w:ind w:firstLine="480" w:firstLineChars="200"/>
        <w:rPr>
          <w:rFonts w:ascii="仿宋" w:hAnsi="仿宋" w:eastAsia="仿宋" w:cs="仿宋"/>
        </w:rPr>
      </w:pPr>
      <w:r>
        <w:rPr>
          <w:rFonts w:hint="eastAsia" w:ascii="仿宋" w:hAnsi="仿宋" w:eastAsia="仿宋" w:cs="仿宋"/>
        </w:rPr>
        <w:t>4.4投标方应对包装件做必要的加固和固定等防护措施，以防止运输可能造成的损坏。</w:t>
      </w:r>
    </w:p>
    <w:p w14:paraId="7C32AD40">
      <w:pPr>
        <w:pStyle w:val="16"/>
        <w:snapToGrid w:val="0"/>
        <w:spacing w:line="360" w:lineRule="auto"/>
        <w:ind w:firstLine="480" w:firstLineChars="200"/>
        <w:rPr>
          <w:rFonts w:ascii="仿宋" w:hAnsi="仿宋" w:eastAsia="仿宋" w:cs="仿宋"/>
        </w:rPr>
      </w:pPr>
      <w:r>
        <w:rPr>
          <w:rFonts w:hint="eastAsia" w:ascii="仿宋" w:hAnsi="仿宋" w:eastAsia="仿宋" w:cs="仿宋"/>
        </w:rPr>
        <w:t>4.5每个包装件应有装箱单，并至少标明名称、型号规格、数量、净重和毛重、投标方（或供货商）名称和制造日期等相关内容。</w:t>
      </w:r>
    </w:p>
    <w:p w14:paraId="147FC6CF">
      <w:pPr>
        <w:pStyle w:val="16"/>
        <w:snapToGrid w:val="0"/>
        <w:spacing w:line="360" w:lineRule="auto"/>
        <w:ind w:firstLine="480" w:firstLineChars="200"/>
        <w:rPr>
          <w:rFonts w:ascii="仿宋" w:hAnsi="仿宋" w:eastAsia="仿宋" w:cs="仿宋"/>
        </w:rPr>
      </w:pPr>
      <w:r>
        <w:rPr>
          <w:rFonts w:hint="eastAsia" w:ascii="仿宋" w:hAnsi="仿宋" w:eastAsia="仿宋" w:cs="仿宋"/>
        </w:rPr>
        <w:t>4.6每个包装箱应有明显标志，并具有中文书写的合同号、装运标志、发货和到货地点名称、发货人和收货人名称、货物（或生产线）名称和项目号、箱号和外型尺寸等内容。</w:t>
      </w:r>
    </w:p>
    <w:p w14:paraId="595EEF40">
      <w:pPr>
        <w:pStyle w:val="16"/>
        <w:snapToGrid w:val="0"/>
        <w:spacing w:line="360" w:lineRule="auto"/>
        <w:ind w:firstLine="480" w:firstLineChars="200"/>
        <w:rPr>
          <w:rFonts w:ascii="仿宋" w:hAnsi="仿宋" w:eastAsia="仿宋" w:cs="仿宋"/>
        </w:rPr>
      </w:pPr>
      <w:r>
        <w:rPr>
          <w:rFonts w:hint="eastAsia" w:ascii="仿宋" w:hAnsi="仿宋" w:eastAsia="仿宋" w:cs="仿宋"/>
        </w:rPr>
        <w:t>4.7投标方还应按照不同的装运要求在包装箱上标明“小心轻放”、“箭头向上”、“防潮”、“防磁”、“不准平放”等标志，以及其它适用的国标通用标志。</w:t>
      </w:r>
    </w:p>
    <w:p w14:paraId="489AD6D3">
      <w:pPr>
        <w:pStyle w:val="16"/>
        <w:snapToGrid w:val="0"/>
        <w:spacing w:line="360" w:lineRule="auto"/>
        <w:ind w:firstLine="480" w:firstLineChars="200"/>
        <w:rPr>
          <w:rFonts w:ascii="仿宋" w:hAnsi="仿宋" w:eastAsia="仿宋" w:cs="仿宋"/>
        </w:rPr>
      </w:pPr>
      <w:r>
        <w:rPr>
          <w:rFonts w:hint="eastAsia" w:ascii="仿宋" w:hAnsi="仿宋" w:eastAsia="仿宋" w:cs="仿宋"/>
        </w:rPr>
        <w:t>4.8包装箱应连续编号，不应出现重复编号。</w:t>
      </w:r>
    </w:p>
    <w:p w14:paraId="320DEBE0">
      <w:pPr>
        <w:pStyle w:val="16"/>
        <w:snapToGrid w:val="0"/>
        <w:spacing w:line="360" w:lineRule="auto"/>
        <w:ind w:firstLine="480" w:firstLineChars="200"/>
        <w:rPr>
          <w:rFonts w:ascii="仿宋" w:hAnsi="仿宋" w:eastAsia="仿宋" w:cs="仿宋"/>
        </w:rPr>
      </w:pPr>
      <w:r>
        <w:rPr>
          <w:rFonts w:hint="eastAsia" w:ascii="仿宋" w:hAnsi="仿宋" w:eastAsia="仿宋" w:cs="仿宋"/>
        </w:rPr>
        <w:t>4.9在不受到外界破坏情况下，包装应保证自交货日起一年内货物（或设备）完好无损。</w:t>
      </w:r>
    </w:p>
    <w:p w14:paraId="399EB101">
      <w:pPr>
        <w:snapToGrid w:val="0"/>
        <w:spacing w:line="360" w:lineRule="auto"/>
        <w:ind w:left="480"/>
        <w:outlineLvl w:val="2"/>
        <w:rPr>
          <w:rFonts w:ascii="仿宋" w:hAnsi="仿宋" w:eastAsia="仿宋" w:cs="仿宋"/>
          <w:b/>
          <w:bCs/>
        </w:rPr>
      </w:pPr>
      <w:bookmarkStart w:id="663" w:name="_Toc17881"/>
      <w:bookmarkStart w:id="664" w:name="_Toc25305"/>
      <w:bookmarkStart w:id="665" w:name="_Toc21308"/>
      <w:bookmarkStart w:id="666" w:name="_Toc21886"/>
      <w:bookmarkStart w:id="667" w:name="_Toc17990"/>
      <w:bookmarkStart w:id="668" w:name="_Toc31538"/>
      <w:bookmarkStart w:id="669" w:name="_Toc73112413"/>
      <w:bookmarkStart w:id="670" w:name="_Toc7046"/>
      <w:bookmarkStart w:id="671" w:name="_Toc26302"/>
      <w:bookmarkStart w:id="672" w:name="_Toc23221"/>
      <w:bookmarkStart w:id="673" w:name="_Toc32266"/>
      <w:bookmarkStart w:id="674" w:name="_Toc22949"/>
      <w:bookmarkStart w:id="675" w:name="_Toc1857"/>
      <w:bookmarkStart w:id="676" w:name="_Toc5373"/>
      <w:bookmarkStart w:id="677" w:name="_Toc22792"/>
      <w:bookmarkStart w:id="678" w:name="_Toc4346"/>
      <w:bookmarkStart w:id="679" w:name="_Toc7889"/>
      <w:bookmarkStart w:id="680" w:name="_Toc22992"/>
      <w:bookmarkStart w:id="681" w:name="_Toc20536"/>
      <w:bookmarkStart w:id="682" w:name="_Toc8"/>
      <w:r>
        <w:rPr>
          <w:rFonts w:hint="eastAsia" w:ascii="仿宋" w:hAnsi="仿宋" w:eastAsia="仿宋" w:cs="仿宋"/>
          <w:b/>
          <w:bCs/>
        </w:rPr>
        <w:t>5运输</w:t>
      </w:r>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p>
    <w:p w14:paraId="06A2A510">
      <w:pPr>
        <w:pStyle w:val="16"/>
        <w:snapToGrid w:val="0"/>
        <w:spacing w:line="360" w:lineRule="auto"/>
        <w:ind w:firstLine="480" w:firstLineChars="200"/>
        <w:rPr>
          <w:rFonts w:ascii="仿宋" w:hAnsi="仿宋" w:eastAsia="仿宋" w:cs="仿宋"/>
        </w:rPr>
      </w:pPr>
      <w:r>
        <w:rPr>
          <w:rFonts w:hint="eastAsia" w:ascii="仿宋" w:hAnsi="仿宋" w:eastAsia="仿宋" w:cs="仿宋"/>
        </w:rPr>
        <w:t>5.1投标方应负责将货物（或设备）运到目的地，并必须做到货物（或设备）在任何运输过程中不受损坏和遗失</w:t>
      </w:r>
    </w:p>
    <w:p w14:paraId="30DB219F">
      <w:pPr>
        <w:pStyle w:val="16"/>
        <w:snapToGrid w:val="0"/>
        <w:spacing w:line="360" w:lineRule="auto"/>
        <w:ind w:firstLine="480" w:firstLineChars="200"/>
        <w:rPr>
          <w:rFonts w:ascii="仿宋" w:hAnsi="仿宋" w:eastAsia="仿宋" w:cs="仿宋"/>
        </w:rPr>
      </w:pPr>
      <w:r>
        <w:rPr>
          <w:rFonts w:hint="eastAsia" w:ascii="仿宋" w:hAnsi="仿宋" w:eastAsia="仿宋" w:cs="仿宋"/>
        </w:rPr>
        <w:t>5.2同批货物（或设备）应统一包装、编号运输。</w:t>
      </w:r>
    </w:p>
    <w:p w14:paraId="5D574DC8">
      <w:pPr>
        <w:pStyle w:val="16"/>
        <w:snapToGrid w:val="0"/>
        <w:spacing w:line="360" w:lineRule="auto"/>
        <w:ind w:firstLine="480" w:firstLineChars="200"/>
        <w:rPr>
          <w:rFonts w:ascii="仿宋" w:hAnsi="仿宋" w:eastAsia="仿宋" w:cs="仿宋"/>
        </w:rPr>
      </w:pPr>
      <w:r>
        <w:rPr>
          <w:rFonts w:hint="eastAsia" w:ascii="仿宋" w:hAnsi="仿宋" w:eastAsia="仿宋" w:cs="仿宋"/>
        </w:rPr>
        <w:t>5.3一般情况下，经由铁路、公路运输的包装件尺寸和重量不应超过国家所规定的尺寸限制。特殊情况应予以说明。</w:t>
      </w:r>
    </w:p>
    <w:p w14:paraId="2E492A09">
      <w:pPr>
        <w:pStyle w:val="16"/>
        <w:snapToGrid w:val="0"/>
        <w:spacing w:line="360" w:lineRule="auto"/>
        <w:ind w:firstLine="480" w:firstLineChars="200"/>
        <w:rPr>
          <w:rFonts w:ascii="仿宋" w:hAnsi="仿宋" w:eastAsia="仿宋" w:cs="仿宋"/>
        </w:rPr>
      </w:pPr>
      <w:r>
        <w:rPr>
          <w:rFonts w:hint="eastAsia" w:ascii="仿宋" w:hAnsi="仿宋" w:eastAsia="仿宋" w:cs="仿宋"/>
        </w:rPr>
        <w:t>5.4在每批货物（或设备）发出后，投标方应立即通知招标方；通知中应指明：合同号、货运单号、件数、重量和货物（或设备）发出日期等相关内容。</w:t>
      </w:r>
    </w:p>
    <w:p w14:paraId="6C6B3897">
      <w:pPr>
        <w:pStyle w:val="16"/>
        <w:snapToGrid w:val="0"/>
        <w:spacing w:line="360" w:lineRule="auto"/>
        <w:ind w:firstLine="480" w:firstLineChars="200"/>
        <w:rPr>
          <w:rFonts w:ascii="仿宋" w:hAnsi="仿宋" w:eastAsia="仿宋" w:cs="仿宋"/>
        </w:rPr>
      </w:pPr>
      <w:r>
        <w:rPr>
          <w:rFonts w:hint="eastAsia" w:ascii="仿宋" w:hAnsi="仿宋" w:eastAsia="仿宋" w:cs="仿宋"/>
        </w:rPr>
        <w:t>5.5货物（或设备）运抵招标方现场后，投标方应负责货物（或设备）的卸货、搬运、保管等事宜；或按照合同约定。</w:t>
      </w:r>
      <w:bookmarkStart w:id="683" w:name="_Toc133783973"/>
    </w:p>
    <w:p w14:paraId="55BD1E37">
      <w:pPr>
        <w:adjustRightInd w:val="0"/>
        <w:snapToGrid w:val="0"/>
        <w:spacing w:before="163" w:beforeLines="50" w:after="163" w:afterLines="50" w:line="360" w:lineRule="auto"/>
        <w:jc w:val="center"/>
        <w:outlineLvl w:val="0"/>
        <w:rPr>
          <w:rFonts w:ascii="仿宋" w:hAnsi="仿宋" w:eastAsia="仿宋" w:cs="仿宋"/>
          <w:b/>
          <w:bCs/>
        </w:rPr>
      </w:pPr>
      <w:bookmarkStart w:id="684" w:name="_Toc26671"/>
      <w:bookmarkStart w:id="685" w:name="_Toc27169"/>
      <w:bookmarkStart w:id="686" w:name="_Toc12021"/>
      <w:bookmarkStart w:id="687" w:name="_Toc32280"/>
      <w:bookmarkStart w:id="688" w:name="_Toc14171"/>
      <w:bookmarkStart w:id="689" w:name="_Toc14229"/>
      <w:bookmarkStart w:id="690" w:name="_Toc7672"/>
      <w:bookmarkStart w:id="691" w:name="_Toc14023"/>
      <w:bookmarkStart w:id="692" w:name="_Toc19133"/>
      <w:bookmarkStart w:id="693" w:name="_Toc2668"/>
      <w:bookmarkStart w:id="694" w:name="_Toc31301"/>
      <w:bookmarkStart w:id="695" w:name="_Toc10275"/>
      <w:bookmarkStart w:id="696" w:name="_Toc15153"/>
      <w:bookmarkStart w:id="697" w:name="_Toc25044"/>
      <w:bookmarkStart w:id="698" w:name="_Toc14862"/>
      <w:bookmarkStart w:id="699" w:name="_Toc25780"/>
      <w:bookmarkStart w:id="700" w:name="_Toc24397"/>
      <w:bookmarkStart w:id="701" w:name="_Toc73112414"/>
      <w:bookmarkStart w:id="702" w:name="_Toc23255"/>
      <w:bookmarkStart w:id="703" w:name="_Toc27085"/>
      <w:bookmarkStart w:id="704" w:name="_Toc8515"/>
      <w:bookmarkStart w:id="705" w:name="_Toc28211"/>
      <w:bookmarkStart w:id="706" w:name="_Toc9059"/>
      <w:bookmarkStart w:id="707" w:name="_Toc19986"/>
      <w:bookmarkStart w:id="708" w:name="_Toc28164"/>
      <w:bookmarkStart w:id="709" w:name="_Toc25292"/>
      <w:bookmarkStart w:id="710" w:name="_Toc10894"/>
      <w:bookmarkStart w:id="711" w:name="_Toc24978"/>
      <w:bookmarkStart w:id="712" w:name="_Toc14916"/>
      <w:bookmarkStart w:id="713" w:name="_Toc29063"/>
      <w:bookmarkStart w:id="714" w:name="_Toc18423"/>
      <w:bookmarkStart w:id="715" w:name="_Toc10676"/>
      <w:bookmarkStart w:id="716" w:name="_Toc16036"/>
      <w:bookmarkStart w:id="717" w:name="_Toc13927"/>
      <w:bookmarkStart w:id="718" w:name="_Toc11027"/>
      <w:bookmarkStart w:id="719" w:name="_Toc1740"/>
      <w:bookmarkStart w:id="720" w:name="_Toc30422"/>
      <w:bookmarkStart w:id="721" w:name="_Toc22680"/>
      <w:bookmarkStart w:id="722" w:name="_Toc26651"/>
      <w:bookmarkStart w:id="723" w:name="_Toc3739"/>
      <w:bookmarkStart w:id="724" w:name="_Toc24415"/>
      <w:bookmarkStart w:id="725" w:name="_Toc7501"/>
      <w:bookmarkStart w:id="726" w:name="_Toc12478"/>
      <w:bookmarkStart w:id="727" w:name="_Toc14414"/>
      <w:r>
        <w:rPr>
          <w:rFonts w:hint="eastAsia" w:ascii="仿宋" w:hAnsi="仿宋" w:eastAsia="仿宋" w:cs="仿宋"/>
          <w:b/>
          <w:bCs/>
        </w:rPr>
        <w:t>第四章售中售后服务</w:t>
      </w:r>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p>
    <w:p w14:paraId="1A033DE4">
      <w:pPr>
        <w:snapToGrid w:val="0"/>
        <w:spacing w:line="360" w:lineRule="auto"/>
        <w:ind w:left="480"/>
        <w:outlineLvl w:val="1"/>
        <w:rPr>
          <w:rFonts w:ascii="仿宋" w:hAnsi="仿宋" w:eastAsia="仿宋" w:cs="仿宋"/>
          <w:b/>
          <w:bCs/>
        </w:rPr>
      </w:pPr>
      <w:bookmarkStart w:id="728" w:name="_Toc18522"/>
      <w:bookmarkStart w:id="729" w:name="_Toc17645"/>
      <w:bookmarkStart w:id="730" w:name="_Toc344"/>
      <w:bookmarkStart w:id="731" w:name="_Toc24654"/>
      <w:bookmarkStart w:id="732" w:name="_Toc12793"/>
      <w:bookmarkStart w:id="733" w:name="_Toc20514"/>
      <w:bookmarkStart w:id="734" w:name="_Toc4952"/>
      <w:bookmarkStart w:id="735" w:name="_Toc19576"/>
      <w:bookmarkStart w:id="736" w:name="_Toc4682"/>
      <w:bookmarkStart w:id="737" w:name="_Toc4180"/>
      <w:bookmarkStart w:id="738" w:name="_Toc29262"/>
      <w:bookmarkStart w:id="739" w:name="_Toc8910"/>
      <w:bookmarkStart w:id="740" w:name="_Toc27811"/>
      <w:bookmarkStart w:id="741" w:name="_Toc23493"/>
      <w:bookmarkStart w:id="742" w:name="_Toc29321"/>
      <w:bookmarkStart w:id="743" w:name="_Toc414"/>
      <w:bookmarkStart w:id="744" w:name="_Toc2661"/>
      <w:bookmarkStart w:id="745" w:name="_Toc19735"/>
      <w:bookmarkStart w:id="746" w:name="_Toc10787"/>
      <w:bookmarkStart w:id="747" w:name="_Toc13551"/>
      <w:bookmarkStart w:id="748" w:name="_Toc25505"/>
      <w:bookmarkStart w:id="749" w:name="_Toc7723"/>
      <w:bookmarkStart w:id="750" w:name="_Toc24344"/>
      <w:bookmarkStart w:id="751" w:name="_Toc2564"/>
      <w:bookmarkStart w:id="752" w:name="_Toc3697"/>
      <w:bookmarkStart w:id="753" w:name="_Toc7036"/>
      <w:bookmarkStart w:id="754" w:name="_Toc17832"/>
      <w:bookmarkStart w:id="755" w:name="_Toc73112415"/>
      <w:bookmarkStart w:id="756" w:name="_Toc20772"/>
      <w:bookmarkStart w:id="757" w:name="_Toc8465"/>
      <w:bookmarkStart w:id="758" w:name="_Toc9079"/>
      <w:bookmarkStart w:id="759" w:name="_Toc10791"/>
      <w:bookmarkStart w:id="760" w:name="_Toc16066"/>
      <w:bookmarkStart w:id="761" w:name="_Toc23892"/>
      <w:bookmarkStart w:id="762" w:name="_Toc13786"/>
      <w:bookmarkStart w:id="763" w:name="_Toc23541"/>
      <w:bookmarkStart w:id="764" w:name="_Toc3722"/>
      <w:bookmarkStart w:id="765" w:name="_Toc14199"/>
      <w:bookmarkStart w:id="766" w:name="_Toc788"/>
      <w:bookmarkStart w:id="767" w:name="_Toc9919"/>
      <w:bookmarkStart w:id="768" w:name="_Toc28487"/>
      <w:bookmarkStart w:id="769" w:name="_Toc217"/>
      <w:bookmarkStart w:id="770" w:name="_Toc9825"/>
      <w:r>
        <w:rPr>
          <w:rFonts w:hint="eastAsia" w:ascii="仿宋" w:hAnsi="仿宋" w:eastAsia="仿宋" w:cs="仿宋"/>
          <w:b/>
          <w:bCs/>
        </w:rPr>
        <w:t>1技术及培训服务</w:t>
      </w:r>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673E0490">
      <w:pPr>
        <w:pStyle w:val="16"/>
        <w:snapToGrid w:val="0"/>
        <w:spacing w:line="360" w:lineRule="auto"/>
        <w:ind w:firstLine="480" w:firstLineChars="200"/>
        <w:rPr>
          <w:rFonts w:ascii="仿宋" w:hAnsi="仿宋" w:eastAsia="仿宋" w:cs="仿宋"/>
        </w:rPr>
      </w:pPr>
      <w:r>
        <w:rPr>
          <w:rFonts w:hint="eastAsia" w:ascii="仿宋" w:hAnsi="仿宋" w:eastAsia="仿宋" w:cs="仿宋"/>
        </w:rPr>
        <w:t>1.1投标方应负责对招标方</w:t>
      </w:r>
      <w:r>
        <w:rPr>
          <w:rFonts w:hint="eastAsia" w:ascii="仿宋" w:hAnsi="仿宋" w:eastAsia="仿宋" w:cs="仿宋"/>
          <w:lang w:val="en-US" w:eastAsia="zh-CN"/>
        </w:rPr>
        <w:t>不少于</w:t>
      </w:r>
      <w:r>
        <w:rPr>
          <w:rFonts w:hint="eastAsia" w:ascii="仿宋" w:hAnsi="仿宋" w:eastAsia="仿宋" w:cs="仿宋"/>
          <w:u w:val="single"/>
          <w:shd w:val="pct10" w:color="auto" w:fill="FFFFFF"/>
        </w:rPr>
        <w:t xml:space="preserve"> 5</w:t>
      </w:r>
      <w:r>
        <w:rPr>
          <w:rFonts w:hint="eastAsia" w:ascii="仿宋" w:hAnsi="仿宋" w:eastAsia="仿宋" w:cs="仿宋"/>
          <w:u w:val="single"/>
        </w:rPr>
        <w:t xml:space="preserve"> </w:t>
      </w:r>
      <w:r>
        <w:rPr>
          <w:rFonts w:hint="eastAsia" w:ascii="仿宋" w:hAnsi="仿宋" w:eastAsia="仿宋" w:cs="仿宋"/>
        </w:rPr>
        <w:t>名工程技术人员、维修人员和操作人员提供不少于</w:t>
      </w:r>
      <w:r>
        <w:rPr>
          <w:rFonts w:hint="eastAsia" w:ascii="仿宋" w:hAnsi="仿宋" w:eastAsia="仿宋" w:cs="仿宋"/>
          <w:u w:val="single"/>
          <w:shd w:val="pct10" w:color="auto" w:fill="FFFFFF"/>
        </w:rPr>
        <w:t xml:space="preserve"> 10</w:t>
      </w:r>
      <w:r>
        <w:rPr>
          <w:rFonts w:hint="eastAsia" w:ascii="仿宋" w:hAnsi="仿宋" w:eastAsia="仿宋" w:cs="仿宋"/>
          <w:u w:val="single"/>
        </w:rPr>
        <w:t xml:space="preserve"> </w:t>
      </w:r>
      <w:r>
        <w:rPr>
          <w:rFonts w:hint="eastAsia" w:ascii="仿宋" w:hAnsi="仿宋" w:eastAsia="仿宋" w:cs="仿宋"/>
        </w:rPr>
        <w:t>个日历日的免费的、生产制造现场的理论、技术和操作、维修、安全等方面的指导和培训，并为招标方受培训人员提供免费的培训地交通、食宿条件。</w:t>
      </w:r>
    </w:p>
    <w:p w14:paraId="11130BF4">
      <w:pPr>
        <w:pStyle w:val="16"/>
        <w:snapToGrid w:val="0"/>
        <w:spacing w:line="360" w:lineRule="auto"/>
        <w:ind w:firstLine="480" w:firstLineChars="200"/>
        <w:rPr>
          <w:rFonts w:ascii="仿宋" w:hAnsi="仿宋" w:eastAsia="仿宋" w:cs="仿宋"/>
        </w:rPr>
      </w:pPr>
      <w:r>
        <w:rPr>
          <w:rFonts w:hint="eastAsia" w:ascii="仿宋" w:hAnsi="仿宋" w:eastAsia="仿宋" w:cs="仿宋"/>
        </w:rPr>
        <w:t>1.2投标方应负责在招标方货物（或生产线）使用现场，进行</w:t>
      </w:r>
      <w:r>
        <w:rPr>
          <w:rFonts w:hint="eastAsia" w:ascii="仿宋" w:hAnsi="仿宋" w:eastAsia="仿宋" w:cs="仿宋"/>
          <w:shd w:val="pct10" w:color="auto" w:fill="FFFFFF"/>
        </w:rPr>
        <w:t>2～3</w:t>
      </w:r>
      <w:r>
        <w:rPr>
          <w:rFonts w:hint="eastAsia" w:ascii="仿宋" w:hAnsi="仿宋" w:eastAsia="仿宋" w:cs="仿宋"/>
        </w:rPr>
        <w:t>次免费的技术指导和培训，并接受招标方有关人员的技术咨询。</w:t>
      </w:r>
    </w:p>
    <w:p w14:paraId="0867A287">
      <w:pPr>
        <w:pStyle w:val="16"/>
        <w:snapToGrid w:val="0"/>
        <w:spacing w:line="360" w:lineRule="auto"/>
        <w:ind w:firstLine="480" w:firstLineChars="200"/>
        <w:rPr>
          <w:rFonts w:ascii="仿宋" w:hAnsi="仿宋" w:eastAsia="仿宋" w:cs="仿宋"/>
        </w:rPr>
      </w:pPr>
      <w:r>
        <w:rPr>
          <w:rFonts w:hint="eastAsia" w:ascii="仿宋" w:hAnsi="仿宋" w:eastAsia="仿宋" w:cs="仿宋"/>
        </w:rPr>
        <w:t>1.3投标方应免费提供全套培训资料。所有设备均需要配备产品说明书，包括设备的内部结构、组成及保养、维护、调试等相关内容，便于生产人员及维修人员查阅。</w:t>
      </w:r>
    </w:p>
    <w:p w14:paraId="1EFAD26B">
      <w:pPr>
        <w:pStyle w:val="16"/>
        <w:snapToGrid w:val="0"/>
        <w:spacing w:line="360" w:lineRule="auto"/>
        <w:ind w:firstLine="480" w:firstLineChars="200"/>
        <w:rPr>
          <w:rFonts w:ascii="仿宋" w:hAnsi="仿宋" w:eastAsia="仿宋" w:cs="仿宋"/>
        </w:rPr>
      </w:pPr>
      <w:r>
        <w:rPr>
          <w:rFonts w:hint="eastAsia" w:ascii="仿宋" w:hAnsi="仿宋" w:eastAsia="仿宋" w:cs="仿宋"/>
        </w:rPr>
        <w:t>1.4投标方应按要求，免费积极协助和提供招标方以及招标方所委托的工程设计单位有关人员所需要的、与货物（或生产线）有关的工程设计资料、技术咨询等。</w:t>
      </w:r>
    </w:p>
    <w:p w14:paraId="7E7AD4F5">
      <w:pPr>
        <w:pStyle w:val="16"/>
        <w:snapToGrid w:val="0"/>
        <w:spacing w:line="360" w:lineRule="auto"/>
        <w:ind w:firstLine="480" w:firstLineChars="200"/>
        <w:rPr>
          <w:rFonts w:ascii="仿宋" w:hAnsi="仿宋" w:eastAsia="仿宋" w:cs="仿宋"/>
        </w:rPr>
      </w:pPr>
      <w:r>
        <w:rPr>
          <w:rFonts w:hint="eastAsia" w:ascii="仿宋" w:hAnsi="仿宋" w:eastAsia="仿宋" w:cs="仿宋"/>
        </w:rPr>
        <w:t>1.5若投标方提供的货物（或生产线）涉及到外购外协货物、而且该货物的技术质量等较为关键、功能实现或操作较为困难，凡招标方提出需求的，投标方应能得到配套厂家的技术支持，并免费为招标方提供技术服务及培训。</w:t>
      </w:r>
    </w:p>
    <w:p w14:paraId="7ECB9CD7">
      <w:pPr>
        <w:pStyle w:val="16"/>
        <w:snapToGrid w:val="0"/>
        <w:spacing w:line="360" w:lineRule="auto"/>
        <w:ind w:firstLine="480" w:firstLineChars="200"/>
        <w:rPr>
          <w:rFonts w:ascii="仿宋" w:hAnsi="仿宋" w:eastAsia="仿宋" w:cs="仿宋"/>
        </w:rPr>
      </w:pPr>
      <w:r>
        <w:rPr>
          <w:rFonts w:hint="eastAsia" w:ascii="仿宋" w:hAnsi="仿宋" w:eastAsia="仿宋" w:cs="仿宋"/>
        </w:rPr>
        <w:t>1.6投标方负责制定对招标方人员在设备安全、操作运行、职业防护、诊断维修、使用保养和试验等方面的培训计划，并有专人负责实施培训计划，负责指导招标方受培训人员正确理解设计和制造意图，认识设备的特点和特性，掌握在运行、维修和使用管理中应遵守的规则等方面的综合知识。</w:t>
      </w:r>
    </w:p>
    <w:p w14:paraId="73BA6986">
      <w:pPr>
        <w:snapToGrid w:val="0"/>
        <w:spacing w:line="360" w:lineRule="auto"/>
        <w:ind w:left="480"/>
        <w:outlineLvl w:val="1"/>
        <w:rPr>
          <w:rFonts w:ascii="仿宋" w:hAnsi="仿宋" w:eastAsia="仿宋" w:cs="仿宋"/>
          <w:b/>
          <w:bCs/>
        </w:rPr>
      </w:pPr>
      <w:bookmarkStart w:id="771" w:name="_Toc22880"/>
      <w:bookmarkStart w:id="772" w:name="_Toc25721"/>
      <w:bookmarkStart w:id="773" w:name="_Toc29413"/>
      <w:bookmarkStart w:id="774" w:name="_Toc1420"/>
      <w:bookmarkStart w:id="775" w:name="_Toc3907"/>
      <w:bookmarkStart w:id="776" w:name="_Toc11060"/>
      <w:bookmarkStart w:id="777" w:name="_Toc16259"/>
      <w:bookmarkStart w:id="778" w:name="_Toc1176"/>
      <w:bookmarkStart w:id="779" w:name="_Toc29981"/>
      <w:bookmarkStart w:id="780" w:name="_Toc29691"/>
      <w:bookmarkStart w:id="781" w:name="_Toc15028"/>
      <w:bookmarkStart w:id="782" w:name="_Toc19800"/>
      <w:bookmarkStart w:id="783" w:name="_Toc5703"/>
      <w:bookmarkStart w:id="784" w:name="_Toc22693"/>
      <w:bookmarkStart w:id="785" w:name="_Toc13235"/>
      <w:bookmarkStart w:id="786" w:name="_Toc21693"/>
      <w:bookmarkStart w:id="787" w:name="_Toc9824"/>
      <w:bookmarkStart w:id="788" w:name="_Toc3892"/>
      <w:bookmarkStart w:id="789" w:name="_Toc31039"/>
      <w:bookmarkStart w:id="790" w:name="_Toc13970"/>
      <w:bookmarkStart w:id="791" w:name="_Toc16867"/>
      <w:bookmarkStart w:id="792" w:name="_Toc3976"/>
      <w:bookmarkStart w:id="793" w:name="_Toc19866"/>
      <w:bookmarkStart w:id="794" w:name="_Toc6394"/>
      <w:bookmarkStart w:id="795" w:name="_Toc11516"/>
      <w:bookmarkStart w:id="796" w:name="_Toc13864"/>
      <w:bookmarkStart w:id="797" w:name="_Toc25347"/>
      <w:bookmarkStart w:id="798" w:name="_Toc22719"/>
      <w:bookmarkStart w:id="799" w:name="_Toc17516"/>
      <w:bookmarkStart w:id="800" w:name="_Toc17849"/>
      <w:bookmarkStart w:id="801" w:name="_Toc30271"/>
      <w:bookmarkStart w:id="802" w:name="_Toc16207"/>
      <w:bookmarkStart w:id="803" w:name="_Toc73112416"/>
      <w:bookmarkStart w:id="804" w:name="_Toc3042"/>
      <w:bookmarkStart w:id="805" w:name="_Toc26880"/>
      <w:bookmarkStart w:id="806" w:name="_Toc15460"/>
      <w:bookmarkStart w:id="807" w:name="_Toc32690"/>
      <w:bookmarkStart w:id="808" w:name="_Toc16493"/>
      <w:bookmarkStart w:id="809" w:name="_Toc26430"/>
      <w:bookmarkStart w:id="810" w:name="_Toc17865"/>
      <w:bookmarkStart w:id="811" w:name="_Toc14504"/>
      <w:bookmarkStart w:id="812" w:name="_Toc28265"/>
      <w:bookmarkStart w:id="813" w:name="_Toc10782"/>
      <w:r>
        <w:rPr>
          <w:rFonts w:hint="eastAsia" w:ascii="仿宋" w:hAnsi="仿宋" w:eastAsia="仿宋" w:cs="仿宋"/>
          <w:b/>
          <w:bCs/>
        </w:rPr>
        <w:t>2安装调试服务</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p>
    <w:p w14:paraId="03294246">
      <w:pPr>
        <w:pStyle w:val="16"/>
        <w:snapToGrid w:val="0"/>
        <w:spacing w:line="360" w:lineRule="auto"/>
        <w:ind w:firstLine="480" w:firstLineChars="200"/>
        <w:rPr>
          <w:rFonts w:ascii="仿宋" w:hAnsi="仿宋" w:eastAsia="仿宋" w:cs="仿宋"/>
        </w:rPr>
      </w:pPr>
      <w:r>
        <w:rPr>
          <w:rFonts w:hint="eastAsia" w:ascii="仿宋" w:hAnsi="仿宋" w:eastAsia="仿宋" w:cs="仿宋"/>
        </w:rPr>
        <w:t>2.1根据货物（或生产线）的要求，调试可分空载和负载两个阶段进行；招标方将予以积极配合，协助投标方达到货物（或生产线）的各项技术指标和性能要求。</w:t>
      </w:r>
    </w:p>
    <w:p w14:paraId="50AF0D88">
      <w:pPr>
        <w:pStyle w:val="16"/>
        <w:snapToGrid w:val="0"/>
        <w:spacing w:line="360" w:lineRule="auto"/>
        <w:ind w:firstLine="480" w:firstLineChars="200"/>
        <w:rPr>
          <w:rFonts w:ascii="仿宋" w:hAnsi="仿宋" w:eastAsia="仿宋" w:cs="仿宋"/>
        </w:rPr>
      </w:pPr>
      <w:r>
        <w:rPr>
          <w:rFonts w:hint="eastAsia" w:ascii="仿宋" w:hAnsi="仿宋" w:eastAsia="仿宋" w:cs="仿宋"/>
        </w:rPr>
        <w:t>2.2安装调试与验收期间，若投标方提供的货物（或生产线）涉及到外购外协货物、而且该货物的技术质量等较为关键、功能实现或操作较为困难时，凡招标方提出需求的，投标方应能得到配套厂家的技术支持，并免费为招标方提供安装使用现场的指导与协调。</w:t>
      </w:r>
    </w:p>
    <w:p w14:paraId="052F3831">
      <w:pPr>
        <w:pStyle w:val="16"/>
        <w:snapToGrid w:val="0"/>
        <w:spacing w:line="360" w:lineRule="auto"/>
        <w:ind w:firstLine="480" w:firstLineChars="200"/>
        <w:rPr>
          <w:rFonts w:ascii="仿宋" w:hAnsi="仿宋" w:eastAsia="仿宋" w:cs="仿宋"/>
        </w:rPr>
      </w:pPr>
      <w:r>
        <w:rPr>
          <w:rFonts w:hint="eastAsia" w:ascii="仿宋" w:hAnsi="仿宋" w:eastAsia="仿宋" w:cs="仿宋"/>
        </w:rPr>
        <w:t>2.3投标方提供收费的或免费的、指导安装调试或负责安装调试，至少应在投标文件的报价章节中，予以明确说明。</w:t>
      </w:r>
    </w:p>
    <w:p w14:paraId="414F2398">
      <w:pPr>
        <w:snapToGrid w:val="0"/>
        <w:spacing w:line="360" w:lineRule="auto"/>
        <w:ind w:left="480"/>
        <w:outlineLvl w:val="1"/>
        <w:rPr>
          <w:rFonts w:ascii="仿宋" w:hAnsi="仿宋" w:eastAsia="仿宋" w:cs="仿宋"/>
          <w:b/>
          <w:bCs/>
        </w:rPr>
      </w:pPr>
      <w:bookmarkStart w:id="814" w:name="_Toc1585"/>
      <w:bookmarkStart w:id="815" w:name="_Toc16706"/>
      <w:bookmarkStart w:id="816" w:name="_Toc17427"/>
      <w:bookmarkStart w:id="817" w:name="_Toc30193"/>
      <w:bookmarkStart w:id="818" w:name="_Toc29245"/>
      <w:bookmarkStart w:id="819" w:name="_Toc18269"/>
      <w:bookmarkStart w:id="820" w:name="_Toc7956"/>
      <w:bookmarkStart w:id="821" w:name="_Toc11229"/>
      <w:bookmarkStart w:id="822" w:name="_Toc24615"/>
      <w:bookmarkStart w:id="823" w:name="_Toc17284"/>
      <w:bookmarkStart w:id="824" w:name="_Toc13921"/>
      <w:bookmarkStart w:id="825" w:name="_Toc16435"/>
      <w:bookmarkStart w:id="826" w:name="_Toc10635"/>
      <w:bookmarkStart w:id="827" w:name="_Toc1565"/>
      <w:bookmarkStart w:id="828" w:name="_Toc4751"/>
      <w:bookmarkStart w:id="829" w:name="_Toc13443"/>
      <w:bookmarkStart w:id="830" w:name="_Toc3170"/>
      <w:bookmarkStart w:id="831" w:name="_Toc628"/>
      <w:bookmarkStart w:id="832" w:name="_Toc2097"/>
      <w:bookmarkStart w:id="833" w:name="_Toc32488"/>
      <w:bookmarkStart w:id="834" w:name="_Toc7783"/>
      <w:bookmarkStart w:id="835" w:name="_Toc29126"/>
      <w:bookmarkStart w:id="836" w:name="_Toc2510"/>
      <w:bookmarkStart w:id="837" w:name="_Toc9329"/>
      <w:bookmarkStart w:id="838" w:name="_Toc16337"/>
      <w:bookmarkStart w:id="839" w:name="_Toc19674"/>
      <w:bookmarkStart w:id="840" w:name="_Toc218"/>
      <w:bookmarkStart w:id="841" w:name="_Toc29125"/>
      <w:bookmarkStart w:id="842" w:name="_Toc8975"/>
      <w:bookmarkStart w:id="843" w:name="_Toc2657"/>
      <w:bookmarkStart w:id="844" w:name="_Toc12232"/>
      <w:bookmarkStart w:id="845" w:name="_Toc25079"/>
      <w:bookmarkStart w:id="846" w:name="_Toc4076"/>
      <w:bookmarkStart w:id="847" w:name="_Toc22871"/>
      <w:bookmarkStart w:id="848" w:name="_Toc16916"/>
      <w:bookmarkStart w:id="849" w:name="_Toc9269"/>
      <w:bookmarkStart w:id="850" w:name="_Toc73112417"/>
      <w:bookmarkStart w:id="851" w:name="_Toc12739"/>
      <w:bookmarkStart w:id="852" w:name="_Toc9878"/>
      <w:bookmarkStart w:id="853" w:name="_Toc30398"/>
      <w:bookmarkStart w:id="854" w:name="_Toc32442"/>
      <w:bookmarkStart w:id="855" w:name="_Toc19810"/>
      <w:bookmarkStart w:id="856" w:name="_Toc16373"/>
      <w:r>
        <w:rPr>
          <w:rFonts w:hint="eastAsia" w:ascii="仿宋" w:hAnsi="仿宋" w:eastAsia="仿宋" w:cs="仿宋"/>
          <w:b/>
          <w:bCs/>
        </w:rPr>
        <w:t>3验收服务</w:t>
      </w:r>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p>
    <w:p w14:paraId="7C59B0B4">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3.1投标方在招标方现场进行的货物（或生产线）的预验收和终验收配合或指导，应当是免费的。</w:t>
      </w:r>
    </w:p>
    <w:p w14:paraId="190A8AB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货物（或生产线）验收时，若投标方提供的货物（或生产线）涉及到外购外协货物、而且该货物的技术质量等较为关键、功能实现或操作较为困难时，凡招标方提出需求的，投标方应能得到配套厂家的技术支持，并免费为招标方提供使用现场验收的配合或指导。</w:t>
      </w:r>
    </w:p>
    <w:p w14:paraId="15F19AA7">
      <w:pPr>
        <w:tabs>
          <w:tab w:val="left" w:pos="-1800"/>
          <w:tab w:val="left" w:pos="720"/>
        </w:tabs>
        <w:snapToGrid w:val="0"/>
        <w:spacing w:line="360" w:lineRule="auto"/>
        <w:ind w:firstLine="420" w:firstLineChars="200"/>
        <w:rPr>
          <w:rFonts w:ascii="仿宋" w:hAnsi="仿宋" w:eastAsia="仿宋" w:cs="仿宋"/>
        </w:rPr>
      </w:pPr>
      <w:r>
        <w:rPr>
          <w:rFonts w:hint="eastAsia" w:ascii="仿宋" w:hAnsi="仿宋" w:eastAsia="仿宋" w:cs="仿宋"/>
        </w:rPr>
        <w:t>3.3在投标方所提供货物（或生产线）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403F0C51">
      <w:pPr>
        <w:snapToGrid w:val="0"/>
        <w:spacing w:line="360" w:lineRule="auto"/>
        <w:ind w:firstLine="420" w:firstLineChars="200"/>
        <w:rPr>
          <w:rFonts w:ascii="仿宋" w:hAnsi="仿宋" w:eastAsia="仿宋" w:cs="仿宋"/>
        </w:rPr>
      </w:pPr>
      <w:r>
        <w:rPr>
          <w:rFonts w:hint="eastAsia" w:ascii="仿宋" w:hAnsi="仿宋" w:eastAsia="仿宋" w:cs="仿宋"/>
        </w:rPr>
        <w:t>3.4合格验收时，投标方提供测量功能设备及计量器具资质合格证书，招标方根据实际情况进行相关复检，复检合格视为合格。</w:t>
      </w:r>
    </w:p>
    <w:p w14:paraId="1C386445">
      <w:pPr>
        <w:snapToGrid w:val="0"/>
        <w:spacing w:line="360" w:lineRule="auto"/>
        <w:ind w:left="480"/>
        <w:outlineLvl w:val="1"/>
        <w:rPr>
          <w:rFonts w:ascii="仿宋" w:hAnsi="仿宋" w:eastAsia="仿宋" w:cs="仿宋"/>
          <w:b/>
          <w:bCs/>
        </w:rPr>
      </w:pPr>
      <w:bookmarkStart w:id="857" w:name="_Toc2093"/>
      <w:bookmarkStart w:id="858" w:name="_Toc9592"/>
      <w:bookmarkStart w:id="859" w:name="_Toc20717"/>
      <w:bookmarkStart w:id="860" w:name="_Toc29300"/>
      <w:bookmarkStart w:id="861" w:name="_Toc6099"/>
      <w:bookmarkStart w:id="862" w:name="_Toc10808"/>
      <w:bookmarkStart w:id="863" w:name="_Toc32079"/>
      <w:bookmarkStart w:id="864" w:name="_Toc4417"/>
      <w:bookmarkStart w:id="865" w:name="_Toc20426"/>
      <w:bookmarkStart w:id="866" w:name="_Toc27224"/>
      <w:bookmarkStart w:id="867" w:name="_Toc21987"/>
      <w:bookmarkStart w:id="868" w:name="_Toc1454"/>
      <w:bookmarkStart w:id="869" w:name="_Toc1199"/>
      <w:bookmarkStart w:id="870" w:name="_Toc10014"/>
      <w:bookmarkStart w:id="871" w:name="_Toc22965"/>
      <w:bookmarkStart w:id="872" w:name="_Toc7782"/>
      <w:bookmarkStart w:id="873" w:name="_Toc14739"/>
      <w:bookmarkStart w:id="874" w:name="_Toc32682"/>
      <w:bookmarkStart w:id="875" w:name="_Toc542"/>
      <w:bookmarkStart w:id="876" w:name="_Toc20081"/>
      <w:bookmarkStart w:id="877" w:name="_Toc22392"/>
      <w:bookmarkStart w:id="878" w:name="_Toc17895"/>
      <w:bookmarkStart w:id="879" w:name="_Toc73112418"/>
      <w:bookmarkStart w:id="880" w:name="_Toc18836"/>
      <w:bookmarkStart w:id="881" w:name="_Toc7478"/>
      <w:bookmarkStart w:id="882" w:name="_Toc8078"/>
      <w:bookmarkStart w:id="883" w:name="_Toc1784"/>
      <w:bookmarkStart w:id="884" w:name="_Toc11213"/>
      <w:bookmarkStart w:id="885" w:name="_Toc19397"/>
      <w:bookmarkStart w:id="886" w:name="_Toc19441"/>
      <w:bookmarkStart w:id="887" w:name="_Toc18968"/>
      <w:bookmarkStart w:id="888" w:name="_Toc29778"/>
      <w:bookmarkStart w:id="889" w:name="_Toc17056"/>
      <w:bookmarkStart w:id="890" w:name="_Toc11699"/>
      <w:bookmarkStart w:id="891" w:name="_Toc20916"/>
      <w:bookmarkStart w:id="892" w:name="_Toc1311"/>
      <w:bookmarkStart w:id="893" w:name="_Toc29633"/>
      <w:bookmarkStart w:id="894" w:name="_Toc3798"/>
      <w:bookmarkStart w:id="895" w:name="_Toc30412"/>
      <w:bookmarkStart w:id="896" w:name="_Toc26554"/>
      <w:bookmarkStart w:id="897" w:name="_Toc26773"/>
      <w:bookmarkStart w:id="898" w:name="_Toc6232"/>
      <w:bookmarkStart w:id="899" w:name="_Toc28635"/>
      <w:r>
        <w:rPr>
          <w:rFonts w:hint="eastAsia" w:ascii="仿宋" w:hAnsi="仿宋" w:eastAsia="仿宋" w:cs="仿宋"/>
          <w:b/>
          <w:bCs/>
        </w:rPr>
        <w:t>4售后服务</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13835DF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4.1所有的售后服务均由投标方受理。如果发生问题并且收到报告，投标方应当在2小时内予以答复。</w:t>
      </w:r>
    </w:p>
    <w:p w14:paraId="45E5DC6F">
      <w:pPr>
        <w:adjustRightInd w:val="0"/>
        <w:snapToGrid w:val="0"/>
        <w:spacing w:line="360" w:lineRule="auto"/>
        <w:ind w:firstLine="420" w:firstLineChars="200"/>
        <w:rPr>
          <w:rFonts w:ascii="仿宋" w:hAnsi="仿宋" w:eastAsia="仿宋" w:cs="仿宋"/>
          <w:highlight w:val="none"/>
        </w:rPr>
      </w:pPr>
      <w:r>
        <w:rPr>
          <w:rFonts w:hint="eastAsia" w:ascii="仿宋" w:hAnsi="仿宋" w:eastAsia="仿宋" w:cs="仿宋"/>
        </w:rPr>
        <w:t>4.2如发现所提供的货物（或生产线）存在问题，需要投标方解决或配合解决时：在质保期</w:t>
      </w:r>
      <w:r>
        <w:rPr>
          <w:rFonts w:hint="eastAsia" w:ascii="仿宋" w:hAnsi="仿宋" w:eastAsia="仿宋" w:cs="仿宋"/>
          <w:highlight w:val="none"/>
        </w:rPr>
        <w:t>之内，应在接到通知后</w:t>
      </w:r>
      <w:r>
        <w:rPr>
          <w:rFonts w:hint="eastAsia" w:ascii="仿宋" w:hAnsi="仿宋" w:eastAsia="仿宋" w:cs="仿宋"/>
          <w:highlight w:val="none"/>
          <w:u w:val="single"/>
          <w:shd w:val="pct10" w:color="auto" w:fill="FFFFFF"/>
        </w:rPr>
        <w:t>24</w:t>
      </w:r>
      <w:r>
        <w:rPr>
          <w:rFonts w:hint="eastAsia" w:ascii="仿宋" w:hAnsi="仿宋" w:eastAsia="仿宋" w:cs="仿宋"/>
          <w:highlight w:val="none"/>
          <w:u w:val="single"/>
        </w:rPr>
        <w:t xml:space="preserve"> </w:t>
      </w:r>
      <w:r>
        <w:rPr>
          <w:rFonts w:hint="eastAsia" w:ascii="仿宋" w:hAnsi="仿宋" w:eastAsia="仿宋" w:cs="仿宋"/>
          <w:highlight w:val="none"/>
        </w:rPr>
        <w:t>小时内派有关人员到达现场；在质保期之外，应在接到通知后</w:t>
      </w:r>
      <w:r>
        <w:rPr>
          <w:rFonts w:hint="eastAsia" w:ascii="仿宋" w:hAnsi="仿宋" w:eastAsia="仿宋" w:cs="仿宋"/>
          <w:highlight w:val="none"/>
          <w:u w:val="single"/>
          <w:shd w:val="pct10" w:color="auto" w:fill="FFFFFF"/>
        </w:rPr>
        <w:t>48</w:t>
      </w:r>
      <w:r>
        <w:rPr>
          <w:rFonts w:hint="eastAsia" w:ascii="仿宋" w:hAnsi="仿宋" w:eastAsia="仿宋" w:cs="仿宋"/>
          <w:highlight w:val="none"/>
          <w:u w:val="single"/>
        </w:rPr>
        <w:t xml:space="preserve"> </w:t>
      </w:r>
      <w:r>
        <w:rPr>
          <w:rFonts w:hint="eastAsia" w:ascii="仿宋" w:hAnsi="仿宋" w:eastAsia="仿宋" w:cs="仿宋"/>
          <w:highlight w:val="none"/>
        </w:rPr>
        <w:t>小时内派有关人员到达现场。</w:t>
      </w:r>
    </w:p>
    <w:p w14:paraId="4F62EFDD">
      <w:pPr>
        <w:adjustRightInd w:val="0"/>
        <w:snapToGrid w:val="0"/>
        <w:spacing w:line="360" w:lineRule="auto"/>
        <w:ind w:firstLine="420" w:firstLineChars="200"/>
        <w:rPr>
          <w:rFonts w:hint="eastAsia" w:ascii="仿宋" w:hAnsi="仿宋" w:eastAsia="仿宋" w:cs="仿宋"/>
          <w:highlight w:val="none"/>
        </w:rPr>
      </w:pPr>
      <w:r>
        <w:rPr>
          <w:rFonts w:hint="eastAsia" w:ascii="仿宋" w:hAnsi="仿宋" w:eastAsia="仿宋" w:cs="仿宋"/>
          <w:highlight w:val="none"/>
        </w:rPr>
        <w:t>4.3投标方派往招标方使用现场的人员，应具有较高的业务素质；现场解决问题时，不得无故拖延或推迟，应为招标方提供最佳的服务。</w:t>
      </w:r>
    </w:p>
    <w:p w14:paraId="218E8B96">
      <w:pPr>
        <w:adjustRightInd w:val="0"/>
        <w:snapToGrid w:val="0"/>
        <w:spacing w:line="360" w:lineRule="auto"/>
        <w:ind w:firstLine="420" w:firstLineChars="200"/>
        <w:rPr>
          <w:rFonts w:hint="eastAsia" w:eastAsia="仿宋"/>
          <w:highlight w:val="none"/>
          <w:lang w:eastAsia="zh-CN"/>
        </w:rPr>
      </w:pPr>
      <w:r>
        <w:rPr>
          <w:rFonts w:hint="eastAsia" w:ascii="仿宋" w:hAnsi="仿宋" w:eastAsia="仿宋" w:cs="仿宋"/>
          <w:highlight w:val="none"/>
        </w:rPr>
        <w:t>4.</w:t>
      </w:r>
      <w:r>
        <w:rPr>
          <w:rFonts w:hint="eastAsia" w:ascii="仿宋" w:hAnsi="仿宋" w:eastAsia="仿宋" w:cs="仿宋"/>
          <w:highlight w:val="none"/>
          <w:lang w:val="en-US" w:eastAsia="zh-CN"/>
        </w:rPr>
        <w:t>4设备（或生产线）在使用周期内，投标方免费派遣技术人员与甲方调试团队共同进行设备通讯接口的调试工作。</w:t>
      </w:r>
    </w:p>
    <w:p w14:paraId="417D1E52">
      <w:pPr>
        <w:snapToGrid w:val="0"/>
        <w:spacing w:line="360" w:lineRule="auto"/>
        <w:ind w:left="480"/>
        <w:outlineLvl w:val="1"/>
        <w:rPr>
          <w:rFonts w:ascii="仿宋" w:hAnsi="仿宋" w:eastAsia="仿宋" w:cs="仿宋"/>
          <w:b/>
          <w:bCs/>
          <w:highlight w:val="none"/>
        </w:rPr>
      </w:pPr>
      <w:bookmarkStart w:id="900" w:name="_Toc25994"/>
      <w:bookmarkStart w:id="901" w:name="_Toc21895"/>
      <w:bookmarkStart w:id="902" w:name="_Toc20936"/>
      <w:bookmarkStart w:id="903" w:name="_Toc32502"/>
      <w:bookmarkStart w:id="904" w:name="_Toc18148"/>
      <w:bookmarkStart w:id="905" w:name="_Toc19301"/>
      <w:bookmarkStart w:id="906" w:name="_Toc73112419"/>
      <w:bookmarkStart w:id="907" w:name="_Toc6354"/>
      <w:bookmarkStart w:id="908" w:name="_Toc30999"/>
      <w:bookmarkStart w:id="909" w:name="_Toc17891"/>
      <w:bookmarkStart w:id="910" w:name="_Toc12294"/>
      <w:bookmarkStart w:id="911" w:name="_Toc28927"/>
      <w:bookmarkStart w:id="912" w:name="_Toc27505"/>
      <w:bookmarkStart w:id="913" w:name="_Toc30887"/>
      <w:bookmarkStart w:id="914" w:name="_Toc7130"/>
      <w:bookmarkStart w:id="915" w:name="_Toc9982"/>
      <w:bookmarkStart w:id="916" w:name="_Toc10752"/>
      <w:bookmarkStart w:id="917" w:name="_Toc31498"/>
      <w:bookmarkStart w:id="918" w:name="_Toc26287"/>
      <w:bookmarkStart w:id="919" w:name="_Toc26623"/>
      <w:bookmarkStart w:id="920" w:name="_Toc20327"/>
      <w:bookmarkStart w:id="921" w:name="_Toc1118"/>
      <w:bookmarkStart w:id="922" w:name="_Toc3819"/>
      <w:bookmarkStart w:id="923" w:name="_Toc6107"/>
      <w:bookmarkStart w:id="924" w:name="_Toc32366"/>
      <w:bookmarkStart w:id="925" w:name="_Toc27733"/>
      <w:bookmarkStart w:id="926" w:name="_Toc4793"/>
      <w:bookmarkStart w:id="927" w:name="_Toc14349"/>
      <w:bookmarkStart w:id="928" w:name="_Toc913"/>
      <w:bookmarkStart w:id="929" w:name="_Toc6730"/>
      <w:bookmarkStart w:id="930" w:name="_Toc26976"/>
      <w:bookmarkStart w:id="931" w:name="_Toc115"/>
      <w:bookmarkStart w:id="932" w:name="_Toc27285"/>
      <w:bookmarkStart w:id="933" w:name="_Toc22732"/>
      <w:bookmarkStart w:id="934" w:name="_Toc25242"/>
      <w:bookmarkStart w:id="935" w:name="_Toc1573"/>
      <w:bookmarkStart w:id="936" w:name="_Toc13974"/>
      <w:bookmarkStart w:id="937" w:name="_Toc22593"/>
      <w:bookmarkStart w:id="938" w:name="_Toc25693"/>
      <w:bookmarkStart w:id="939" w:name="_Toc6984"/>
      <w:bookmarkStart w:id="940" w:name="_Toc16849"/>
      <w:bookmarkStart w:id="941" w:name="_Toc9688"/>
      <w:bookmarkStart w:id="942" w:name="_Toc14447"/>
      <w:r>
        <w:rPr>
          <w:rFonts w:hint="eastAsia" w:ascii="仿宋" w:hAnsi="仿宋" w:eastAsia="仿宋" w:cs="仿宋"/>
          <w:b/>
          <w:bCs/>
          <w:highlight w:val="none"/>
        </w:rPr>
        <w:t>5其它服务</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60FD428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5.1若投标方所提供货物（或生产线）有需要进口的，投标方一般应自行、自费办理；必要时，招标方和投标方共同办理。</w:t>
      </w:r>
    </w:p>
    <w:p w14:paraId="7F05F778">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5.2除招标文件、投标文件、答疑文件、技术协议、合同等约定之外，投标方应免费负责必要的或强制性的货物（或生产线）的检验、试验、化验等直接费用。</w:t>
      </w:r>
      <w:bookmarkStart w:id="943" w:name="_Toc133783974"/>
    </w:p>
    <w:p w14:paraId="4220FCF7">
      <w:pPr>
        <w:adjustRightInd w:val="0"/>
        <w:snapToGrid w:val="0"/>
        <w:spacing w:before="163" w:beforeLines="50" w:after="163" w:afterLines="50" w:line="360" w:lineRule="auto"/>
        <w:jc w:val="center"/>
        <w:outlineLvl w:val="0"/>
        <w:rPr>
          <w:rFonts w:ascii="仿宋" w:hAnsi="仿宋" w:eastAsia="仿宋" w:cs="仿宋"/>
          <w:b/>
          <w:bCs/>
        </w:rPr>
      </w:pPr>
      <w:bookmarkStart w:id="944" w:name="_Toc19208"/>
      <w:bookmarkStart w:id="945" w:name="_Toc2800"/>
      <w:bookmarkStart w:id="946" w:name="_Toc10438"/>
      <w:bookmarkStart w:id="947" w:name="_Toc18621"/>
      <w:bookmarkStart w:id="948" w:name="_Toc19942"/>
      <w:bookmarkStart w:id="949" w:name="_Toc27484"/>
      <w:bookmarkStart w:id="950" w:name="_Toc12454"/>
      <w:bookmarkStart w:id="951" w:name="_Toc11150"/>
      <w:bookmarkStart w:id="952" w:name="_Toc32409"/>
      <w:bookmarkStart w:id="953" w:name="_Toc5013"/>
      <w:bookmarkStart w:id="954" w:name="_Toc25825"/>
      <w:bookmarkStart w:id="955" w:name="_Toc19017"/>
      <w:bookmarkStart w:id="956" w:name="_Toc13250"/>
      <w:bookmarkStart w:id="957" w:name="_Toc18030"/>
      <w:bookmarkStart w:id="958" w:name="_Toc5996"/>
      <w:bookmarkStart w:id="959" w:name="_Toc25057"/>
      <w:bookmarkStart w:id="960" w:name="_Toc29777"/>
      <w:bookmarkStart w:id="961" w:name="_Toc14411"/>
      <w:bookmarkStart w:id="962" w:name="_Toc30293"/>
      <w:bookmarkStart w:id="963" w:name="_Toc24752"/>
      <w:bookmarkStart w:id="964" w:name="_Toc9482"/>
      <w:bookmarkStart w:id="965" w:name="_Toc32483"/>
      <w:bookmarkStart w:id="966" w:name="_Toc9251"/>
      <w:bookmarkStart w:id="967" w:name="_Toc9498"/>
      <w:bookmarkStart w:id="968" w:name="_Toc15356"/>
      <w:bookmarkStart w:id="969" w:name="_Toc73112420"/>
      <w:bookmarkStart w:id="970" w:name="_Toc2140"/>
      <w:bookmarkStart w:id="971" w:name="_Toc7461"/>
      <w:bookmarkStart w:id="972" w:name="_Toc8076"/>
      <w:bookmarkStart w:id="973" w:name="_Toc23730"/>
      <w:bookmarkStart w:id="974" w:name="_Toc9121"/>
      <w:bookmarkStart w:id="975" w:name="_Toc10873"/>
      <w:bookmarkStart w:id="976" w:name="_Toc10492"/>
      <w:bookmarkStart w:id="977" w:name="_Toc22725"/>
      <w:bookmarkStart w:id="978" w:name="_Toc16312"/>
      <w:bookmarkStart w:id="979" w:name="_Toc8547"/>
      <w:bookmarkStart w:id="980" w:name="_Toc16355"/>
      <w:bookmarkStart w:id="981" w:name="_Toc4011"/>
      <w:bookmarkStart w:id="982" w:name="_Toc21122"/>
      <w:bookmarkStart w:id="983" w:name="_Toc6228"/>
      <w:bookmarkStart w:id="984" w:name="_Toc29269"/>
      <w:bookmarkStart w:id="985" w:name="_Toc12013"/>
      <w:bookmarkStart w:id="986" w:name="_Toc26489"/>
      <w:bookmarkStart w:id="987" w:name="_Toc13895"/>
      <w:r>
        <w:rPr>
          <w:rFonts w:hint="eastAsia" w:ascii="仿宋" w:hAnsi="仿宋" w:eastAsia="仿宋" w:cs="仿宋"/>
          <w:b/>
          <w:bCs/>
        </w:rPr>
        <w:t>第五章</w:t>
      </w:r>
      <w:r>
        <w:rPr>
          <w:rFonts w:hint="eastAsia" w:ascii="仿宋" w:hAnsi="仿宋" w:eastAsia="仿宋" w:cs="仿宋"/>
          <w:b/>
          <w:bCs/>
          <w:lang w:val="en-US" w:eastAsia="zh-CN"/>
        </w:rPr>
        <w:t xml:space="preserve"> </w:t>
      </w:r>
      <w:r>
        <w:rPr>
          <w:rFonts w:hint="eastAsia" w:ascii="仿宋" w:hAnsi="仿宋" w:eastAsia="仿宋" w:cs="仿宋"/>
          <w:b/>
          <w:bCs/>
        </w:rPr>
        <w:t>预验收和终验收</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00028EA4">
      <w:pPr>
        <w:snapToGrid w:val="0"/>
        <w:spacing w:line="360" w:lineRule="auto"/>
        <w:ind w:left="482"/>
        <w:outlineLvl w:val="1"/>
        <w:rPr>
          <w:rFonts w:ascii="仿宋" w:hAnsi="仿宋" w:eastAsia="仿宋" w:cs="仿宋"/>
          <w:b/>
          <w:bCs/>
        </w:rPr>
      </w:pPr>
      <w:bookmarkStart w:id="988" w:name="_Toc1286"/>
      <w:bookmarkStart w:id="989" w:name="_Toc17620"/>
      <w:bookmarkStart w:id="990" w:name="_Toc25574"/>
      <w:bookmarkStart w:id="991" w:name="_Toc3676"/>
      <w:bookmarkStart w:id="992" w:name="_Toc23191"/>
      <w:bookmarkStart w:id="993" w:name="_Toc12676"/>
      <w:bookmarkStart w:id="994" w:name="_Toc21557"/>
      <w:bookmarkStart w:id="995" w:name="_Toc14965"/>
      <w:bookmarkStart w:id="996" w:name="_Toc29608"/>
      <w:bookmarkStart w:id="997" w:name="_Toc27951"/>
      <w:bookmarkStart w:id="998" w:name="_Toc24809"/>
      <w:bookmarkStart w:id="999" w:name="_Toc24517"/>
      <w:bookmarkStart w:id="1000" w:name="_Toc23231"/>
      <w:bookmarkStart w:id="1001" w:name="_Toc27448"/>
      <w:bookmarkStart w:id="1002" w:name="_Toc6924"/>
      <w:bookmarkStart w:id="1003" w:name="_Toc242"/>
      <w:bookmarkStart w:id="1004" w:name="_Toc15025"/>
      <w:bookmarkStart w:id="1005" w:name="_Toc4070"/>
      <w:bookmarkStart w:id="1006" w:name="_Toc7191"/>
      <w:bookmarkStart w:id="1007" w:name="_Toc14541"/>
      <w:bookmarkStart w:id="1008" w:name="_Toc13718"/>
      <w:bookmarkStart w:id="1009" w:name="_Toc7184"/>
      <w:bookmarkStart w:id="1010" w:name="_Toc12587"/>
      <w:bookmarkStart w:id="1011" w:name="_Toc22140"/>
      <w:bookmarkStart w:id="1012" w:name="_Toc6378"/>
      <w:bookmarkStart w:id="1013" w:name="_Toc29611"/>
      <w:bookmarkStart w:id="1014" w:name="_Toc10033"/>
      <w:bookmarkStart w:id="1015" w:name="_Toc12239"/>
      <w:bookmarkStart w:id="1016" w:name="_Toc5401"/>
      <w:bookmarkStart w:id="1017" w:name="_Toc31478"/>
      <w:bookmarkStart w:id="1018" w:name="_Toc22981"/>
      <w:bookmarkStart w:id="1019" w:name="_Toc27225"/>
      <w:bookmarkStart w:id="1020" w:name="_Toc73112421"/>
      <w:bookmarkStart w:id="1021" w:name="_Toc29964"/>
      <w:bookmarkStart w:id="1022" w:name="_Toc28506"/>
      <w:bookmarkStart w:id="1023" w:name="_Toc2326"/>
      <w:bookmarkStart w:id="1024" w:name="_Toc22207"/>
      <w:bookmarkStart w:id="1025" w:name="_Toc9902"/>
      <w:bookmarkStart w:id="1026" w:name="_Toc11331"/>
      <w:bookmarkStart w:id="1027" w:name="_Toc29287"/>
      <w:bookmarkStart w:id="1028" w:name="_Toc28073"/>
      <w:bookmarkStart w:id="1029" w:name="_Toc21206"/>
      <w:bookmarkStart w:id="1030" w:name="_Toc7463"/>
      <w:r>
        <w:rPr>
          <w:rFonts w:hint="eastAsia" w:ascii="仿宋" w:hAnsi="仿宋" w:eastAsia="仿宋" w:cs="仿宋"/>
          <w:b/>
          <w:bCs/>
        </w:rPr>
        <w:t>1验收的一般约定</w:t>
      </w:r>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p w14:paraId="44106B38">
      <w:pPr>
        <w:adjustRightInd w:val="0"/>
        <w:snapToGrid w:val="0"/>
        <w:spacing w:line="360" w:lineRule="auto"/>
        <w:ind w:firstLine="420" w:firstLineChars="200"/>
        <w:rPr>
          <w:rFonts w:ascii="仿宋" w:hAnsi="仿宋" w:eastAsia="仿宋" w:cs="仿宋"/>
          <w:highlight w:val="none"/>
        </w:rPr>
      </w:pPr>
      <w:r>
        <w:rPr>
          <w:rFonts w:hint="eastAsia" w:ascii="仿宋" w:hAnsi="仿宋" w:eastAsia="仿宋" w:cs="仿宋"/>
        </w:rPr>
        <w:t>1.</w:t>
      </w:r>
      <w:r>
        <w:rPr>
          <w:rFonts w:hint="eastAsia" w:ascii="仿宋" w:hAnsi="仿宋" w:eastAsia="仿宋" w:cs="仿宋"/>
          <w:highlight w:val="none"/>
        </w:rPr>
        <w:t>1验收标准一般以技术协议书和合同规定验收。</w:t>
      </w:r>
    </w:p>
    <w:p w14:paraId="105A4408">
      <w:pPr>
        <w:adjustRightInd w:val="0"/>
        <w:snapToGrid w:val="0"/>
        <w:spacing w:line="360" w:lineRule="auto"/>
        <w:ind w:firstLine="420" w:firstLineChars="200"/>
        <w:rPr>
          <w:rFonts w:ascii="仿宋" w:hAnsi="仿宋" w:eastAsia="仿宋" w:cs="仿宋"/>
          <w:highlight w:val="none"/>
        </w:rPr>
      </w:pPr>
      <w:r>
        <w:rPr>
          <w:rFonts w:hint="eastAsia" w:ascii="仿宋" w:hAnsi="仿宋" w:eastAsia="仿宋" w:cs="仿宋"/>
          <w:highlight w:val="none"/>
        </w:rPr>
        <w:t>1.2如果验收过程中，发现招标文件、投标文件、答疑文件、技术交流文件等与技术协议书、合同存在差异，原则上以涉及条款中对买方最有利条款为验收依据。</w:t>
      </w:r>
    </w:p>
    <w:p w14:paraId="3FCE6F94">
      <w:pPr>
        <w:snapToGrid w:val="0"/>
        <w:spacing w:line="360" w:lineRule="auto"/>
        <w:ind w:left="482"/>
        <w:outlineLvl w:val="1"/>
        <w:rPr>
          <w:rFonts w:ascii="仿宋" w:hAnsi="仿宋" w:eastAsia="仿宋" w:cs="仿宋"/>
          <w:b/>
          <w:bCs/>
          <w:highlight w:val="none"/>
        </w:rPr>
      </w:pPr>
      <w:bookmarkStart w:id="1031" w:name="_Toc17720"/>
      <w:bookmarkStart w:id="1032" w:name="_Toc17335"/>
      <w:bookmarkStart w:id="1033" w:name="_Toc513"/>
      <w:bookmarkStart w:id="1034" w:name="_Toc23133"/>
      <w:bookmarkStart w:id="1035" w:name="_Toc31116"/>
      <w:bookmarkStart w:id="1036" w:name="_Toc21722"/>
      <w:bookmarkStart w:id="1037" w:name="_Toc13173"/>
      <w:bookmarkStart w:id="1038" w:name="_Toc22558"/>
      <w:bookmarkStart w:id="1039" w:name="_Toc26712"/>
      <w:bookmarkStart w:id="1040" w:name="_Toc8093"/>
      <w:bookmarkStart w:id="1041" w:name="_Toc11248"/>
      <w:bookmarkStart w:id="1042" w:name="_Toc10568"/>
      <w:bookmarkStart w:id="1043" w:name="_Toc21568"/>
      <w:bookmarkStart w:id="1044" w:name="_Toc32581"/>
      <w:bookmarkStart w:id="1045" w:name="_Toc13736"/>
      <w:bookmarkStart w:id="1046" w:name="_Toc7457"/>
      <w:bookmarkStart w:id="1047" w:name="_Toc15379"/>
      <w:bookmarkStart w:id="1048" w:name="_Toc30274"/>
      <w:bookmarkStart w:id="1049" w:name="_Toc6206"/>
      <w:bookmarkStart w:id="1050" w:name="_Toc23919"/>
      <w:bookmarkStart w:id="1051" w:name="_Toc25951"/>
      <w:bookmarkStart w:id="1052" w:name="_Toc6471"/>
      <w:bookmarkStart w:id="1053" w:name="_Toc1155"/>
      <w:bookmarkStart w:id="1054" w:name="_Toc8916"/>
      <w:bookmarkStart w:id="1055" w:name="_Toc16943"/>
      <w:bookmarkStart w:id="1056" w:name="_Toc21414"/>
      <w:bookmarkStart w:id="1057" w:name="_Toc11335"/>
      <w:bookmarkStart w:id="1058" w:name="_Toc73112422"/>
      <w:bookmarkStart w:id="1059" w:name="_Toc19505"/>
      <w:bookmarkStart w:id="1060" w:name="_Toc2310"/>
      <w:bookmarkStart w:id="1061" w:name="_Toc8742"/>
      <w:bookmarkStart w:id="1062" w:name="_Toc27467"/>
      <w:bookmarkStart w:id="1063" w:name="_Toc28873"/>
      <w:bookmarkStart w:id="1064" w:name="_Toc22158"/>
      <w:bookmarkStart w:id="1065" w:name="_Toc18517"/>
      <w:bookmarkStart w:id="1066" w:name="_Toc9729"/>
      <w:bookmarkStart w:id="1067" w:name="_Toc27120"/>
      <w:bookmarkStart w:id="1068" w:name="_Toc20876"/>
      <w:bookmarkStart w:id="1069" w:name="_Toc29669"/>
      <w:bookmarkStart w:id="1070" w:name="_Toc28925"/>
      <w:bookmarkStart w:id="1071" w:name="_Toc10200"/>
      <w:bookmarkStart w:id="1072" w:name="_Toc8338"/>
      <w:bookmarkStart w:id="1073" w:name="_Toc7863"/>
      <w:r>
        <w:rPr>
          <w:rFonts w:hint="eastAsia" w:ascii="仿宋" w:hAnsi="仿宋" w:eastAsia="仿宋" w:cs="仿宋"/>
          <w:b/>
          <w:bCs/>
          <w:highlight w:val="none"/>
        </w:rPr>
        <w:t>2检验</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p>
    <w:p w14:paraId="36956CF9">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2.1国产货物（或生产线）的检验由卖买双方按照合同要求或在制造现场进行。</w:t>
      </w:r>
    </w:p>
    <w:p w14:paraId="053FA46D">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2.2进口货物（或生产线）的检验按照下述要求进行：</w:t>
      </w:r>
    </w:p>
    <w:p w14:paraId="05E387F5">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2.1.1进口货物（或生产线）发货前，卖方应对货物（或生产线）的质量、型号、规格、性能和数量/重量作精密、全面的检验，并出具证明书，证明所供货物（或生产线）符合合同规定。</w:t>
      </w:r>
    </w:p>
    <w:p w14:paraId="4888584A">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2.1.2卖方应依据合同规定的要求，提供买卖双方达成一致的货物（或生产线）的验收标准和装箱单，作为买方检验的依据。</w:t>
      </w:r>
    </w:p>
    <w:p w14:paraId="2C49849A">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2.1.3进口货物（或生产线）到达目的地后，买方有权申请中国商品检验检疫局进行检验，如发现货物（或生产线）的品质及规格与合同或发票不符，除买方的责任外，买方有权在货物（或生产线）到达卸货目的地后</w:t>
      </w:r>
      <w:r>
        <w:rPr>
          <w:rFonts w:hint="eastAsia" w:ascii="仿宋" w:hAnsi="仿宋" w:eastAsia="仿宋" w:cs="仿宋"/>
          <w:shd w:val="pct10" w:color="auto" w:fill="FFFFFF"/>
        </w:rPr>
        <w:t>180</w:t>
      </w:r>
      <w:r>
        <w:rPr>
          <w:rFonts w:hint="eastAsia" w:ascii="仿宋" w:hAnsi="仿宋" w:eastAsia="仿宋" w:cs="仿宋"/>
        </w:rPr>
        <w:t>个日历日内，根据中国商品检验检疫局出具的证明书向卖方提出索赔，因索赔所发生的一切费用(包括检验检疫费等)均由卖方承担。</w:t>
      </w:r>
    </w:p>
    <w:p w14:paraId="3F76D061">
      <w:pPr>
        <w:snapToGrid w:val="0"/>
        <w:spacing w:line="360" w:lineRule="auto"/>
        <w:ind w:left="482"/>
        <w:outlineLvl w:val="1"/>
        <w:rPr>
          <w:rFonts w:ascii="仿宋" w:hAnsi="仿宋" w:eastAsia="仿宋" w:cs="仿宋"/>
          <w:b/>
          <w:bCs/>
        </w:rPr>
      </w:pPr>
      <w:bookmarkStart w:id="1074" w:name="_Toc32111"/>
      <w:bookmarkStart w:id="1075" w:name="_Toc16665"/>
      <w:bookmarkStart w:id="1076" w:name="_Toc1041"/>
      <w:bookmarkStart w:id="1077" w:name="_Toc8477"/>
      <w:bookmarkStart w:id="1078" w:name="_Toc5604"/>
      <w:bookmarkStart w:id="1079" w:name="_Toc11780"/>
      <w:bookmarkStart w:id="1080" w:name="_Toc8128"/>
      <w:bookmarkStart w:id="1081" w:name="_Toc31780"/>
      <w:bookmarkStart w:id="1082" w:name="_Toc30797"/>
      <w:bookmarkStart w:id="1083" w:name="_Toc8664"/>
      <w:bookmarkStart w:id="1084" w:name="_Toc27594"/>
      <w:bookmarkStart w:id="1085" w:name="_Toc14993"/>
      <w:bookmarkStart w:id="1086" w:name="_Toc17499"/>
      <w:bookmarkStart w:id="1087" w:name="_Toc21757"/>
      <w:bookmarkStart w:id="1088" w:name="_Toc27538"/>
      <w:bookmarkStart w:id="1089" w:name="_Toc23252"/>
      <w:bookmarkStart w:id="1090" w:name="_Toc21487"/>
      <w:bookmarkStart w:id="1091" w:name="_Toc27310"/>
      <w:bookmarkStart w:id="1092" w:name="_Toc11846"/>
      <w:bookmarkStart w:id="1093" w:name="_Toc23250"/>
      <w:bookmarkStart w:id="1094" w:name="_Toc10879"/>
      <w:bookmarkStart w:id="1095" w:name="_Toc1969"/>
      <w:bookmarkStart w:id="1096" w:name="_Toc31733"/>
      <w:bookmarkStart w:id="1097" w:name="_Toc25654"/>
      <w:bookmarkStart w:id="1098" w:name="_Toc14844"/>
      <w:bookmarkStart w:id="1099" w:name="_Toc22379"/>
      <w:bookmarkStart w:id="1100" w:name="_Toc14587"/>
      <w:bookmarkStart w:id="1101" w:name="_Toc29497"/>
      <w:bookmarkStart w:id="1102" w:name="_Toc228"/>
      <w:bookmarkStart w:id="1103" w:name="_Toc27145"/>
      <w:bookmarkStart w:id="1104" w:name="_Toc5653"/>
      <w:bookmarkStart w:id="1105" w:name="_Toc15488"/>
      <w:bookmarkStart w:id="1106" w:name="_Toc6506"/>
      <w:bookmarkStart w:id="1107" w:name="_Toc1461"/>
      <w:bookmarkStart w:id="1108" w:name="_Toc18595"/>
      <w:bookmarkStart w:id="1109" w:name="_Toc28225"/>
      <w:bookmarkStart w:id="1110" w:name="_Toc73112423"/>
      <w:bookmarkStart w:id="1111" w:name="_Toc19311"/>
      <w:bookmarkStart w:id="1112" w:name="_Toc14904"/>
      <w:bookmarkStart w:id="1113" w:name="_Toc27629"/>
      <w:bookmarkStart w:id="1114" w:name="_Toc18036"/>
      <w:bookmarkStart w:id="1115" w:name="_Toc16878"/>
      <w:bookmarkStart w:id="1116" w:name="_Toc8214"/>
      <w:r>
        <w:rPr>
          <w:rFonts w:hint="eastAsia" w:ascii="仿宋" w:hAnsi="仿宋" w:eastAsia="仿宋" w:cs="仿宋"/>
          <w:b/>
          <w:bCs/>
        </w:rPr>
        <w:t>3验收条件</w:t>
      </w:r>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p>
    <w:p w14:paraId="5987F692">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1BDA3AD0">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买卖双方按照合同约定执行了合同，同时货物（或生产线）完成了试运行并经检验合格，则具备验收条件。</w:t>
      </w:r>
    </w:p>
    <w:p w14:paraId="147104B2">
      <w:pPr>
        <w:adjustRightInd w:val="0"/>
        <w:snapToGrid w:val="0"/>
        <w:spacing w:line="360" w:lineRule="auto"/>
        <w:ind w:firstLine="420" w:firstLineChars="200"/>
        <w:rPr>
          <w:rFonts w:ascii="仿宋" w:hAnsi="仿宋" w:eastAsia="仿宋" w:cs="仿宋"/>
        </w:rPr>
      </w:pPr>
      <w:bookmarkStart w:id="1117" w:name="_Toc4157"/>
      <w:bookmarkStart w:id="1118" w:name="_Toc16622"/>
      <w:bookmarkStart w:id="1119" w:name="_Toc5473"/>
      <w:bookmarkStart w:id="1120" w:name="_Toc20087"/>
      <w:bookmarkStart w:id="1121" w:name="_Toc23170"/>
      <w:bookmarkStart w:id="1122" w:name="_Toc10389"/>
      <w:bookmarkStart w:id="1123" w:name="_Toc32498"/>
      <w:bookmarkStart w:id="1124" w:name="_Toc27856"/>
      <w:bookmarkStart w:id="1125" w:name="_Toc6731"/>
      <w:bookmarkStart w:id="1126" w:name="_Toc21811"/>
      <w:bookmarkStart w:id="1127" w:name="_Toc5952"/>
      <w:bookmarkStart w:id="1128" w:name="_Toc1849"/>
      <w:bookmarkStart w:id="1129" w:name="_Toc18903"/>
      <w:bookmarkStart w:id="1130" w:name="_Toc22247"/>
      <w:bookmarkStart w:id="1131" w:name="_Toc362"/>
      <w:bookmarkStart w:id="1132" w:name="_Toc771"/>
      <w:bookmarkStart w:id="1133" w:name="_Toc7303"/>
      <w:bookmarkStart w:id="1134" w:name="_Toc11412"/>
      <w:bookmarkStart w:id="1135" w:name="_Toc19344"/>
      <w:bookmarkStart w:id="1136" w:name="_Toc9015"/>
      <w:bookmarkStart w:id="1137" w:name="_Toc17709"/>
      <w:bookmarkStart w:id="1138" w:name="_Toc11902"/>
      <w:bookmarkStart w:id="1139" w:name="_Toc11234"/>
      <w:bookmarkStart w:id="1140" w:name="_Toc10052"/>
      <w:bookmarkStart w:id="1141" w:name="_Toc16974"/>
      <w:bookmarkStart w:id="1142" w:name="_Toc18963"/>
      <w:bookmarkStart w:id="1143" w:name="_Toc20504"/>
      <w:bookmarkStart w:id="1144" w:name="_Toc25547"/>
      <w:bookmarkStart w:id="1145" w:name="_Toc10586"/>
      <w:bookmarkStart w:id="1146" w:name="_Toc24377"/>
      <w:bookmarkStart w:id="1147" w:name="_Toc23548"/>
      <w:bookmarkStart w:id="1148" w:name="_Toc24921"/>
      <w:bookmarkStart w:id="1149" w:name="_Toc3034"/>
      <w:bookmarkStart w:id="1150" w:name="_Toc6977"/>
      <w:bookmarkStart w:id="1151" w:name="_Toc31328"/>
      <w:bookmarkStart w:id="1152" w:name="_Toc4741"/>
      <w:bookmarkStart w:id="1153" w:name="_Toc18487"/>
      <w:bookmarkStart w:id="1154" w:name="_Toc30563"/>
      <w:bookmarkStart w:id="1155" w:name="_Toc31639"/>
      <w:bookmarkStart w:id="1156" w:name="_Toc24814"/>
      <w:bookmarkStart w:id="1157" w:name="_Toc27848"/>
      <w:r>
        <w:rPr>
          <w:rFonts w:hint="eastAsia" w:ascii="仿宋" w:hAnsi="仿宋" w:eastAsia="仿宋" w:cs="仿宋"/>
        </w:rPr>
        <w:t>3.1预验收一般条件</w:t>
      </w:r>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p>
    <w:p w14:paraId="14745A8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3.1.1卖方已经按照“供货范围”要求提供了预验收资料，并且资料齐全、完整和有效。</w:t>
      </w:r>
    </w:p>
    <w:p w14:paraId="5B303C7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3.1.2货物（或生产线）应运行稳定、可靠、安全，无非正常变形，非正常振动，无异常声音；无漏水、漏液、漏气（汽）、漏电等现象。运动的零部件（如链条、联轴器、离合器、主轴、工作台等）动作平稳、灵活运动准确。</w:t>
      </w:r>
    </w:p>
    <w:p w14:paraId="020B176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3.1.3货物（或生产线）应完整且所有的零部件应该安装安全、牢固，外观无损伤，所有的焊缝饱满、无残渣等缺陷。</w:t>
      </w:r>
    </w:p>
    <w:p w14:paraId="2026CBBF">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3.1.4一般情况下，所有的管路和线缆等，接头应完全正确、可靠地联接；应排列有序（正确、牢固、整齐），有必要的防护，无皱褶、收缩和裂缝等不良现象。</w:t>
      </w:r>
    </w:p>
    <w:p w14:paraId="0328E210">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3.1.5货物（或生产线）的润滑系统工作正常、可靠，润滑点易于到达。</w:t>
      </w:r>
    </w:p>
    <w:p w14:paraId="2C85986D">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3.1.6使用的压力容器、电气等应具备合格证（如果有压力容器），</w:t>
      </w:r>
    </w:p>
    <w:p w14:paraId="3E93E8E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3.1.7货物（或生产线）的油漆质量应饱满、有光泽，无掉漆、无色差、无“桔皮”等不良现象（特殊标志除外）。</w:t>
      </w:r>
    </w:p>
    <w:p w14:paraId="2A776F44">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3.1.8货物（或生产线）标牌完整、清晰、明确。</w:t>
      </w:r>
    </w:p>
    <w:p w14:paraId="4B118B9A">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3.1.9地线联接和地极符合国际（ISO/IEC）标准规范。</w:t>
      </w:r>
    </w:p>
    <w:p w14:paraId="5D69BE8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3.1.10货物（或生产线）的安全要求符合中国最新的相关法律、法规、标准和规范以及合同要求。</w:t>
      </w:r>
    </w:p>
    <w:p w14:paraId="71654E3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3.1.11预验收试件的发放：试件品种及数量由技术协议约定，试件由招标方发到中标方所产生的一切费用（或损失）由中标方承担。</w:t>
      </w:r>
    </w:p>
    <w:p w14:paraId="2D671FDF">
      <w:pPr>
        <w:adjustRightInd w:val="0"/>
        <w:snapToGrid w:val="0"/>
        <w:spacing w:line="360" w:lineRule="auto"/>
        <w:ind w:firstLine="420" w:firstLineChars="200"/>
        <w:rPr>
          <w:rFonts w:ascii="仿宋" w:hAnsi="仿宋" w:eastAsia="仿宋" w:cs="仿宋"/>
        </w:rPr>
      </w:pPr>
      <w:bookmarkStart w:id="1158" w:name="_Toc28390"/>
      <w:bookmarkStart w:id="1159" w:name="_Toc5422"/>
      <w:bookmarkStart w:id="1160" w:name="_Toc8879"/>
      <w:bookmarkStart w:id="1161" w:name="_Toc17924"/>
      <w:bookmarkStart w:id="1162" w:name="_Toc17523"/>
      <w:bookmarkStart w:id="1163" w:name="_Toc18823"/>
      <w:bookmarkStart w:id="1164" w:name="_Toc24874"/>
      <w:bookmarkStart w:id="1165" w:name="_Toc8320"/>
      <w:bookmarkStart w:id="1166" w:name="_Toc17491"/>
      <w:bookmarkStart w:id="1167" w:name="_Toc24950"/>
      <w:bookmarkStart w:id="1168" w:name="_Toc22891"/>
      <w:bookmarkStart w:id="1169" w:name="_Toc12987"/>
      <w:bookmarkStart w:id="1170" w:name="_Toc19887"/>
      <w:bookmarkStart w:id="1171" w:name="_Toc23596"/>
      <w:bookmarkStart w:id="1172" w:name="_Toc20374"/>
      <w:bookmarkStart w:id="1173" w:name="_Toc8938"/>
      <w:bookmarkStart w:id="1174" w:name="_Toc2134"/>
      <w:bookmarkStart w:id="1175" w:name="_Toc15751"/>
      <w:bookmarkStart w:id="1176" w:name="_Toc27491"/>
      <w:bookmarkStart w:id="1177" w:name="_Toc11537"/>
      <w:bookmarkStart w:id="1178" w:name="_Toc21671"/>
      <w:bookmarkStart w:id="1179" w:name="_Toc16821"/>
      <w:bookmarkStart w:id="1180" w:name="_Toc2362"/>
      <w:bookmarkStart w:id="1181" w:name="_Toc1293"/>
      <w:bookmarkStart w:id="1182" w:name="_Toc12439"/>
      <w:bookmarkStart w:id="1183" w:name="_Toc26496"/>
      <w:bookmarkStart w:id="1184" w:name="_Toc21953"/>
      <w:bookmarkStart w:id="1185" w:name="_Toc9105"/>
      <w:bookmarkStart w:id="1186" w:name="_Toc21629"/>
      <w:bookmarkStart w:id="1187" w:name="_Toc30498"/>
      <w:bookmarkStart w:id="1188" w:name="_Toc29661"/>
      <w:bookmarkStart w:id="1189" w:name="_Toc29327"/>
      <w:bookmarkStart w:id="1190" w:name="_Toc931"/>
      <w:bookmarkStart w:id="1191" w:name="_Toc3329"/>
      <w:bookmarkStart w:id="1192" w:name="_Toc14552"/>
      <w:bookmarkStart w:id="1193" w:name="_Toc7060"/>
      <w:bookmarkStart w:id="1194" w:name="_Toc4643"/>
      <w:bookmarkStart w:id="1195" w:name="_Toc19728"/>
      <w:bookmarkStart w:id="1196" w:name="_Toc4108"/>
      <w:bookmarkStart w:id="1197" w:name="_Toc4066"/>
      <w:bookmarkStart w:id="1198" w:name="_Toc6062"/>
      <w:r>
        <w:rPr>
          <w:rFonts w:hint="eastAsia" w:ascii="仿宋" w:hAnsi="仿宋" w:eastAsia="仿宋" w:cs="仿宋"/>
        </w:rPr>
        <w:t>3.2终验收一般条件</w:t>
      </w:r>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p>
    <w:p w14:paraId="3B96442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3.2.1</w:t>
      </w:r>
      <w:r>
        <w:rPr>
          <w:rFonts w:hint="eastAsia" w:ascii="仿宋" w:hAnsi="仿宋" w:eastAsia="仿宋" w:cs="仿宋"/>
          <w:lang w:val="en-US" w:eastAsia="zh-CN"/>
        </w:rPr>
        <w:t xml:space="preserve"> </w:t>
      </w:r>
      <w:r>
        <w:rPr>
          <w:rFonts w:hint="eastAsia" w:ascii="仿宋" w:hAnsi="仿宋" w:eastAsia="仿宋" w:cs="仿宋"/>
        </w:rPr>
        <w:t>经过预验收而且没有出现新的质量问题，或者满足预验收条款。</w:t>
      </w:r>
    </w:p>
    <w:p w14:paraId="42721210">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3.2.2</w:t>
      </w:r>
      <w:r>
        <w:rPr>
          <w:rFonts w:hint="eastAsia" w:ascii="仿宋" w:hAnsi="仿宋" w:eastAsia="仿宋" w:cs="仿宋"/>
          <w:lang w:val="en-US" w:eastAsia="zh-CN"/>
        </w:rPr>
        <w:t xml:space="preserve"> </w:t>
      </w:r>
      <w:r>
        <w:rPr>
          <w:rFonts w:hint="eastAsia" w:ascii="仿宋" w:hAnsi="仿宋" w:eastAsia="仿宋" w:cs="仿宋"/>
        </w:rPr>
        <w:t>货物（或生产线）安装调试完毕，并至少经过了验收要求的负荷试运行。</w:t>
      </w:r>
    </w:p>
    <w:p w14:paraId="2DAA8A50">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w:t>
      </w:r>
      <w:r>
        <w:rPr>
          <w:rFonts w:hint="eastAsia" w:ascii="仿宋" w:hAnsi="仿宋" w:eastAsia="仿宋" w:cs="仿宋"/>
          <w:lang w:val="en-US" w:eastAsia="zh-CN"/>
        </w:rPr>
        <w:t xml:space="preserve">3 </w:t>
      </w:r>
      <w:r>
        <w:rPr>
          <w:rFonts w:hint="eastAsia" w:ascii="仿宋" w:hAnsi="仿宋" w:eastAsia="仿宋" w:cs="仿宋"/>
        </w:rPr>
        <w:t>计量仪器、仪表配套合理，采用中国的法定计量单位，计量准确、灵敏可靠。保证设计指标和仪器说明书的参数的实现。</w:t>
      </w:r>
    </w:p>
    <w:p w14:paraId="1D290B3D">
      <w:pPr>
        <w:adjustRightInd w:val="0"/>
        <w:snapToGrid w:val="0"/>
        <w:spacing w:line="360" w:lineRule="auto"/>
        <w:ind w:firstLine="420" w:firstLineChars="200"/>
        <w:rPr>
          <w:rFonts w:ascii="仿宋" w:hAnsi="仿宋" w:eastAsia="仿宋" w:cs="仿宋"/>
          <w:highlight w:val="none"/>
        </w:rPr>
      </w:pPr>
      <w:r>
        <w:rPr>
          <w:rFonts w:hint="eastAsia" w:ascii="仿宋" w:hAnsi="仿宋" w:eastAsia="仿宋" w:cs="仿宋"/>
        </w:rPr>
        <w:t>3.2.</w:t>
      </w:r>
      <w:r>
        <w:rPr>
          <w:rFonts w:hint="eastAsia" w:ascii="仿宋" w:hAnsi="仿宋" w:eastAsia="仿宋" w:cs="仿宋"/>
          <w:lang w:val="en-US" w:eastAsia="zh-CN"/>
        </w:rPr>
        <w:t xml:space="preserve">4 </w:t>
      </w:r>
      <w:r>
        <w:rPr>
          <w:rFonts w:hint="eastAsia" w:ascii="仿宋" w:hAnsi="仿宋" w:eastAsia="仿宋" w:cs="仿宋"/>
          <w:highlight w:val="none"/>
        </w:rPr>
        <w:t>试运行期间或之后无维修、调整等行为（特殊情况除外）。</w:t>
      </w:r>
    </w:p>
    <w:p w14:paraId="32C5C528">
      <w:pPr>
        <w:adjustRightInd w:val="0"/>
        <w:snapToGrid w:val="0"/>
        <w:spacing w:line="360" w:lineRule="auto"/>
        <w:ind w:firstLine="420" w:firstLineChars="200"/>
        <w:rPr>
          <w:rFonts w:hint="eastAsia" w:ascii="仿宋" w:hAnsi="仿宋" w:eastAsia="仿宋" w:cs="仿宋"/>
          <w:highlight w:val="none"/>
        </w:rPr>
      </w:pPr>
      <w:r>
        <w:rPr>
          <w:rFonts w:hint="eastAsia" w:ascii="仿宋" w:hAnsi="仿宋" w:eastAsia="仿宋" w:cs="仿宋"/>
          <w:highlight w:val="none"/>
        </w:rPr>
        <w:t>3.2.</w:t>
      </w:r>
      <w:r>
        <w:rPr>
          <w:rFonts w:hint="eastAsia" w:ascii="仿宋" w:hAnsi="仿宋" w:eastAsia="仿宋" w:cs="仿宋"/>
          <w:highlight w:val="none"/>
          <w:lang w:val="en-US" w:eastAsia="zh-CN"/>
        </w:rPr>
        <w:t xml:space="preserve">5 </w:t>
      </w:r>
      <w:r>
        <w:rPr>
          <w:rFonts w:hint="eastAsia" w:ascii="仿宋" w:hAnsi="仿宋" w:eastAsia="仿宋" w:cs="仿宋"/>
          <w:highlight w:val="none"/>
        </w:rPr>
        <w:t>货物（或生产线）质量、技术性能等，达到签定的技术协议书和合同规定的终验收标准。</w:t>
      </w:r>
    </w:p>
    <w:p w14:paraId="6D34A5BC">
      <w:pPr>
        <w:adjustRightInd w:val="0"/>
        <w:snapToGrid w:val="0"/>
        <w:spacing w:line="360" w:lineRule="auto"/>
        <w:ind w:firstLine="420" w:firstLineChars="200"/>
        <w:rPr>
          <w:rFonts w:hint="eastAsia" w:ascii="仿宋" w:hAnsi="仿宋" w:eastAsia="仿宋" w:cs="仿宋"/>
          <w:highlight w:val="none"/>
        </w:rPr>
      </w:pPr>
      <w:r>
        <w:rPr>
          <w:rFonts w:hint="eastAsia" w:ascii="仿宋" w:hAnsi="仿宋" w:eastAsia="仿宋" w:cs="仿宋"/>
          <w:highlight w:val="none"/>
          <w:lang w:val="en-US" w:eastAsia="zh-CN"/>
        </w:rPr>
        <w:t xml:space="preserve">3.2.6 </w:t>
      </w:r>
      <w:r>
        <w:rPr>
          <w:rFonts w:hint="eastAsia" w:ascii="仿宋" w:hAnsi="仿宋" w:eastAsia="仿宋" w:cs="仿宋"/>
          <w:highlight w:val="none"/>
        </w:rPr>
        <w:t>试件:终验收完成前的所有试件</w:t>
      </w:r>
      <w:r>
        <w:rPr>
          <w:rFonts w:hint="eastAsia" w:ascii="仿宋" w:hAnsi="仿宋" w:eastAsia="仿宋" w:cs="仿宋"/>
          <w:highlight w:val="none"/>
          <w:lang w:eastAsia="zh-CN"/>
        </w:rPr>
        <w:t>，</w:t>
      </w:r>
      <w:r>
        <w:rPr>
          <w:rFonts w:hint="eastAsia" w:ascii="仿宋" w:hAnsi="仿宋" w:eastAsia="仿宋" w:cs="仿宋"/>
          <w:highlight w:val="none"/>
          <w:lang w:val="en-US" w:eastAsia="zh-CN"/>
        </w:rPr>
        <w:t>主减速器壳、主被动锥齿轮等</w:t>
      </w:r>
      <w:r>
        <w:rPr>
          <w:rFonts w:hint="eastAsia" w:ascii="仿宋" w:hAnsi="仿宋" w:eastAsia="仿宋" w:cs="仿宋"/>
          <w:highlight w:val="none"/>
        </w:rPr>
        <w:t>大件可允许报废5件，</w:t>
      </w:r>
      <w:r>
        <w:rPr>
          <w:rFonts w:hint="eastAsia" w:ascii="仿宋" w:hAnsi="仿宋" w:eastAsia="仿宋" w:cs="仿宋"/>
          <w:highlight w:val="none"/>
          <w:lang w:val="en-US" w:eastAsia="zh-CN"/>
        </w:rPr>
        <w:t>法兰或同等体积之下的</w:t>
      </w:r>
      <w:r>
        <w:rPr>
          <w:rFonts w:hint="eastAsia" w:ascii="仿宋" w:hAnsi="仿宋" w:eastAsia="仿宋" w:cs="仿宋"/>
          <w:highlight w:val="none"/>
        </w:rPr>
        <w:t>中小件可允许报废 10 件，超过此数量的产品损失费用由中标方承担。</w:t>
      </w:r>
    </w:p>
    <w:p w14:paraId="0128025D">
      <w:pPr>
        <w:adjustRightInd w:val="0"/>
        <w:snapToGrid w:val="0"/>
        <w:spacing w:line="360" w:lineRule="auto"/>
        <w:ind w:firstLine="420" w:firstLineChars="200"/>
        <w:rPr>
          <w:rFonts w:hint="eastAsia" w:ascii="仿宋" w:hAnsi="仿宋" w:eastAsia="仿宋" w:cs="仿宋"/>
          <w:highlight w:val="none"/>
          <w:lang w:val="en-US" w:eastAsia="zh-CN"/>
        </w:rPr>
      </w:pPr>
      <w:bookmarkStart w:id="1199" w:name="_Toc25411"/>
      <w:bookmarkStart w:id="1200" w:name="_Toc1804"/>
      <w:bookmarkStart w:id="1201" w:name="_Toc193"/>
      <w:r>
        <w:rPr>
          <w:rFonts w:hint="eastAsia" w:ascii="仿宋" w:hAnsi="仿宋" w:eastAsia="仿宋" w:cs="仿宋"/>
          <w:highlight w:val="none"/>
        </w:rPr>
        <w:t>3.2.</w:t>
      </w:r>
      <w:r>
        <w:rPr>
          <w:rFonts w:hint="eastAsia" w:ascii="仿宋" w:hAnsi="仿宋" w:eastAsia="仿宋" w:cs="仿宋"/>
          <w:highlight w:val="none"/>
          <w:lang w:val="en-US" w:eastAsia="zh-CN"/>
        </w:rPr>
        <w:t>7 在终验收之前:提供平面布置图、设备安装基础图、设备总装配图、零部件总成装配图、电气等控制原理图、零部件图纸以上图纸要求尺寸、精度、公差及图纸编号等信息齐全并全部移交完成。(所有提供的图纸均应同步提供电子版)</w:t>
      </w:r>
    </w:p>
    <w:p w14:paraId="72439618">
      <w:pPr>
        <w:adjustRightInd w:val="0"/>
        <w:snapToGrid w:val="0"/>
        <w:spacing w:line="360" w:lineRule="auto"/>
        <w:ind w:firstLine="420" w:firstLineChars="200"/>
        <w:rPr>
          <w:rFonts w:hint="eastAsia"/>
          <w:highlight w:val="none"/>
          <w:lang w:val="en-US" w:eastAsia="zh-CN"/>
        </w:rPr>
      </w:pPr>
      <w:r>
        <w:rPr>
          <w:rFonts w:hint="eastAsia" w:ascii="仿宋" w:hAnsi="仿宋" w:eastAsia="仿宋" w:cs="仿宋"/>
          <w:highlight w:val="none"/>
        </w:rPr>
        <w:t>3.2.</w:t>
      </w:r>
      <w:r>
        <w:rPr>
          <w:rFonts w:hint="eastAsia" w:ascii="仿宋" w:hAnsi="仿宋" w:eastAsia="仿宋" w:cs="仿宋"/>
          <w:highlight w:val="none"/>
          <w:lang w:val="en-US" w:eastAsia="zh-CN"/>
        </w:rPr>
        <w:t>8 在终验收之前:提供设备全生命周期内的备品备件、易损件和专用耗材的明细清单并全部移交完成。</w:t>
      </w:r>
    </w:p>
    <w:p w14:paraId="3D9676C2">
      <w:pPr>
        <w:snapToGrid w:val="0"/>
        <w:spacing w:line="360" w:lineRule="auto"/>
        <w:ind w:left="482"/>
        <w:outlineLvl w:val="1"/>
        <w:rPr>
          <w:rFonts w:ascii="仿宋" w:hAnsi="仿宋" w:eastAsia="仿宋" w:cs="仿宋"/>
          <w:b/>
          <w:bCs/>
          <w:highlight w:val="none"/>
        </w:rPr>
      </w:pPr>
      <w:bookmarkStart w:id="1202" w:name="_Toc1961"/>
      <w:bookmarkStart w:id="1203" w:name="_Toc1885"/>
      <w:bookmarkStart w:id="1204" w:name="_Toc22500"/>
      <w:bookmarkStart w:id="1205" w:name="_Toc20983"/>
      <w:bookmarkStart w:id="1206" w:name="_Toc11114"/>
      <w:bookmarkStart w:id="1207" w:name="_Toc32661"/>
      <w:bookmarkStart w:id="1208" w:name="_Toc6573"/>
      <w:bookmarkStart w:id="1209" w:name="_Toc23010"/>
      <w:bookmarkStart w:id="1210" w:name="_Toc1469"/>
      <w:bookmarkStart w:id="1211" w:name="_Toc17549"/>
      <w:bookmarkStart w:id="1212" w:name="_Toc7243"/>
      <w:bookmarkStart w:id="1213" w:name="_Toc21291"/>
      <w:bookmarkStart w:id="1214" w:name="_Toc73112424"/>
      <w:bookmarkStart w:id="1215" w:name="_Toc26083"/>
      <w:bookmarkStart w:id="1216" w:name="_Toc9027"/>
      <w:bookmarkStart w:id="1217" w:name="_Toc21504"/>
      <w:bookmarkStart w:id="1218" w:name="_Toc1761"/>
      <w:bookmarkStart w:id="1219" w:name="_Toc17223"/>
      <w:bookmarkStart w:id="1220" w:name="_Toc10673"/>
      <w:r>
        <w:rPr>
          <w:rFonts w:hint="eastAsia" w:ascii="仿宋" w:hAnsi="仿宋" w:eastAsia="仿宋" w:cs="仿宋"/>
          <w:b/>
          <w:bCs/>
          <w:highlight w:val="none"/>
        </w:rPr>
        <w:t>4终验收基本要求</w:t>
      </w:r>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p>
    <w:p w14:paraId="379276C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4.1货物（或生产线）允许情况下，一般先连续空运转</w:t>
      </w:r>
      <w:r>
        <w:rPr>
          <w:rFonts w:hint="eastAsia" w:ascii="仿宋" w:hAnsi="仿宋" w:eastAsia="仿宋" w:cs="仿宋"/>
          <w:u w:val="single"/>
          <w:shd w:val="pct10" w:color="auto" w:fill="FFFFFF"/>
        </w:rPr>
        <w:t>8</w:t>
      </w:r>
      <w:r>
        <w:rPr>
          <w:rFonts w:hint="eastAsia" w:ascii="仿宋" w:hAnsi="仿宋" w:eastAsia="仿宋" w:cs="仿宋"/>
        </w:rPr>
        <w:t>小时，然后再进行负荷运行。</w:t>
      </w:r>
    </w:p>
    <w:p w14:paraId="29A81605">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4.2负荷运行时，货物（或生产线）应连续运行</w:t>
      </w:r>
      <w:r>
        <w:rPr>
          <w:rFonts w:hint="eastAsia" w:ascii="仿宋" w:hAnsi="仿宋" w:eastAsia="仿宋" w:cs="仿宋"/>
          <w:u w:val="single"/>
        </w:rPr>
        <w:t xml:space="preserve"> </w:t>
      </w:r>
      <w:r>
        <w:rPr>
          <w:rFonts w:hint="eastAsia" w:ascii="仿宋" w:hAnsi="仿宋" w:eastAsia="仿宋" w:cs="仿宋"/>
          <w:u w:val="single"/>
          <w:shd w:val="pct10" w:color="auto" w:fill="FFFFFF"/>
        </w:rPr>
        <w:t xml:space="preserve">5 </w:t>
      </w:r>
      <w:r>
        <w:rPr>
          <w:rFonts w:hint="eastAsia" w:ascii="仿宋" w:hAnsi="仿宋" w:eastAsia="仿宋" w:cs="仿宋"/>
        </w:rPr>
        <w:t>天，每天连续</w:t>
      </w:r>
      <w:r>
        <w:rPr>
          <w:rFonts w:hint="eastAsia" w:ascii="仿宋" w:hAnsi="仿宋" w:eastAsia="仿宋" w:cs="仿宋"/>
          <w:u w:val="single"/>
        </w:rPr>
        <w:t xml:space="preserve"> </w:t>
      </w:r>
      <w:r>
        <w:rPr>
          <w:rFonts w:hint="eastAsia" w:ascii="仿宋" w:hAnsi="仿宋" w:eastAsia="仿宋" w:cs="仿宋"/>
          <w:u w:val="single"/>
          <w:shd w:val="pct10" w:color="auto" w:fill="FFFFFF"/>
        </w:rPr>
        <w:t xml:space="preserve">8 </w:t>
      </w:r>
      <w:r>
        <w:rPr>
          <w:rFonts w:hint="eastAsia" w:ascii="仿宋" w:hAnsi="仿宋" w:eastAsia="仿宋" w:cs="仿宋"/>
        </w:rPr>
        <w:t>小时，除用户方面因素外，必须达到以下要求：</w:t>
      </w:r>
    </w:p>
    <w:p w14:paraId="47499E5D">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4.2.1在整个验收过程中没有维修、更换零部件或元件行为；</w:t>
      </w:r>
    </w:p>
    <w:p w14:paraId="0CF7039D">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4.2.2所有出现的调整，每次调整时间均不超过</w:t>
      </w:r>
      <w:r>
        <w:rPr>
          <w:rFonts w:hint="eastAsia" w:ascii="仿宋" w:hAnsi="仿宋" w:eastAsia="仿宋" w:cs="仿宋"/>
          <w:u w:val="single"/>
          <w:shd w:val="pct10" w:color="auto" w:fill="FFFFFF"/>
        </w:rPr>
        <w:t>120</w:t>
      </w:r>
      <w:r>
        <w:rPr>
          <w:rFonts w:hint="eastAsia" w:ascii="仿宋" w:hAnsi="仿宋" w:eastAsia="仿宋" w:cs="仿宋"/>
        </w:rPr>
        <w:t>分钟；</w:t>
      </w:r>
    </w:p>
    <w:p w14:paraId="2237AF9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4.2.3所有调整时间的总和不超过总运行时间的</w:t>
      </w:r>
      <w:r>
        <w:rPr>
          <w:rFonts w:hint="eastAsia" w:ascii="仿宋" w:hAnsi="仿宋" w:eastAsia="仿宋" w:cs="仿宋"/>
          <w:u w:val="single"/>
          <w:shd w:val="pct10" w:color="auto" w:fill="FFFFFF"/>
        </w:rPr>
        <w:t>10</w:t>
      </w:r>
      <w:r>
        <w:rPr>
          <w:rFonts w:hint="eastAsia" w:ascii="仿宋" w:hAnsi="仿宋" w:eastAsia="仿宋" w:cs="仿宋"/>
        </w:rPr>
        <w:t>%；</w:t>
      </w:r>
    </w:p>
    <w:p w14:paraId="6E01D6EA">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4.2.4累计负载运行实际性能（或生产率）达到合同规定；</w:t>
      </w:r>
    </w:p>
    <w:p w14:paraId="2B728C37">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4.2.5终验收原则上要求一次完成。若一次验收不成功，最多允许两次；</w:t>
      </w:r>
    </w:p>
    <w:p w14:paraId="70C42B42">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4.2.6终验收通过后签署终验收报告（终验收报告以买方提供的签署完毕并盖章的《新增设备安装竣工验收转资单》为准），并移交、核对全部供货范围内物品。</w:t>
      </w:r>
      <w:bookmarkStart w:id="1221" w:name="_Toc133783975"/>
    </w:p>
    <w:p w14:paraId="5905F524">
      <w:pPr>
        <w:adjustRightInd w:val="0"/>
        <w:snapToGrid w:val="0"/>
        <w:spacing w:before="163" w:beforeLines="50" w:after="163" w:afterLines="50" w:line="360" w:lineRule="auto"/>
        <w:jc w:val="center"/>
        <w:outlineLvl w:val="0"/>
        <w:rPr>
          <w:rFonts w:ascii="仿宋" w:hAnsi="仿宋" w:eastAsia="仿宋" w:cs="仿宋"/>
          <w:b/>
          <w:bCs/>
        </w:rPr>
      </w:pPr>
      <w:bookmarkStart w:id="1222" w:name="_Toc2957"/>
      <w:bookmarkStart w:id="1223" w:name="_Toc25348"/>
      <w:bookmarkStart w:id="1224" w:name="_Toc1705"/>
      <w:bookmarkStart w:id="1225" w:name="_Toc20836"/>
      <w:bookmarkStart w:id="1226" w:name="_Toc73112425"/>
      <w:bookmarkStart w:id="1227" w:name="_Toc2249"/>
      <w:bookmarkStart w:id="1228" w:name="_Toc28136"/>
      <w:bookmarkStart w:id="1229" w:name="_Toc22179"/>
      <w:bookmarkStart w:id="1230" w:name="_Toc23616"/>
      <w:bookmarkStart w:id="1231" w:name="_Toc27525"/>
      <w:bookmarkStart w:id="1232" w:name="_Toc663"/>
      <w:bookmarkStart w:id="1233" w:name="_Toc4953"/>
      <w:bookmarkStart w:id="1234" w:name="_Toc23268"/>
      <w:bookmarkStart w:id="1235" w:name="_Toc30125"/>
      <w:bookmarkStart w:id="1236" w:name="_Toc27346"/>
      <w:bookmarkStart w:id="1237" w:name="_Toc1195"/>
      <w:bookmarkStart w:id="1238" w:name="_Toc14217"/>
      <w:bookmarkStart w:id="1239" w:name="_Toc8435"/>
      <w:bookmarkStart w:id="1240" w:name="_Toc18510"/>
      <w:bookmarkStart w:id="1241" w:name="_Toc28594"/>
      <w:bookmarkStart w:id="1242" w:name="_Toc8015"/>
      <w:bookmarkStart w:id="1243" w:name="_Toc19911"/>
      <w:bookmarkStart w:id="1244" w:name="_Toc17110"/>
      <w:bookmarkStart w:id="1245" w:name="_Toc18146"/>
      <w:bookmarkStart w:id="1246" w:name="_Toc26248"/>
      <w:bookmarkStart w:id="1247" w:name="_Toc30187"/>
      <w:bookmarkStart w:id="1248" w:name="_Toc1228"/>
      <w:bookmarkStart w:id="1249" w:name="_Toc23397"/>
      <w:bookmarkStart w:id="1250" w:name="_Toc7458"/>
      <w:bookmarkStart w:id="1251" w:name="_Toc22488"/>
      <w:bookmarkStart w:id="1252" w:name="_Toc15351"/>
      <w:bookmarkStart w:id="1253" w:name="_Toc30219"/>
      <w:bookmarkStart w:id="1254" w:name="_Toc10830"/>
      <w:bookmarkStart w:id="1255" w:name="_Toc14133"/>
      <w:bookmarkStart w:id="1256" w:name="_Toc15914"/>
      <w:bookmarkStart w:id="1257" w:name="_Toc29322"/>
      <w:bookmarkStart w:id="1258" w:name="_Toc25401"/>
      <w:bookmarkStart w:id="1259" w:name="_Toc1683"/>
      <w:bookmarkStart w:id="1260" w:name="_Toc32074"/>
      <w:bookmarkStart w:id="1261" w:name="_Toc24925"/>
      <w:bookmarkStart w:id="1262" w:name="_Toc1673"/>
      <w:bookmarkStart w:id="1263" w:name="_Toc2612"/>
      <w:bookmarkStart w:id="1264" w:name="_Toc12636"/>
      <w:bookmarkStart w:id="1265" w:name="_Toc26938"/>
      <w:r>
        <w:rPr>
          <w:rFonts w:hint="eastAsia" w:ascii="仿宋" w:hAnsi="仿宋" w:eastAsia="仿宋" w:cs="仿宋"/>
          <w:b/>
          <w:bCs/>
        </w:rPr>
        <w:t>第六章投标技术文件一般要求</w:t>
      </w:r>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p>
    <w:p w14:paraId="37EBAE6D">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1投标方应认真阅读招标文件和本技术标书，并按要求编写投标技术文件。</w:t>
      </w:r>
    </w:p>
    <w:p w14:paraId="577944BA">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2投标技术文件至少应对投标货物（或生产线）的“技术偏离”、“商务偏离”作出有无说明；若有，应予以详细填写和说明。</w:t>
      </w:r>
    </w:p>
    <w:p w14:paraId="37171190">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3投标技术文件至少应对投标货物（或生产线）的功能用途、技术性能、质量标准、技术参数等作出详细说明。</w:t>
      </w:r>
    </w:p>
    <w:p w14:paraId="05F93EC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4投标技术文件至少应根据投标货物（或生产线）的关键设备、总成、零部件或系统作出优越性说明。</w:t>
      </w:r>
    </w:p>
    <w:p w14:paraId="0673276F">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5投标技术文件至少应根据投标货物（或生产线）的配置，按照备品备件、易损件和专用耗材明细表要求以及投标货物（或生产线）主要配置一览表要求（见下表），认真全面填写。</w:t>
      </w:r>
    </w:p>
    <w:p w14:paraId="0310F1E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投标货物（或生产线）主要配置一览表单位：元</w:t>
      </w:r>
    </w:p>
    <w:tbl>
      <w:tblPr>
        <w:tblStyle w:val="30"/>
        <w:tblpPr w:leftFromText="180" w:rightFromText="180" w:vertAnchor="text" w:tblpXSpec="center" w:tblpY="1"/>
        <w:tblOverlap w:val="never"/>
        <w:tblW w:w="81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8"/>
        <w:gridCol w:w="1940"/>
        <w:gridCol w:w="697"/>
        <w:gridCol w:w="697"/>
        <w:gridCol w:w="697"/>
        <w:gridCol w:w="697"/>
        <w:gridCol w:w="1665"/>
      </w:tblGrid>
      <w:tr w14:paraId="3798F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558383A5">
            <w:pPr>
              <w:adjustRightInd w:val="0"/>
              <w:snapToGrid w:val="0"/>
              <w:spacing w:line="360" w:lineRule="auto"/>
              <w:jc w:val="center"/>
              <w:rPr>
                <w:rFonts w:ascii="仿宋" w:hAnsi="仿宋" w:eastAsia="仿宋" w:cs="仿宋"/>
              </w:rPr>
            </w:pPr>
            <w:r>
              <w:rPr>
                <w:rFonts w:hint="eastAsia" w:ascii="仿宋" w:hAnsi="仿宋" w:eastAsia="仿宋" w:cs="仿宋"/>
              </w:rPr>
              <w:t>名称</w:t>
            </w:r>
          </w:p>
        </w:tc>
        <w:tc>
          <w:tcPr>
            <w:tcW w:w="1940" w:type="dxa"/>
          </w:tcPr>
          <w:p w14:paraId="2128C5CD">
            <w:pPr>
              <w:adjustRightInd w:val="0"/>
              <w:snapToGrid w:val="0"/>
              <w:spacing w:line="360" w:lineRule="auto"/>
              <w:jc w:val="center"/>
              <w:rPr>
                <w:rFonts w:ascii="仿宋" w:hAnsi="仿宋" w:eastAsia="仿宋" w:cs="仿宋"/>
              </w:rPr>
            </w:pPr>
            <w:r>
              <w:rPr>
                <w:rFonts w:hint="eastAsia" w:ascii="仿宋" w:hAnsi="仿宋" w:eastAsia="仿宋" w:cs="仿宋"/>
              </w:rPr>
              <w:t>型号规格</w:t>
            </w:r>
          </w:p>
        </w:tc>
        <w:tc>
          <w:tcPr>
            <w:tcW w:w="697" w:type="dxa"/>
          </w:tcPr>
          <w:p w14:paraId="1EB04D43">
            <w:pPr>
              <w:adjustRightInd w:val="0"/>
              <w:snapToGrid w:val="0"/>
              <w:spacing w:line="360" w:lineRule="auto"/>
              <w:jc w:val="center"/>
              <w:rPr>
                <w:rFonts w:ascii="仿宋" w:hAnsi="仿宋" w:eastAsia="仿宋" w:cs="仿宋"/>
              </w:rPr>
            </w:pPr>
            <w:r>
              <w:rPr>
                <w:rFonts w:hint="eastAsia" w:ascii="仿宋" w:hAnsi="仿宋" w:eastAsia="仿宋" w:cs="仿宋"/>
              </w:rPr>
              <w:t>单位</w:t>
            </w:r>
          </w:p>
        </w:tc>
        <w:tc>
          <w:tcPr>
            <w:tcW w:w="697" w:type="dxa"/>
          </w:tcPr>
          <w:p w14:paraId="39F93AD3">
            <w:pPr>
              <w:adjustRightInd w:val="0"/>
              <w:snapToGrid w:val="0"/>
              <w:spacing w:line="360" w:lineRule="auto"/>
              <w:jc w:val="center"/>
              <w:rPr>
                <w:rFonts w:ascii="仿宋" w:hAnsi="仿宋" w:eastAsia="仿宋" w:cs="仿宋"/>
              </w:rPr>
            </w:pPr>
            <w:r>
              <w:rPr>
                <w:rFonts w:hint="eastAsia" w:ascii="仿宋" w:hAnsi="仿宋" w:eastAsia="仿宋" w:cs="仿宋"/>
              </w:rPr>
              <w:t>数量</w:t>
            </w:r>
          </w:p>
        </w:tc>
        <w:tc>
          <w:tcPr>
            <w:tcW w:w="697" w:type="dxa"/>
          </w:tcPr>
          <w:p w14:paraId="60671054">
            <w:pPr>
              <w:adjustRightInd w:val="0"/>
              <w:snapToGrid w:val="0"/>
              <w:spacing w:line="360" w:lineRule="auto"/>
              <w:jc w:val="center"/>
              <w:rPr>
                <w:rFonts w:ascii="仿宋" w:hAnsi="仿宋" w:eastAsia="仿宋" w:cs="仿宋"/>
              </w:rPr>
            </w:pPr>
            <w:r>
              <w:rPr>
                <w:rFonts w:hint="eastAsia" w:ascii="仿宋" w:hAnsi="仿宋" w:eastAsia="仿宋" w:cs="仿宋"/>
              </w:rPr>
              <w:t>单价</w:t>
            </w:r>
          </w:p>
        </w:tc>
        <w:tc>
          <w:tcPr>
            <w:tcW w:w="697" w:type="dxa"/>
          </w:tcPr>
          <w:p w14:paraId="4829004B">
            <w:pPr>
              <w:adjustRightInd w:val="0"/>
              <w:snapToGrid w:val="0"/>
              <w:spacing w:line="360" w:lineRule="auto"/>
              <w:jc w:val="center"/>
              <w:rPr>
                <w:rFonts w:ascii="仿宋" w:hAnsi="仿宋" w:eastAsia="仿宋" w:cs="仿宋"/>
              </w:rPr>
            </w:pPr>
            <w:r>
              <w:rPr>
                <w:rFonts w:hint="eastAsia" w:ascii="仿宋" w:hAnsi="仿宋" w:eastAsia="仿宋" w:cs="仿宋"/>
              </w:rPr>
              <w:t>总价</w:t>
            </w:r>
          </w:p>
        </w:tc>
        <w:tc>
          <w:tcPr>
            <w:tcW w:w="1665" w:type="dxa"/>
          </w:tcPr>
          <w:p w14:paraId="436FEA5C">
            <w:pPr>
              <w:adjustRightInd w:val="0"/>
              <w:snapToGrid w:val="0"/>
              <w:spacing w:line="360" w:lineRule="auto"/>
              <w:jc w:val="center"/>
              <w:rPr>
                <w:rFonts w:ascii="仿宋" w:hAnsi="仿宋" w:eastAsia="仿宋" w:cs="仿宋"/>
              </w:rPr>
            </w:pPr>
            <w:r>
              <w:rPr>
                <w:rFonts w:hint="eastAsia" w:ascii="仿宋" w:hAnsi="仿宋" w:eastAsia="仿宋" w:cs="仿宋"/>
              </w:rPr>
              <w:t>制造商</w:t>
            </w:r>
          </w:p>
        </w:tc>
      </w:tr>
      <w:tr w14:paraId="6CB14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4717DB90">
            <w:pPr>
              <w:adjustRightInd w:val="0"/>
              <w:snapToGrid w:val="0"/>
              <w:spacing w:line="360" w:lineRule="auto"/>
              <w:rPr>
                <w:rFonts w:ascii="仿宋" w:hAnsi="仿宋" w:eastAsia="仿宋" w:cs="仿宋"/>
              </w:rPr>
            </w:pPr>
          </w:p>
        </w:tc>
        <w:tc>
          <w:tcPr>
            <w:tcW w:w="1940" w:type="dxa"/>
          </w:tcPr>
          <w:p w14:paraId="46B4C7CF">
            <w:pPr>
              <w:adjustRightInd w:val="0"/>
              <w:snapToGrid w:val="0"/>
              <w:spacing w:line="360" w:lineRule="auto"/>
              <w:rPr>
                <w:rFonts w:ascii="仿宋" w:hAnsi="仿宋" w:eastAsia="仿宋" w:cs="仿宋"/>
              </w:rPr>
            </w:pPr>
          </w:p>
        </w:tc>
        <w:tc>
          <w:tcPr>
            <w:tcW w:w="697" w:type="dxa"/>
          </w:tcPr>
          <w:p w14:paraId="69696658">
            <w:pPr>
              <w:adjustRightInd w:val="0"/>
              <w:snapToGrid w:val="0"/>
              <w:spacing w:line="360" w:lineRule="auto"/>
              <w:rPr>
                <w:rFonts w:ascii="仿宋" w:hAnsi="仿宋" w:eastAsia="仿宋" w:cs="仿宋"/>
              </w:rPr>
            </w:pPr>
          </w:p>
        </w:tc>
        <w:tc>
          <w:tcPr>
            <w:tcW w:w="697" w:type="dxa"/>
          </w:tcPr>
          <w:p w14:paraId="142C484C">
            <w:pPr>
              <w:adjustRightInd w:val="0"/>
              <w:snapToGrid w:val="0"/>
              <w:spacing w:line="360" w:lineRule="auto"/>
              <w:rPr>
                <w:rFonts w:ascii="仿宋" w:hAnsi="仿宋" w:eastAsia="仿宋" w:cs="仿宋"/>
              </w:rPr>
            </w:pPr>
          </w:p>
        </w:tc>
        <w:tc>
          <w:tcPr>
            <w:tcW w:w="697" w:type="dxa"/>
          </w:tcPr>
          <w:p w14:paraId="7FAB0B06">
            <w:pPr>
              <w:adjustRightInd w:val="0"/>
              <w:snapToGrid w:val="0"/>
              <w:spacing w:line="360" w:lineRule="auto"/>
              <w:rPr>
                <w:rFonts w:ascii="仿宋" w:hAnsi="仿宋" w:eastAsia="仿宋" w:cs="仿宋"/>
              </w:rPr>
            </w:pPr>
          </w:p>
        </w:tc>
        <w:tc>
          <w:tcPr>
            <w:tcW w:w="697" w:type="dxa"/>
          </w:tcPr>
          <w:p w14:paraId="3A2809B1">
            <w:pPr>
              <w:adjustRightInd w:val="0"/>
              <w:snapToGrid w:val="0"/>
              <w:spacing w:line="360" w:lineRule="auto"/>
              <w:rPr>
                <w:rFonts w:ascii="仿宋" w:hAnsi="仿宋" w:eastAsia="仿宋" w:cs="仿宋"/>
              </w:rPr>
            </w:pPr>
          </w:p>
        </w:tc>
        <w:tc>
          <w:tcPr>
            <w:tcW w:w="1665" w:type="dxa"/>
          </w:tcPr>
          <w:p w14:paraId="39D7BA00">
            <w:pPr>
              <w:adjustRightInd w:val="0"/>
              <w:snapToGrid w:val="0"/>
              <w:spacing w:line="360" w:lineRule="auto"/>
              <w:rPr>
                <w:rFonts w:ascii="仿宋" w:hAnsi="仿宋" w:eastAsia="仿宋" w:cs="仿宋"/>
              </w:rPr>
            </w:pPr>
          </w:p>
        </w:tc>
      </w:tr>
      <w:tr w14:paraId="0A687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4C9E6DB8">
            <w:pPr>
              <w:adjustRightInd w:val="0"/>
              <w:snapToGrid w:val="0"/>
              <w:spacing w:line="360" w:lineRule="auto"/>
              <w:rPr>
                <w:rFonts w:ascii="仿宋" w:hAnsi="仿宋" w:eastAsia="仿宋" w:cs="仿宋"/>
              </w:rPr>
            </w:pPr>
          </w:p>
        </w:tc>
        <w:tc>
          <w:tcPr>
            <w:tcW w:w="1940" w:type="dxa"/>
          </w:tcPr>
          <w:p w14:paraId="3C4F268F">
            <w:pPr>
              <w:adjustRightInd w:val="0"/>
              <w:snapToGrid w:val="0"/>
              <w:spacing w:line="360" w:lineRule="auto"/>
              <w:rPr>
                <w:rFonts w:ascii="仿宋" w:hAnsi="仿宋" w:eastAsia="仿宋" w:cs="仿宋"/>
              </w:rPr>
            </w:pPr>
          </w:p>
        </w:tc>
        <w:tc>
          <w:tcPr>
            <w:tcW w:w="697" w:type="dxa"/>
          </w:tcPr>
          <w:p w14:paraId="49EC1FD5">
            <w:pPr>
              <w:adjustRightInd w:val="0"/>
              <w:snapToGrid w:val="0"/>
              <w:spacing w:line="360" w:lineRule="auto"/>
              <w:rPr>
                <w:rFonts w:ascii="仿宋" w:hAnsi="仿宋" w:eastAsia="仿宋" w:cs="仿宋"/>
              </w:rPr>
            </w:pPr>
          </w:p>
        </w:tc>
        <w:tc>
          <w:tcPr>
            <w:tcW w:w="697" w:type="dxa"/>
          </w:tcPr>
          <w:p w14:paraId="3374CE58">
            <w:pPr>
              <w:adjustRightInd w:val="0"/>
              <w:snapToGrid w:val="0"/>
              <w:spacing w:line="360" w:lineRule="auto"/>
              <w:rPr>
                <w:rFonts w:ascii="仿宋" w:hAnsi="仿宋" w:eastAsia="仿宋" w:cs="仿宋"/>
              </w:rPr>
            </w:pPr>
          </w:p>
        </w:tc>
        <w:tc>
          <w:tcPr>
            <w:tcW w:w="697" w:type="dxa"/>
          </w:tcPr>
          <w:p w14:paraId="7E339EB5">
            <w:pPr>
              <w:adjustRightInd w:val="0"/>
              <w:snapToGrid w:val="0"/>
              <w:spacing w:line="360" w:lineRule="auto"/>
              <w:rPr>
                <w:rFonts w:ascii="仿宋" w:hAnsi="仿宋" w:eastAsia="仿宋" w:cs="仿宋"/>
              </w:rPr>
            </w:pPr>
          </w:p>
        </w:tc>
        <w:tc>
          <w:tcPr>
            <w:tcW w:w="697" w:type="dxa"/>
          </w:tcPr>
          <w:p w14:paraId="7F902349">
            <w:pPr>
              <w:adjustRightInd w:val="0"/>
              <w:snapToGrid w:val="0"/>
              <w:spacing w:line="360" w:lineRule="auto"/>
              <w:rPr>
                <w:rFonts w:ascii="仿宋" w:hAnsi="仿宋" w:eastAsia="仿宋" w:cs="仿宋"/>
              </w:rPr>
            </w:pPr>
          </w:p>
        </w:tc>
        <w:tc>
          <w:tcPr>
            <w:tcW w:w="1665" w:type="dxa"/>
          </w:tcPr>
          <w:p w14:paraId="0B77DA36">
            <w:pPr>
              <w:adjustRightInd w:val="0"/>
              <w:snapToGrid w:val="0"/>
              <w:spacing w:line="360" w:lineRule="auto"/>
              <w:rPr>
                <w:rFonts w:ascii="仿宋" w:hAnsi="仿宋" w:eastAsia="仿宋" w:cs="仿宋"/>
              </w:rPr>
            </w:pPr>
          </w:p>
        </w:tc>
      </w:tr>
      <w:tr w14:paraId="087EB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4C8C6AE9">
            <w:pPr>
              <w:adjustRightInd w:val="0"/>
              <w:snapToGrid w:val="0"/>
              <w:spacing w:line="360" w:lineRule="auto"/>
              <w:rPr>
                <w:rFonts w:ascii="仿宋" w:hAnsi="仿宋" w:eastAsia="仿宋" w:cs="仿宋"/>
              </w:rPr>
            </w:pPr>
          </w:p>
        </w:tc>
        <w:tc>
          <w:tcPr>
            <w:tcW w:w="1940" w:type="dxa"/>
          </w:tcPr>
          <w:p w14:paraId="54CCA3BA">
            <w:pPr>
              <w:adjustRightInd w:val="0"/>
              <w:snapToGrid w:val="0"/>
              <w:spacing w:line="360" w:lineRule="auto"/>
              <w:rPr>
                <w:rFonts w:ascii="仿宋" w:hAnsi="仿宋" w:eastAsia="仿宋" w:cs="仿宋"/>
              </w:rPr>
            </w:pPr>
          </w:p>
        </w:tc>
        <w:tc>
          <w:tcPr>
            <w:tcW w:w="697" w:type="dxa"/>
          </w:tcPr>
          <w:p w14:paraId="3AC46432">
            <w:pPr>
              <w:adjustRightInd w:val="0"/>
              <w:snapToGrid w:val="0"/>
              <w:spacing w:line="360" w:lineRule="auto"/>
              <w:rPr>
                <w:rFonts w:ascii="仿宋" w:hAnsi="仿宋" w:eastAsia="仿宋" w:cs="仿宋"/>
              </w:rPr>
            </w:pPr>
          </w:p>
        </w:tc>
        <w:tc>
          <w:tcPr>
            <w:tcW w:w="697" w:type="dxa"/>
          </w:tcPr>
          <w:p w14:paraId="2EE78746">
            <w:pPr>
              <w:adjustRightInd w:val="0"/>
              <w:snapToGrid w:val="0"/>
              <w:spacing w:line="360" w:lineRule="auto"/>
              <w:rPr>
                <w:rFonts w:ascii="仿宋" w:hAnsi="仿宋" w:eastAsia="仿宋" w:cs="仿宋"/>
              </w:rPr>
            </w:pPr>
          </w:p>
        </w:tc>
        <w:tc>
          <w:tcPr>
            <w:tcW w:w="697" w:type="dxa"/>
          </w:tcPr>
          <w:p w14:paraId="75056BFD">
            <w:pPr>
              <w:adjustRightInd w:val="0"/>
              <w:snapToGrid w:val="0"/>
              <w:spacing w:line="360" w:lineRule="auto"/>
              <w:rPr>
                <w:rFonts w:ascii="仿宋" w:hAnsi="仿宋" w:eastAsia="仿宋" w:cs="仿宋"/>
              </w:rPr>
            </w:pPr>
          </w:p>
        </w:tc>
        <w:tc>
          <w:tcPr>
            <w:tcW w:w="697" w:type="dxa"/>
          </w:tcPr>
          <w:p w14:paraId="2C6710E8">
            <w:pPr>
              <w:adjustRightInd w:val="0"/>
              <w:snapToGrid w:val="0"/>
              <w:spacing w:line="360" w:lineRule="auto"/>
              <w:rPr>
                <w:rFonts w:ascii="仿宋" w:hAnsi="仿宋" w:eastAsia="仿宋" w:cs="仿宋"/>
              </w:rPr>
            </w:pPr>
          </w:p>
        </w:tc>
        <w:tc>
          <w:tcPr>
            <w:tcW w:w="1665" w:type="dxa"/>
          </w:tcPr>
          <w:p w14:paraId="63F0997C">
            <w:pPr>
              <w:adjustRightInd w:val="0"/>
              <w:snapToGrid w:val="0"/>
              <w:spacing w:line="360" w:lineRule="auto"/>
              <w:rPr>
                <w:rFonts w:ascii="仿宋" w:hAnsi="仿宋" w:eastAsia="仿宋" w:cs="仿宋"/>
              </w:rPr>
            </w:pPr>
          </w:p>
        </w:tc>
      </w:tr>
      <w:tr w14:paraId="464E9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36FAA214">
            <w:pPr>
              <w:adjustRightInd w:val="0"/>
              <w:snapToGrid w:val="0"/>
              <w:spacing w:line="360" w:lineRule="auto"/>
              <w:rPr>
                <w:rFonts w:ascii="仿宋" w:hAnsi="仿宋" w:eastAsia="仿宋" w:cs="仿宋"/>
              </w:rPr>
            </w:pPr>
          </w:p>
        </w:tc>
        <w:tc>
          <w:tcPr>
            <w:tcW w:w="1940" w:type="dxa"/>
          </w:tcPr>
          <w:p w14:paraId="13BD2E89">
            <w:pPr>
              <w:adjustRightInd w:val="0"/>
              <w:snapToGrid w:val="0"/>
              <w:spacing w:line="360" w:lineRule="auto"/>
              <w:rPr>
                <w:rFonts w:ascii="仿宋" w:hAnsi="仿宋" w:eastAsia="仿宋" w:cs="仿宋"/>
              </w:rPr>
            </w:pPr>
          </w:p>
        </w:tc>
        <w:tc>
          <w:tcPr>
            <w:tcW w:w="697" w:type="dxa"/>
          </w:tcPr>
          <w:p w14:paraId="5155BA87">
            <w:pPr>
              <w:adjustRightInd w:val="0"/>
              <w:snapToGrid w:val="0"/>
              <w:spacing w:line="360" w:lineRule="auto"/>
              <w:rPr>
                <w:rFonts w:ascii="仿宋" w:hAnsi="仿宋" w:eastAsia="仿宋" w:cs="仿宋"/>
              </w:rPr>
            </w:pPr>
          </w:p>
        </w:tc>
        <w:tc>
          <w:tcPr>
            <w:tcW w:w="697" w:type="dxa"/>
          </w:tcPr>
          <w:p w14:paraId="30B7B968">
            <w:pPr>
              <w:adjustRightInd w:val="0"/>
              <w:snapToGrid w:val="0"/>
              <w:spacing w:line="360" w:lineRule="auto"/>
              <w:rPr>
                <w:rFonts w:ascii="仿宋" w:hAnsi="仿宋" w:eastAsia="仿宋" w:cs="仿宋"/>
              </w:rPr>
            </w:pPr>
          </w:p>
        </w:tc>
        <w:tc>
          <w:tcPr>
            <w:tcW w:w="697" w:type="dxa"/>
          </w:tcPr>
          <w:p w14:paraId="1BFCCEFB">
            <w:pPr>
              <w:adjustRightInd w:val="0"/>
              <w:snapToGrid w:val="0"/>
              <w:spacing w:line="360" w:lineRule="auto"/>
              <w:rPr>
                <w:rFonts w:ascii="仿宋" w:hAnsi="仿宋" w:eastAsia="仿宋" w:cs="仿宋"/>
              </w:rPr>
            </w:pPr>
          </w:p>
        </w:tc>
        <w:tc>
          <w:tcPr>
            <w:tcW w:w="697" w:type="dxa"/>
          </w:tcPr>
          <w:p w14:paraId="458F15E4">
            <w:pPr>
              <w:adjustRightInd w:val="0"/>
              <w:snapToGrid w:val="0"/>
              <w:spacing w:line="360" w:lineRule="auto"/>
              <w:rPr>
                <w:rFonts w:ascii="仿宋" w:hAnsi="仿宋" w:eastAsia="仿宋" w:cs="仿宋"/>
              </w:rPr>
            </w:pPr>
          </w:p>
        </w:tc>
        <w:tc>
          <w:tcPr>
            <w:tcW w:w="1665" w:type="dxa"/>
          </w:tcPr>
          <w:p w14:paraId="391EC2A8">
            <w:pPr>
              <w:adjustRightInd w:val="0"/>
              <w:snapToGrid w:val="0"/>
              <w:spacing w:line="360" w:lineRule="auto"/>
              <w:rPr>
                <w:rFonts w:ascii="仿宋" w:hAnsi="仿宋" w:eastAsia="仿宋" w:cs="仿宋"/>
              </w:rPr>
            </w:pPr>
          </w:p>
        </w:tc>
      </w:tr>
      <w:tr w14:paraId="42C8F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39B68B9F">
            <w:pPr>
              <w:adjustRightInd w:val="0"/>
              <w:snapToGrid w:val="0"/>
              <w:spacing w:line="360" w:lineRule="auto"/>
              <w:rPr>
                <w:rFonts w:ascii="仿宋" w:hAnsi="仿宋" w:eastAsia="仿宋" w:cs="仿宋"/>
              </w:rPr>
            </w:pPr>
          </w:p>
        </w:tc>
        <w:tc>
          <w:tcPr>
            <w:tcW w:w="1940" w:type="dxa"/>
          </w:tcPr>
          <w:p w14:paraId="00423BEF">
            <w:pPr>
              <w:adjustRightInd w:val="0"/>
              <w:snapToGrid w:val="0"/>
              <w:spacing w:line="360" w:lineRule="auto"/>
              <w:rPr>
                <w:rFonts w:ascii="仿宋" w:hAnsi="仿宋" w:eastAsia="仿宋" w:cs="仿宋"/>
              </w:rPr>
            </w:pPr>
          </w:p>
        </w:tc>
        <w:tc>
          <w:tcPr>
            <w:tcW w:w="697" w:type="dxa"/>
          </w:tcPr>
          <w:p w14:paraId="7F7618E5">
            <w:pPr>
              <w:adjustRightInd w:val="0"/>
              <w:snapToGrid w:val="0"/>
              <w:spacing w:line="360" w:lineRule="auto"/>
              <w:rPr>
                <w:rFonts w:ascii="仿宋" w:hAnsi="仿宋" w:eastAsia="仿宋" w:cs="仿宋"/>
              </w:rPr>
            </w:pPr>
          </w:p>
        </w:tc>
        <w:tc>
          <w:tcPr>
            <w:tcW w:w="697" w:type="dxa"/>
          </w:tcPr>
          <w:p w14:paraId="379F7F6C">
            <w:pPr>
              <w:adjustRightInd w:val="0"/>
              <w:snapToGrid w:val="0"/>
              <w:spacing w:line="360" w:lineRule="auto"/>
              <w:rPr>
                <w:rFonts w:ascii="仿宋" w:hAnsi="仿宋" w:eastAsia="仿宋" w:cs="仿宋"/>
              </w:rPr>
            </w:pPr>
          </w:p>
        </w:tc>
        <w:tc>
          <w:tcPr>
            <w:tcW w:w="697" w:type="dxa"/>
          </w:tcPr>
          <w:p w14:paraId="00B7FD12">
            <w:pPr>
              <w:adjustRightInd w:val="0"/>
              <w:snapToGrid w:val="0"/>
              <w:spacing w:line="360" w:lineRule="auto"/>
              <w:rPr>
                <w:rFonts w:ascii="仿宋" w:hAnsi="仿宋" w:eastAsia="仿宋" w:cs="仿宋"/>
              </w:rPr>
            </w:pPr>
          </w:p>
        </w:tc>
        <w:tc>
          <w:tcPr>
            <w:tcW w:w="697" w:type="dxa"/>
          </w:tcPr>
          <w:p w14:paraId="355A73DF">
            <w:pPr>
              <w:adjustRightInd w:val="0"/>
              <w:snapToGrid w:val="0"/>
              <w:spacing w:line="360" w:lineRule="auto"/>
              <w:rPr>
                <w:rFonts w:ascii="仿宋" w:hAnsi="仿宋" w:eastAsia="仿宋" w:cs="仿宋"/>
              </w:rPr>
            </w:pPr>
          </w:p>
        </w:tc>
        <w:tc>
          <w:tcPr>
            <w:tcW w:w="1665" w:type="dxa"/>
          </w:tcPr>
          <w:p w14:paraId="51B0D4E4">
            <w:pPr>
              <w:adjustRightInd w:val="0"/>
              <w:snapToGrid w:val="0"/>
              <w:spacing w:line="360" w:lineRule="auto"/>
              <w:rPr>
                <w:rFonts w:ascii="仿宋" w:hAnsi="仿宋" w:eastAsia="仿宋" w:cs="仿宋"/>
              </w:rPr>
            </w:pPr>
          </w:p>
        </w:tc>
      </w:tr>
    </w:tbl>
    <w:p w14:paraId="49E33B25">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备注：本表作为投标方编制投标技术文件的一般格式。表中应当尽可能将配置列全、列细，这将有助于投标方胜出。</w:t>
      </w:r>
    </w:p>
    <w:p w14:paraId="0ACB211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6投标技术文件至少应对招标文件和本技术标书所提出的要求，将投标方认为难以满足的条款和要求，予以明确和详细的说明或澄清。</w:t>
      </w:r>
    </w:p>
    <w:p w14:paraId="4DCBE195">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7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14:paraId="1DAA2FD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8供货范围内的物品或服务，应当尽可能详细且分类填入配置表，其费用应当计入投标总报价之内。如果出现不一致的报价，将有可能导致废标。</w:t>
      </w:r>
    </w:p>
    <w:p w14:paraId="5D4F58E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9除招标文件明确的验收标准或内容之外，投标方应当在投标文件中提供预验收（必要时）和终验收的标准以及规程，在合同签定之前，经投标方和招标方双方洽谈确认并签署，以作为验收标准执行。</w:t>
      </w:r>
    </w:p>
    <w:p w14:paraId="2CA37A6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10带 ★ 号条款为否定项条款。</w:t>
      </w:r>
      <w:bookmarkStart w:id="1266" w:name="_Toc133783976"/>
    </w:p>
    <w:p w14:paraId="3BF38200">
      <w:pPr>
        <w:adjustRightInd w:val="0"/>
        <w:snapToGrid w:val="0"/>
        <w:spacing w:before="163" w:beforeLines="50" w:after="163" w:afterLines="50" w:line="360" w:lineRule="auto"/>
        <w:jc w:val="center"/>
        <w:outlineLvl w:val="0"/>
        <w:rPr>
          <w:rFonts w:ascii="仿宋" w:hAnsi="仿宋" w:eastAsia="仿宋" w:cs="仿宋"/>
          <w:b/>
          <w:bCs/>
        </w:rPr>
      </w:pPr>
      <w:bookmarkStart w:id="1267" w:name="_Toc10484"/>
      <w:bookmarkStart w:id="1268" w:name="_Toc13350"/>
      <w:bookmarkStart w:id="1269" w:name="_Toc2341"/>
      <w:bookmarkStart w:id="1270" w:name="_Toc9608"/>
      <w:bookmarkStart w:id="1271" w:name="_Toc16301"/>
      <w:bookmarkStart w:id="1272" w:name="_Toc147"/>
      <w:bookmarkStart w:id="1273" w:name="_Toc5380"/>
      <w:bookmarkStart w:id="1274" w:name="_Toc17463"/>
      <w:bookmarkStart w:id="1275" w:name="_Toc23538"/>
      <w:bookmarkStart w:id="1276" w:name="_Toc1126"/>
      <w:bookmarkStart w:id="1277" w:name="_Toc2177"/>
      <w:bookmarkStart w:id="1278" w:name="_Toc26559"/>
      <w:bookmarkStart w:id="1279" w:name="_Toc623"/>
      <w:bookmarkStart w:id="1280" w:name="_Toc17045"/>
      <w:bookmarkStart w:id="1281" w:name="_Toc32403"/>
      <w:bookmarkStart w:id="1282" w:name="_Toc13666"/>
      <w:bookmarkStart w:id="1283" w:name="_Toc4563"/>
      <w:bookmarkStart w:id="1284" w:name="_Toc19444"/>
      <w:bookmarkStart w:id="1285" w:name="_Toc17174"/>
      <w:bookmarkStart w:id="1286" w:name="_Toc29369"/>
      <w:bookmarkStart w:id="1287" w:name="_Toc2783"/>
      <w:bookmarkStart w:id="1288" w:name="_Toc31830"/>
      <w:bookmarkStart w:id="1289" w:name="_Toc19821"/>
      <w:bookmarkStart w:id="1290" w:name="_Toc19119"/>
      <w:bookmarkStart w:id="1291" w:name="_Toc10081"/>
      <w:bookmarkStart w:id="1292" w:name="_Toc3744"/>
      <w:bookmarkStart w:id="1293" w:name="_Toc22743"/>
      <w:bookmarkStart w:id="1294" w:name="_Toc7423"/>
      <w:bookmarkStart w:id="1295" w:name="_Toc3256"/>
      <w:bookmarkStart w:id="1296" w:name="_Toc919"/>
      <w:bookmarkStart w:id="1297" w:name="_Toc15684"/>
      <w:bookmarkStart w:id="1298" w:name="_Toc25823"/>
      <w:bookmarkStart w:id="1299" w:name="_Toc15645"/>
      <w:bookmarkStart w:id="1300" w:name="_Toc5153"/>
      <w:bookmarkStart w:id="1301" w:name="_Toc73112426"/>
      <w:bookmarkStart w:id="1302" w:name="_Toc9954"/>
      <w:bookmarkStart w:id="1303" w:name="_Toc11155"/>
      <w:bookmarkStart w:id="1304" w:name="_Toc671"/>
      <w:bookmarkStart w:id="1305" w:name="_Toc11416"/>
      <w:bookmarkStart w:id="1306" w:name="_Toc7541"/>
      <w:bookmarkStart w:id="1307" w:name="_Toc24401"/>
      <w:bookmarkStart w:id="1308" w:name="_Toc26481"/>
      <w:bookmarkStart w:id="1309" w:name="_Toc29655"/>
      <w:bookmarkStart w:id="1310" w:name="_Toc2151"/>
      <w:r>
        <w:rPr>
          <w:rFonts w:hint="eastAsia" w:ascii="仿宋" w:hAnsi="仿宋" w:eastAsia="仿宋" w:cs="仿宋"/>
          <w:b/>
          <w:bCs/>
        </w:rPr>
        <w:t>第七章其它要求</w:t>
      </w:r>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p>
    <w:p w14:paraId="750923AB">
      <w:pPr>
        <w:snapToGrid w:val="0"/>
        <w:spacing w:line="360" w:lineRule="auto"/>
        <w:ind w:left="480"/>
        <w:outlineLvl w:val="1"/>
        <w:rPr>
          <w:rFonts w:ascii="仿宋" w:hAnsi="仿宋" w:eastAsia="仿宋" w:cs="仿宋"/>
          <w:b/>
          <w:bCs/>
        </w:rPr>
      </w:pPr>
      <w:bookmarkStart w:id="1311" w:name="_Toc16614"/>
      <w:bookmarkStart w:id="1312" w:name="_Toc27273"/>
      <w:bookmarkStart w:id="1313" w:name="_Toc15205"/>
      <w:bookmarkStart w:id="1314" w:name="_Toc16802"/>
      <w:bookmarkStart w:id="1315" w:name="_Toc11058"/>
      <w:bookmarkStart w:id="1316" w:name="_Toc24669"/>
      <w:bookmarkStart w:id="1317" w:name="_Toc22010"/>
      <w:bookmarkStart w:id="1318" w:name="_Toc17357"/>
      <w:bookmarkStart w:id="1319" w:name="_Toc13820"/>
      <w:bookmarkStart w:id="1320" w:name="_Toc4997"/>
      <w:bookmarkStart w:id="1321" w:name="_Toc18469"/>
      <w:bookmarkStart w:id="1322" w:name="_Toc21465"/>
      <w:bookmarkStart w:id="1323" w:name="_Toc24680"/>
      <w:bookmarkStart w:id="1324" w:name="_Toc17702"/>
      <w:bookmarkStart w:id="1325" w:name="_Toc32012"/>
      <w:bookmarkStart w:id="1326" w:name="_Toc5514"/>
      <w:bookmarkStart w:id="1327" w:name="_Toc14484"/>
      <w:bookmarkStart w:id="1328" w:name="_Toc32525"/>
      <w:bookmarkStart w:id="1329" w:name="_Toc30535"/>
      <w:bookmarkStart w:id="1330" w:name="_Toc14684"/>
      <w:bookmarkStart w:id="1331" w:name="_Toc12406"/>
      <w:bookmarkStart w:id="1332" w:name="_Toc17727"/>
      <w:bookmarkStart w:id="1333" w:name="_Toc26831"/>
      <w:bookmarkStart w:id="1334" w:name="_Toc12542"/>
      <w:bookmarkStart w:id="1335" w:name="_Toc28364"/>
      <w:bookmarkStart w:id="1336" w:name="_Toc20262"/>
      <w:bookmarkStart w:id="1337" w:name="_Toc25903"/>
      <w:bookmarkStart w:id="1338" w:name="_Toc15541"/>
      <w:bookmarkStart w:id="1339" w:name="_Toc24782"/>
      <w:bookmarkStart w:id="1340" w:name="_Toc24181"/>
      <w:bookmarkStart w:id="1341" w:name="_Toc15256"/>
      <w:bookmarkStart w:id="1342" w:name="_Toc16521"/>
      <w:bookmarkStart w:id="1343" w:name="_Toc73112427"/>
      <w:bookmarkStart w:id="1344" w:name="_Toc29015"/>
      <w:bookmarkStart w:id="1345" w:name="_Toc17435"/>
      <w:bookmarkStart w:id="1346" w:name="_Toc16829"/>
      <w:bookmarkStart w:id="1347" w:name="_Toc29679"/>
      <w:bookmarkStart w:id="1348" w:name="_Toc32470"/>
      <w:bookmarkStart w:id="1349" w:name="_Toc31105"/>
      <w:bookmarkStart w:id="1350" w:name="_Toc32544"/>
      <w:bookmarkStart w:id="1351" w:name="_Toc2497"/>
      <w:bookmarkStart w:id="1352" w:name="_Toc11901"/>
      <w:bookmarkStart w:id="1353" w:name="_Toc22430"/>
      <w:r>
        <w:rPr>
          <w:rFonts w:hint="eastAsia" w:ascii="仿宋" w:hAnsi="仿宋" w:eastAsia="仿宋" w:cs="仿宋"/>
          <w:b/>
          <w:bCs/>
        </w:rPr>
        <w:t>1特殊要求</w:t>
      </w:r>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p>
    <w:p w14:paraId="4C754DC2">
      <w:pPr>
        <w:pStyle w:val="16"/>
        <w:snapToGrid w:val="0"/>
        <w:spacing w:line="360" w:lineRule="auto"/>
        <w:ind w:firstLine="480" w:firstLineChars="200"/>
        <w:rPr>
          <w:rFonts w:ascii="仿宋" w:hAnsi="仿宋" w:eastAsia="仿宋" w:cs="仿宋"/>
        </w:rPr>
      </w:pPr>
      <w:r>
        <w:rPr>
          <w:rFonts w:hint="eastAsia" w:ascii="仿宋" w:hAnsi="仿宋" w:eastAsia="仿宋" w:cs="仿宋"/>
        </w:rPr>
        <w:t>为保证本技术标书所列采购货物（或生产线）的质量以及先进性、可靠性、经济性和实用性，要求投标方在投标文件中，至少应具备以下资格证明文件或资料：</w:t>
      </w:r>
    </w:p>
    <w:p w14:paraId="32754580">
      <w:pPr>
        <w:snapToGrid w:val="0"/>
        <w:spacing w:line="360" w:lineRule="auto"/>
        <w:ind w:firstLine="420" w:firstLineChars="200"/>
        <w:rPr>
          <w:rFonts w:ascii="仿宋" w:hAnsi="仿宋" w:eastAsia="仿宋" w:cs="仿宋"/>
        </w:rPr>
      </w:pPr>
      <w:r>
        <w:rPr>
          <w:rFonts w:hint="eastAsia" w:ascii="仿宋" w:hAnsi="仿宋" w:eastAsia="仿宋" w:cs="仿宋"/>
        </w:rPr>
        <w:t>1.1投标方应是通过有关资格认证的单位，因此应附有有效期内的资格认证证书，如：ISO9001、VDA6.1、QS9000等。</w:t>
      </w:r>
    </w:p>
    <w:p w14:paraId="3974B6FE">
      <w:pPr>
        <w:snapToGrid w:val="0"/>
        <w:spacing w:line="360" w:lineRule="auto"/>
        <w:ind w:firstLine="420" w:firstLineChars="200"/>
        <w:rPr>
          <w:rFonts w:ascii="仿宋" w:hAnsi="仿宋" w:eastAsia="仿宋" w:cs="仿宋"/>
        </w:rPr>
      </w:pPr>
      <w:r>
        <w:rPr>
          <w:rFonts w:hint="eastAsia" w:ascii="仿宋" w:hAnsi="仿宋" w:eastAsia="仿宋" w:cs="仿宋"/>
        </w:rPr>
        <w:t>1.2国产设备应附有采购货物（或设备）涉及的由“中国质量认证中心”颁发的《中国国家强制性产品认证证书》（CCC证书）。</w:t>
      </w:r>
    </w:p>
    <w:p w14:paraId="58BA59FA">
      <w:pPr>
        <w:snapToGrid w:val="0"/>
        <w:spacing w:line="360" w:lineRule="auto"/>
        <w:ind w:firstLine="420" w:firstLineChars="200"/>
        <w:rPr>
          <w:rFonts w:ascii="仿宋" w:hAnsi="仿宋" w:eastAsia="仿宋" w:cs="仿宋"/>
        </w:rPr>
      </w:pPr>
      <w:r>
        <w:rPr>
          <w:rFonts w:hint="eastAsia" w:ascii="仿宋" w:hAnsi="仿宋" w:eastAsia="仿宋" w:cs="仿宋"/>
        </w:rPr>
        <w:t>1.3必须附有与本采购货物（或生产线）相同或相似技术规格、型号的而且已经正常使用或通过验收的近三年以上的货物（或生产线）的市场销售业绩清单，清单中应具备：买方单位名称、销售货物（或生产线）的规格型号、数量、（交货）时间、联系人和联系电话（非移动通信号码）等条目内容；投标方应当保证其业绩的真实性，否则将影响投标或中标资格。</w:t>
      </w:r>
    </w:p>
    <w:p w14:paraId="012A644D">
      <w:pPr>
        <w:snapToGrid w:val="0"/>
        <w:spacing w:line="360" w:lineRule="auto"/>
        <w:ind w:firstLine="420" w:firstLineChars="200"/>
        <w:rPr>
          <w:rFonts w:ascii="仿宋" w:hAnsi="仿宋" w:eastAsia="仿宋" w:cs="仿宋"/>
        </w:rPr>
      </w:pPr>
      <w:r>
        <w:rPr>
          <w:rFonts w:hint="eastAsia" w:ascii="仿宋" w:hAnsi="仿宋" w:eastAsia="仿宋" w:cs="仿宋"/>
        </w:rPr>
        <w:t>1.4应附有其它与投标单位、采购货物（或生产线）有关的荣誉证书或资料。</w:t>
      </w:r>
    </w:p>
    <w:p w14:paraId="40C8939F">
      <w:pPr>
        <w:snapToGrid w:val="0"/>
        <w:spacing w:line="360" w:lineRule="auto"/>
        <w:ind w:firstLine="420" w:firstLineChars="200"/>
        <w:rPr>
          <w:rFonts w:ascii="仿宋" w:hAnsi="仿宋" w:eastAsia="仿宋" w:cs="仿宋"/>
        </w:rPr>
      </w:pPr>
      <w:r>
        <w:rPr>
          <w:rFonts w:hint="eastAsia" w:ascii="仿宋" w:hAnsi="仿宋" w:eastAsia="仿宋" w:cs="仿宋"/>
        </w:rPr>
        <w:t>1.5应附有中国相关国家部委颁发的有效期之内所必需的《生产许可证》。</w:t>
      </w:r>
    </w:p>
    <w:p w14:paraId="16DF45B9">
      <w:pPr>
        <w:snapToGrid w:val="0"/>
        <w:spacing w:line="360" w:lineRule="auto"/>
        <w:ind w:firstLine="420" w:firstLineChars="200"/>
        <w:rPr>
          <w:rFonts w:ascii="仿宋" w:hAnsi="仿宋" w:eastAsia="仿宋" w:cs="仿宋"/>
        </w:rPr>
      </w:pPr>
      <w:r>
        <w:rPr>
          <w:rFonts w:hint="eastAsia" w:ascii="仿宋" w:hAnsi="仿宋" w:eastAsia="仿宋" w:cs="仿宋"/>
        </w:rPr>
        <w:t>1.6应附有必要的采购货物（或设备）的相关检验、试验报告，如：《型式试验的检验报告》、《产品鉴定证书》、《新技术成果证书》等。</w:t>
      </w:r>
    </w:p>
    <w:p w14:paraId="0E74EF96">
      <w:pPr>
        <w:snapToGrid w:val="0"/>
        <w:spacing w:line="360" w:lineRule="auto"/>
        <w:ind w:firstLine="420" w:firstLineChars="200"/>
        <w:rPr>
          <w:rFonts w:ascii="仿宋" w:hAnsi="仿宋" w:eastAsia="仿宋" w:cs="仿宋"/>
        </w:rPr>
      </w:pPr>
      <w:r>
        <w:rPr>
          <w:rFonts w:hint="eastAsia" w:ascii="仿宋" w:hAnsi="仿宋" w:eastAsia="仿宋" w:cs="仿宋"/>
        </w:rPr>
        <w:t>1.7投标方必须附有采购货物（或设备）涉及国家规定必须进行的检验、试验报告等。</w:t>
      </w:r>
    </w:p>
    <w:p w14:paraId="053AEC0D">
      <w:pPr>
        <w:snapToGrid w:val="0"/>
        <w:spacing w:line="360" w:lineRule="auto"/>
        <w:ind w:firstLine="420" w:firstLineChars="200"/>
        <w:rPr>
          <w:rFonts w:ascii="仿宋" w:hAnsi="仿宋" w:eastAsia="仿宋" w:cs="仿宋"/>
        </w:rPr>
      </w:pPr>
      <w:r>
        <w:rPr>
          <w:rFonts w:hint="eastAsia" w:ascii="仿宋" w:hAnsi="仿宋" w:eastAsia="仿宋" w:cs="仿宋"/>
        </w:rPr>
        <w:t>1.8可附有投标方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14:paraId="42BF2BA5">
      <w:pPr>
        <w:snapToGrid w:val="0"/>
        <w:spacing w:line="360" w:lineRule="auto"/>
        <w:ind w:left="480"/>
        <w:outlineLvl w:val="1"/>
        <w:rPr>
          <w:rFonts w:ascii="仿宋" w:hAnsi="仿宋" w:eastAsia="仿宋" w:cs="仿宋"/>
          <w:b/>
          <w:bCs/>
        </w:rPr>
      </w:pPr>
      <w:bookmarkStart w:id="1354" w:name="_Toc22893"/>
      <w:bookmarkStart w:id="1355" w:name="_Toc16457"/>
      <w:bookmarkStart w:id="1356" w:name="_Toc21942"/>
      <w:bookmarkStart w:id="1357" w:name="_Toc29233"/>
      <w:bookmarkStart w:id="1358" w:name="_Toc28559"/>
      <w:bookmarkStart w:id="1359" w:name="_Toc13497"/>
      <w:bookmarkStart w:id="1360" w:name="_Toc3658"/>
      <w:bookmarkStart w:id="1361" w:name="_Toc24482"/>
      <w:bookmarkStart w:id="1362" w:name="_Toc11255"/>
      <w:bookmarkStart w:id="1363" w:name="_Toc20370"/>
      <w:bookmarkStart w:id="1364" w:name="_Toc29954"/>
      <w:bookmarkStart w:id="1365" w:name="_Toc3821"/>
      <w:bookmarkStart w:id="1366" w:name="_Toc25028"/>
      <w:bookmarkStart w:id="1367" w:name="_Toc22763"/>
      <w:bookmarkStart w:id="1368" w:name="_Toc19315"/>
      <w:bookmarkStart w:id="1369" w:name="_Toc28380"/>
      <w:bookmarkStart w:id="1370" w:name="_Toc28267"/>
      <w:bookmarkStart w:id="1371" w:name="_Toc18674"/>
      <w:bookmarkStart w:id="1372" w:name="_Toc73112429"/>
      <w:bookmarkStart w:id="1373" w:name="_Toc8864"/>
      <w:bookmarkStart w:id="1374" w:name="_Toc4278"/>
      <w:bookmarkStart w:id="1375" w:name="_Toc26724"/>
      <w:bookmarkStart w:id="1376" w:name="_Toc26307"/>
      <w:bookmarkStart w:id="1377" w:name="_Toc18745"/>
      <w:bookmarkStart w:id="1378" w:name="_Toc24176"/>
      <w:bookmarkStart w:id="1379" w:name="_Toc3323"/>
      <w:bookmarkStart w:id="1380" w:name="_Toc20830"/>
      <w:bookmarkStart w:id="1381" w:name="_Toc26626"/>
      <w:bookmarkStart w:id="1382" w:name="_Toc14052"/>
      <w:bookmarkStart w:id="1383" w:name="_Toc27164"/>
      <w:bookmarkStart w:id="1384" w:name="_Toc5504"/>
      <w:bookmarkStart w:id="1385" w:name="_Toc1823"/>
      <w:bookmarkStart w:id="1386" w:name="_Toc4853"/>
      <w:bookmarkStart w:id="1387" w:name="_Toc27894"/>
      <w:bookmarkStart w:id="1388" w:name="_Toc11707"/>
      <w:bookmarkStart w:id="1389" w:name="_Toc28718"/>
      <w:bookmarkStart w:id="1390" w:name="_Toc14956"/>
      <w:bookmarkStart w:id="1391" w:name="_Toc18370"/>
      <w:bookmarkStart w:id="1392" w:name="_Toc13528"/>
      <w:bookmarkStart w:id="1393" w:name="_Toc4243"/>
      <w:bookmarkStart w:id="1394" w:name="_Toc28700"/>
      <w:bookmarkStart w:id="1395" w:name="_Toc335"/>
      <w:bookmarkStart w:id="1396" w:name="_Toc25498"/>
      <w:r>
        <w:rPr>
          <w:rFonts w:hint="eastAsia" w:ascii="仿宋" w:hAnsi="仿宋" w:eastAsia="仿宋" w:cs="仿宋"/>
          <w:b/>
          <w:bCs/>
        </w:rPr>
        <w:t>2说明</w:t>
      </w:r>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p>
    <w:p w14:paraId="0A1A4310">
      <w:pPr>
        <w:snapToGrid w:val="0"/>
        <w:spacing w:line="360" w:lineRule="auto"/>
        <w:ind w:firstLine="420" w:firstLineChars="200"/>
        <w:rPr>
          <w:rFonts w:ascii="仿宋" w:hAnsi="仿宋" w:eastAsia="仿宋" w:cs="仿宋"/>
        </w:rPr>
      </w:pPr>
      <w:r>
        <w:rPr>
          <w:rFonts w:hint="eastAsia" w:ascii="仿宋" w:hAnsi="仿宋" w:eastAsia="仿宋" w:cs="仿宋"/>
        </w:rPr>
        <w:t>2.1投标方可以根据自身的技术、经验等优势以及对招标文件和本技术标书的理解，写明对招标方所采购货物（或生产线）的优化方案或建议意见。投标方的这些努力，招标方表示感谢，并将有助于投标方优先胜出。</w:t>
      </w:r>
    </w:p>
    <w:p w14:paraId="0DCF86E8">
      <w:pPr>
        <w:snapToGrid w:val="0"/>
        <w:spacing w:line="360" w:lineRule="auto"/>
        <w:ind w:firstLine="420" w:firstLineChars="200"/>
        <w:rPr>
          <w:rFonts w:ascii="仿宋" w:hAnsi="仿宋" w:eastAsia="仿宋" w:cs="仿宋"/>
        </w:rPr>
      </w:pPr>
      <w:r>
        <w:rPr>
          <w:rFonts w:hint="eastAsia" w:ascii="仿宋" w:hAnsi="仿宋" w:eastAsia="仿宋" w:cs="仿宋"/>
        </w:rPr>
        <w:t>2.2即使有建议意见或建议方案，仍应依据招标文件和本技术标书要求，编写符合要求的投标文件。建议方案或建议意见，应以单独篇章或文件，予以说明。</w:t>
      </w:r>
    </w:p>
    <w:p w14:paraId="3DF4FC2F">
      <w:pPr>
        <w:snapToGrid w:val="0"/>
        <w:spacing w:line="360" w:lineRule="auto"/>
        <w:ind w:firstLine="420" w:firstLineChars="200"/>
        <w:rPr>
          <w:rFonts w:ascii="仿宋" w:hAnsi="仿宋" w:eastAsia="仿宋" w:cs="仿宋"/>
        </w:rPr>
      </w:pPr>
      <w:r>
        <w:rPr>
          <w:rFonts w:hint="eastAsia" w:ascii="仿宋" w:hAnsi="仿宋" w:eastAsia="仿宋" w:cs="仿宋"/>
        </w:rPr>
        <w:t>2.3请投标方仔细阅读“采购货物概况”章节内说明，针对允许分投分中的货物（或生产线），招标方有权利选择其中优秀设备或服务，作为投标方合同供货范围中的指定选用设备或服务（替代投标方分投而未中标部分）。</w:t>
      </w:r>
    </w:p>
    <w:p w14:paraId="328D9A19">
      <w:pPr>
        <w:snapToGrid w:val="0"/>
        <w:spacing w:line="360" w:lineRule="auto"/>
        <w:ind w:firstLine="420" w:firstLineChars="200"/>
        <w:rPr>
          <w:rFonts w:ascii="仿宋" w:hAnsi="仿宋" w:eastAsia="仿宋" w:cs="仿宋"/>
        </w:rPr>
      </w:pPr>
      <w:r>
        <w:rPr>
          <w:rFonts w:hint="eastAsia" w:ascii="仿宋" w:hAnsi="仿宋" w:eastAsia="仿宋" w:cs="仿宋"/>
        </w:rPr>
        <w:t>2.4招标文件、投标文件、答疑文件、技术交流文件、技术协议书等，在招标过程全部为有效文件，如有差异，以对招标方或买方最有利的条款为准。</w:t>
      </w:r>
    </w:p>
    <w:p w14:paraId="08037657">
      <w:pPr>
        <w:snapToGrid w:val="0"/>
        <w:spacing w:line="360" w:lineRule="auto"/>
        <w:ind w:firstLine="420" w:firstLineChars="200"/>
        <w:rPr>
          <w:rFonts w:ascii="仿宋" w:hAnsi="仿宋" w:eastAsia="仿宋" w:cs="仿宋"/>
        </w:rPr>
      </w:pPr>
      <w:r>
        <w:rPr>
          <w:rFonts w:hint="eastAsia" w:ascii="仿宋" w:hAnsi="仿宋" w:eastAsia="仿宋" w:cs="仿宋"/>
        </w:rPr>
        <w:t>2.5本技术标书在“预验收和终验收”章节所列的招标方在合同签署后将成为买方，中标的投标方将成为卖方；为避免歧异，本技术标书在“预验收和终验收”之外的其它章节，均将潜在的卖方称为投标方、将买方称为招标方。</w:t>
      </w:r>
    </w:p>
    <w:tbl>
      <w:tblPr>
        <w:tblStyle w:val="31"/>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1"/>
        <w:gridCol w:w="1421"/>
        <w:gridCol w:w="1421"/>
        <w:gridCol w:w="1421"/>
        <w:gridCol w:w="1422"/>
        <w:gridCol w:w="1422"/>
      </w:tblGrid>
      <w:tr w14:paraId="184A0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8" w:type="dxa"/>
            <w:gridSpan w:val="6"/>
          </w:tcPr>
          <w:p w14:paraId="12276AD9">
            <w:pPr>
              <w:snapToGrid w:val="0"/>
              <w:spacing w:line="360" w:lineRule="auto"/>
              <w:jc w:val="center"/>
              <w:rPr>
                <w:rFonts w:ascii="仿宋" w:hAnsi="仿宋" w:eastAsia="仿宋" w:cs="仿宋"/>
              </w:rPr>
            </w:pPr>
            <w:r>
              <w:rPr>
                <w:rFonts w:hint="eastAsia" w:ascii="仿宋" w:hAnsi="仿宋" w:eastAsia="仿宋" w:cs="仿宋"/>
              </w:rPr>
              <w:t>会签栏</w:t>
            </w:r>
          </w:p>
        </w:tc>
      </w:tr>
      <w:tr w14:paraId="0B6E2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7D623B90">
            <w:pPr>
              <w:snapToGrid w:val="0"/>
              <w:spacing w:line="360" w:lineRule="auto"/>
              <w:rPr>
                <w:rFonts w:ascii="仿宋" w:hAnsi="仿宋" w:eastAsia="仿宋" w:cs="仿宋"/>
              </w:rPr>
            </w:pPr>
            <w:r>
              <w:rPr>
                <w:rFonts w:hint="eastAsia" w:ascii="仿宋" w:hAnsi="仿宋" w:eastAsia="仿宋" w:cs="仿宋"/>
              </w:rPr>
              <w:t>单位</w:t>
            </w:r>
          </w:p>
        </w:tc>
        <w:tc>
          <w:tcPr>
            <w:tcW w:w="1421" w:type="dxa"/>
          </w:tcPr>
          <w:p w14:paraId="39FC1A8C">
            <w:pPr>
              <w:snapToGrid w:val="0"/>
              <w:spacing w:line="360" w:lineRule="auto"/>
              <w:rPr>
                <w:rFonts w:ascii="仿宋" w:hAnsi="仿宋" w:eastAsia="仿宋" w:cs="仿宋"/>
              </w:rPr>
            </w:pPr>
            <w:r>
              <w:rPr>
                <w:rFonts w:hint="eastAsia" w:ascii="仿宋" w:hAnsi="仿宋" w:eastAsia="仿宋" w:cs="仿宋"/>
              </w:rPr>
              <w:t>签字</w:t>
            </w:r>
          </w:p>
        </w:tc>
        <w:tc>
          <w:tcPr>
            <w:tcW w:w="1421" w:type="dxa"/>
          </w:tcPr>
          <w:p w14:paraId="0F83142B">
            <w:pPr>
              <w:snapToGrid w:val="0"/>
              <w:spacing w:line="360" w:lineRule="auto"/>
              <w:rPr>
                <w:rFonts w:ascii="仿宋" w:hAnsi="仿宋" w:eastAsia="仿宋" w:cs="仿宋"/>
              </w:rPr>
            </w:pPr>
            <w:r>
              <w:rPr>
                <w:rFonts w:hint="eastAsia" w:ascii="仿宋" w:hAnsi="仿宋" w:eastAsia="仿宋" w:cs="仿宋"/>
              </w:rPr>
              <w:t>日期</w:t>
            </w:r>
          </w:p>
        </w:tc>
        <w:tc>
          <w:tcPr>
            <w:tcW w:w="1421" w:type="dxa"/>
          </w:tcPr>
          <w:p w14:paraId="66BBFDAA">
            <w:pPr>
              <w:snapToGrid w:val="0"/>
              <w:spacing w:line="360" w:lineRule="auto"/>
              <w:rPr>
                <w:rFonts w:ascii="仿宋" w:hAnsi="仿宋" w:eastAsia="仿宋" w:cs="仿宋"/>
              </w:rPr>
            </w:pPr>
            <w:r>
              <w:rPr>
                <w:rFonts w:hint="eastAsia" w:ascii="仿宋" w:hAnsi="仿宋" w:eastAsia="仿宋" w:cs="仿宋"/>
              </w:rPr>
              <w:t>单位</w:t>
            </w:r>
          </w:p>
        </w:tc>
        <w:tc>
          <w:tcPr>
            <w:tcW w:w="1422" w:type="dxa"/>
          </w:tcPr>
          <w:p w14:paraId="31348B57">
            <w:pPr>
              <w:snapToGrid w:val="0"/>
              <w:spacing w:line="360" w:lineRule="auto"/>
              <w:rPr>
                <w:rFonts w:ascii="仿宋" w:hAnsi="仿宋" w:eastAsia="仿宋" w:cs="仿宋"/>
              </w:rPr>
            </w:pPr>
            <w:r>
              <w:rPr>
                <w:rFonts w:hint="eastAsia" w:ascii="仿宋" w:hAnsi="仿宋" w:eastAsia="仿宋" w:cs="仿宋"/>
              </w:rPr>
              <w:t>签字</w:t>
            </w:r>
          </w:p>
        </w:tc>
        <w:tc>
          <w:tcPr>
            <w:tcW w:w="1422" w:type="dxa"/>
          </w:tcPr>
          <w:p w14:paraId="156A5246">
            <w:pPr>
              <w:snapToGrid w:val="0"/>
              <w:spacing w:line="360" w:lineRule="auto"/>
              <w:rPr>
                <w:rFonts w:ascii="仿宋" w:hAnsi="仿宋" w:eastAsia="仿宋" w:cs="仿宋"/>
              </w:rPr>
            </w:pPr>
            <w:r>
              <w:rPr>
                <w:rFonts w:hint="eastAsia" w:ascii="仿宋" w:hAnsi="仿宋" w:eastAsia="仿宋" w:cs="仿宋"/>
              </w:rPr>
              <w:t>日期</w:t>
            </w:r>
          </w:p>
        </w:tc>
      </w:tr>
      <w:tr w14:paraId="06FAC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5B7E1E39">
            <w:pPr>
              <w:snapToGrid w:val="0"/>
              <w:spacing w:line="360" w:lineRule="auto"/>
              <w:rPr>
                <w:rFonts w:ascii="仿宋" w:hAnsi="仿宋" w:eastAsia="仿宋" w:cs="仿宋"/>
              </w:rPr>
            </w:pPr>
            <w:r>
              <w:rPr>
                <w:rFonts w:hint="eastAsia" w:ascii="仿宋" w:hAnsi="仿宋" w:eastAsia="仿宋" w:cs="仿宋"/>
              </w:rPr>
              <w:t>使用单位</w:t>
            </w:r>
          </w:p>
        </w:tc>
        <w:tc>
          <w:tcPr>
            <w:tcW w:w="1421" w:type="dxa"/>
          </w:tcPr>
          <w:p w14:paraId="559B41CF">
            <w:pPr>
              <w:snapToGrid w:val="0"/>
              <w:spacing w:line="360" w:lineRule="auto"/>
              <w:rPr>
                <w:rFonts w:ascii="仿宋" w:hAnsi="仿宋" w:eastAsia="仿宋" w:cs="仿宋"/>
              </w:rPr>
            </w:pPr>
          </w:p>
        </w:tc>
        <w:tc>
          <w:tcPr>
            <w:tcW w:w="1421" w:type="dxa"/>
          </w:tcPr>
          <w:p w14:paraId="1511863A">
            <w:pPr>
              <w:snapToGrid w:val="0"/>
              <w:spacing w:line="360" w:lineRule="auto"/>
              <w:rPr>
                <w:rFonts w:ascii="仿宋" w:hAnsi="仿宋" w:eastAsia="仿宋" w:cs="仿宋"/>
              </w:rPr>
            </w:pPr>
          </w:p>
        </w:tc>
        <w:tc>
          <w:tcPr>
            <w:tcW w:w="1421" w:type="dxa"/>
          </w:tcPr>
          <w:p w14:paraId="5A046AE7">
            <w:pPr>
              <w:snapToGrid w:val="0"/>
              <w:spacing w:line="360" w:lineRule="auto"/>
              <w:rPr>
                <w:rFonts w:ascii="仿宋" w:hAnsi="仿宋" w:eastAsia="仿宋" w:cs="仿宋"/>
              </w:rPr>
            </w:pPr>
            <w:r>
              <w:rPr>
                <w:rFonts w:hint="eastAsia" w:ascii="仿宋" w:hAnsi="仿宋" w:eastAsia="仿宋" w:cs="仿宋"/>
                <w:highlight w:val="none"/>
                <w:lang w:val="en-US" w:eastAsia="zh-CN"/>
              </w:rPr>
              <w:t>安全环保部</w:t>
            </w:r>
          </w:p>
        </w:tc>
        <w:tc>
          <w:tcPr>
            <w:tcW w:w="1422" w:type="dxa"/>
          </w:tcPr>
          <w:p w14:paraId="1E6E5E92">
            <w:pPr>
              <w:snapToGrid w:val="0"/>
              <w:spacing w:line="360" w:lineRule="auto"/>
              <w:rPr>
                <w:rFonts w:ascii="仿宋" w:hAnsi="仿宋" w:eastAsia="仿宋" w:cs="仿宋"/>
              </w:rPr>
            </w:pPr>
          </w:p>
        </w:tc>
        <w:tc>
          <w:tcPr>
            <w:tcW w:w="1422" w:type="dxa"/>
          </w:tcPr>
          <w:p w14:paraId="79325A7B">
            <w:pPr>
              <w:snapToGrid w:val="0"/>
              <w:spacing w:line="360" w:lineRule="auto"/>
              <w:rPr>
                <w:rFonts w:ascii="仿宋" w:hAnsi="仿宋" w:eastAsia="仿宋" w:cs="仿宋"/>
              </w:rPr>
            </w:pPr>
          </w:p>
        </w:tc>
      </w:tr>
      <w:tr w14:paraId="51843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6D1302A1">
            <w:pPr>
              <w:snapToGrid w:val="0"/>
              <w:spacing w:line="360" w:lineRule="auto"/>
              <w:rPr>
                <w:rFonts w:ascii="仿宋" w:hAnsi="仿宋" w:eastAsia="仿宋" w:cs="仿宋"/>
              </w:rPr>
            </w:pPr>
            <w:r>
              <w:rPr>
                <w:rFonts w:hint="eastAsia" w:ascii="仿宋" w:hAnsi="仿宋" w:eastAsia="仿宋" w:cs="仿宋"/>
              </w:rPr>
              <w:t>制造部</w:t>
            </w:r>
          </w:p>
        </w:tc>
        <w:tc>
          <w:tcPr>
            <w:tcW w:w="1421" w:type="dxa"/>
          </w:tcPr>
          <w:p w14:paraId="6DE7F336">
            <w:pPr>
              <w:snapToGrid w:val="0"/>
              <w:spacing w:line="360" w:lineRule="auto"/>
              <w:rPr>
                <w:rFonts w:ascii="仿宋" w:hAnsi="仿宋" w:eastAsia="仿宋" w:cs="仿宋"/>
              </w:rPr>
            </w:pPr>
          </w:p>
        </w:tc>
        <w:tc>
          <w:tcPr>
            <w:tcW w:w="1421" w:type="dxa"/>
          </w:tcPr>
          <w:p w14:paraId="2A192872">
            <w:pPr>
              <w:snapToGrid w:val="0"/>
              <w:spacing w:line="360" w:lineRule="auto"/>
              <w:rPr>
                <w:rFonts w:ascii="仿宋" w:hAnsi="仿宋" w:eastAsia="仿宋" w:cs="仿宋"/>
              </w:rPr>
            </w:pPr>
          </w:p>
        </w:tc>
        <w:tc>
          <w:tcPr>
            <w:tcW w:w="1421" w:type="dxa"/>
          </w:tcPr>
          <w:p w14:paraId="20BD55D9">
            <w:pPr>
              <w:snapToGrid w:val="0"/>
              <w:spacing w:line="360" w:lineRule="auto"/>
              <w:rPr>
                <w:rFonts w:ascii="仿宋" w:hAnsi="仿宋" w:eastAsia="仿宋" w:cs="仿宋"/>
              </w:rPr>
            </w:pPr>
            <w:r>
              <w:rPr>
                <w:rFonts w:hint="eastAsia" w:ascii="仿宋" w:hAnsi="仿宋" w:eastAsia="仿宋" w:cs="仿宋"/>
              </w:rPr>
              <w:t>质量部</w:t>
            </w:r>
          </w:p>
        </w:tc>
        <w:tc>
          <w:tcPr>
            <w:tcW w:w="1422" w:type="dxa"/>
          </w:tcPr>
          <w:p w14:paraId="32568D82">
            <w:pPr>
              <w:snapToGrid w:val="0"/>
              <w:spacing w:line="360" w:lineRule="auto"/>
              <w:rPr>
                <w:rFonts w:ascii="仿宋" w:hAnsi="仿宋" w:eastAsia="仿宋" w:cs="仿宋"/>
              </w:rPr>
            </w:pPr>
          </w:p>
        </w:tc>
        <w:tc>
          <w:tcPr>
            <w:tcW w:w="1422" w:type="dxa"/>
          </w:tcPr>
          <w:p w14:paraId="213A169B">
            <w:pPr>
              <w:snapToGrid w:val="0"/>
              <w:spacing w:line="360" w:lineRule="auto"/>
              <w:rPr>
                <w:rFonts w:ascii="仿宋" w:hAnsi="仿宋" w:eastAsia="仿宋" w:cs="仿宋"/>
              </w:rPr>
            </w:pPr>
          </w:p>
        </w:tc>
      </w:tr>
      <w:tr w14:paraId="027DC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5B2969B5">
            <w:pPr>
              <w:snapToGrid w:val="0"/>
              <w:spacing w:line="360" w:lineRule="auto"/>
              <w:rPr>
                <w:rFonts w:ascii="仿宋" w:hAnsi="仿宋" w:eastAsia="仿宋" w:cs="仿宋"/>
              </w:rPr>
            </w:pPr>
            <w:r>
              <w:rPr>
                <w:rFonts w:hint="eastAsia" w:ascii="仿宋" w:hAnsi="仿宋" w:eastAsia="仿宋" w:cs="仿宋"/>
              </w:rPr>
              <w:t>工艺工程部</w:t>
            </w:r>
          </w:p>
        </w:tc>
        <w:tc>
          <w:tcPr>
            <w:tcW w:w="1421" w:type="dxa"/>
          </w:tcPr>
          <w:p w14:paraId="2CB3F431">
            <w:pPr>
              <w:snapToGrid w:val="0"/>
              <w:spacing w:line="360" w:lineRule="auto"/>
              <w:rPr>
                <w:rFonts w:ascii="仿宋" w:hAnsi="仿宋" w:eastAsia="仿宋" w:cs="仿宋"/>
              </w:rPr>
            </w:pPr>
          </w:p>
        </w:tc>
        <w:tc>
          <w:tcPr>
            <w:tcW w:w="1421" w:type="dxa"/>
          </w:tcPr>
          <w:p w14:paraId="501297AD">
            <w:pPr>
              <w:snapToGrid w:val="0"/>
              <w:spacing w:line="360" w:lineRule="auto"/>
              <w:rPr>
                <w:rFonts w:ascii="仿宋" w:hAnsi="仿宋" w:eastAsia="仿宋" w:cs="仿宋"/>
              </w:rPr>
            </w:pPr>
          </w:p>
        </w:tc>
        <w:tc>
          <w:tcPr>
            <w:tcW w:w="1421" w:type="dxa"/>
          </w:tcPr>
          <w:p w14:paraId="215F2875">
            <w:pPr>
              <w:snapToGrid w:val="0"/>
              <w:spacing w:line="360" w:lineRule="auto"/>
              <w:rPr>
                <w:rFonts w:ascii="仿宋" w:hAnsi="仿宋" w:eastAsia="仿宋" w:cs="仿宋"/>
              </w:rPr>
            </w:pPr>
          </w:p>
        </w:tc>
        <w:tc>
          <w:tcPr>
            <w:tcW w:w="1422" w:type="dxa"/>
          </w:tcPr>
          <w:p w14:paraId="61BCD42B">
            <w:pPr>
              <w:snapToGrid w:val="0"/>
              <w:spacing w:line="360" w:lineRule="auto"/>
              <w:rPr>
                <w:rFonts w:ascii="仿宋" w:hAnsi="仿宋" w:eastAsia="仿宋" w:cs="仿宋"/>
              </w:rPr>
            </w:pPr>
          </w:p>
        </w:tc>
        <w:tc>
          <w:tcPr>
            <w:tcW w:w="1422" w:type="dxa"/>
          </w:tcPr>
          <w:p w14:paraId="50795985">
            <w:pPr>
              <w:snapToGrid w:val="0"/>
              <w:spacing w:line="360" w:lineRule="auto"/>
              <w:rPr>
                <w:rFonts w:ascii="仿宋" w:hAnsi="仿宋" w:eastAsia="仿宋" w:cs="仿宋"/>
              </w:rPr>
            </w:pPr>
          </w:p>
        </w:tc>
      </w:tr>
      <w:tr w14:paraId="1D45F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tcPr>
          <w:p w14:paraId="1B2B1AAD">
            <w:pPr>
              <w:snapToGrid w:val="0"/>
              <w:spacing w:line="360" w:lineRule="auto"/>
              <w:rPr>
                <w:rFonts w:ascii="仿宋" w:hAnsi="仿宋" w:eastAsia="仿宋" w:cs="仿宋"/>
              </w:rPr>
            </w:pPr>
          </w:p>
        </w:tc>
        <w:tc>
          <w:tcPr>
            <w:tcW w:w="1421" w:type="dxa"/>
          </w:tcPr>
          <w:p w14:paraId="3B80C96A">
            <w:pPr>
              <w:snapToGrid w:val="0"/>
              <w:spacing w:line="360" w:lineRule="auto"/>
              <w:rPr>
                <w:rFonts w:ascii="仿宋" w:hAnsi="仿宋" w:eastAsia="仿宋" w:cs="仿宋"/>
              </w:rPr>
            </w:pPr>
          </w:p>
        </w:tc>
        <w:tc>
          <w:tcPr>
            <w:tcW w:w="1421" w:type="dxa"/>
          </w:tcPr>
          <w:p w14:paraId="2F5593D9">
            <w:pPr>
              <w:snapToGrid w:val="0"/>
              <w:spacing w:line="360" w:lineRule="auto"/>
              <w:rPr>
                <w:rFonts w:ascii="仿宋" w:hAnsi="仿宋" w:eastAsia="仿宋" w:cs="仿宋"/>
              </w:rPr>
            </w:pPr>
          </w:p>
        </w:tc>
        <w:tc>
          <w:tcPr>
            <w:tcW w:w="1421" w:type="dxa"/>
          </w:tcPr>
          <w:p w14:paraId="6089CBDB">
            <w:pPr>
              <w:snapToGrid w:val="0"/>
              <w:spacing w:line="360" w:lineRule="auto"/>
              <w:rPr>
                <w:rFonts w:ascii="仿宋" w:hAnsi="仿宋" w:eastAsia="仿宋" w:cs="仿宋"/>
              </w:rPr>
            </w:pPr>
          </w:p>
        </w:tc>
        <w:tc>
          <w:tcPr>
            <w:tcW w:w="1422" w:type="dxa"/>
          </w:tcPr>
          <w:p w14:paraId="69BB88C4">
            <w:pPr>
              <w:snapToGrid w:val="0"/>
              <w:spacing w:line="360" w:lineRule="auto"/>
              <w:rPr>
                <w:rFonts w:ascii="仿宋" w:hAnsi="仿宋" w:eastAsia="仿宋" w:cs="仿宋"/>
              </w:rPr>
            </w:pPr>
          </w:p>
        </w:tc>
        <w:tc>
          <w:tcPr>
            <w:tcW w:w="1422" w:type="dxa"/>
          </w:tcPr>
          <w:p w14:paraId="3BDB91A7">
            <w:pPr>
              <w:snapToGrid w:val="0"/>
              <w:spacing w:line="360" w:lineRule="auto"/>
              <w:rPr>
                <w:rFonts w:ascii="仿宋" w:hAnsi="仿宋" w:eastAsia="仿宋" w:cs="仿宋"/>
              </w:rPr>
            </w:pPr>
          </w:p>
        </w:tc>
      </w:tr>
    </w:tbl>
    <w:p w14:paraId="16AFAB1D">
      <w:pPr>
        <w:snapToGrid w:val="0"/>
        <w:spacing w:line="360" w:lineRule="auto"/>
        <w:rPr>
          <w:rFonts w:ascii="仿宋" w:hAnsi="仿宋" w:eastAsia="仿宋" w:cs="仿宋"/>
        </w:rPr>
      </w:pPr>
    </w:p>
    <w:p w14:paraId="4E29E882">
      <w:pPr>
        <w:pStyle w:val="76"/>
      </w:pPr>
    </w:p>
    <w:p w14:paraId="2BA3AED1">
      <w:pPr>
        <w:rPr>
          <w:rFonts w:eastAsia="黑体"/>
          <w:b/>
          <w:bCs/>
          <w:sz w:val="28"/>
        </w:rPr>
      </w:pPr>
      <w:r>
        <w:rPr>
          <w:rFonts w:hint="eastAsia" w:eastAsia="黑体"/>
          <w:b/>
          <w:bCs/>
          <w:sz w:val="28"/>
        </w:rPr>
        <w:br w:type="page"/>
      </w:r>
      <w:r>
        <w:rPr>
          <w:rFonts w:hint="eastAsia" w:eastAsia="黑体"/>
          <w:b/>
          <w:bCs/>
          <w:sz w:val="28"/>
        </w:rPr>
        <w:t>格式1</w:t>
      </w:r>
    </w:p>
    <w:p w14:paraId="3A24F7F6">
      <w:pPr>
        <w:rPr>
          <w:rFonts w:ascii="宋体" w:hAnsi="宋体"/>
        </w:rPr>
      </w:pPr>
      <w:r>
        <w:rPr>
          <w:rFonts w:hint="eastAsia" w:ascii="宋体" w:hAnsi="宋体"/>
        </w:rPr>
        <w:t>项目名称：</w:t>
      </w:r>
      <w:r>
        <w:rPr>
          <w:rFonts w:ascii="宋体" w:hAnsi="宋体"/>
        </w:rPr>
        <w:t xml:space="preserve"> </w:t>
      </w:r>
    </w:p>
    <w:p w14:paraId="3E193BD2">
      <w:pPr>
        <w:jc w:val="center"/>
        <w:rPr>
          <w:rFonts w:eastAsia="黑体"/>
          <w:b/>
          <w:bCs/>
          <w:sz w:val="28"/>
        </w:rPr>
      </w:pPr>
      <w:r>
        <w:rPr>
          <w:rFonts w:hint="eastAsia" w:eastAsia="黑体"/>
          <w:b/>
          <w:bCs/>
          <w:sz w:val="28"/>
        </w:rPr>
        <w:t>投标书</w:t>
      </w:r>
    </w:p>
    <w:p w14:paraId="3E4A497D">
      <w:pPr>
        <w:rPr>
          <w:rFonts w:ascii="宋体" w:hAnsi="宋体"/>
          <w:u w:val="single"/>
        </w:rPr>
      </w:pPr>
      <w:r>
        <w:rPr>
          <w:rFonts w:hint="eastAsia" w:ascii="宋体" w:hAnsi="宋体"/>
        </w:rPr>
        <w:t>致</w:t>
      </w:r>
      <w:r>
        <w:rPr>
          <w:rFonts w:hint="eastAsia" w:ascii="宋体" w:hAnsi="宋体"/>
          <w:u w:val="single"/>
        </w:rPr>
        <w:t>（招标人名称）                            ：</w:t>
      </w:r>
    </w:p>
    <w:p w14:paraId="336C0FD6">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提交下述文件：资质证明文件、商务文件。</w:t>
      </w:r>
    </w:p>
    <w:p w14:paraId="01F2E9BF">
      <w:pPr>
        <w:rPr>
          <w:rFonts w:ascii="宋体" w:hAnsi="宋体"/>
        </w:rPr>
      </w:pPr>
      <w:r>
        <w:rPr>
          <w:rFonts w:hint="eastAsia" w:ascii="宋体" w:hAnsi="宋体"/>
        </w:rPr>
        <w:t>据此，签字代表宣布同意如下：</w:t>
      </w:r>
    </w:p>
    <w:p w14:paraId="0AF708DC">
      <w:pPr>
        <w:ind w:firstLine="420" w:firstLineChars="200"/>
        <w:rPr>
          <w:rFonts w:ascii="宋体" w:hAnsi="宋体"/>
        </w:rPr>
      </w:pPr>
      <w:r>
        <w:rPr>
          <w:rFonts w:hint="eastAsia" w:ascii="宋体" w:hAnsi="宋体"/>
        </w:rPr>
        <w:t>1.所附投标报价表中规定的应提供的投标总价（不含税）为</w:t>
      </w:r>
      <w:r>
        <w:rPr>
          <w:rFonts w:hint="eastAsia" w:ascii="宋体" w:hAnsi="宋体"/>
          <w:u w:val="single"/>
        </w:rPr>
        <w:t xml:space="preserve">（注明币种和金额）    </w:t>
      </w:r>
      <w:r>
        <w:rPr>
          <w:rFonts w:hint="eastAsia" w:ascii="宋体" w:hAnsi="宋体"/>
        </w:rPr>
        <w:t>，</w:t>
      </w:r>
    </w:p>
    <w:p w14:paraId="2F93668F">
      <w:pPr>
        <w:rPr>
          <w:rFonts w:ascii="宋体" w:hAnsi="宋体"/>
          <w:u w:val="single"/>
        </w:rPr>
      </w:pPr>
      <w:r>
        <w:rPr>
          <w:rFonts w:hint="eastAsia" w:ascii="宋体" w:hAnsi="宋体"/>
          <w:u w:val="single"/>
        </w:rPr>
        <w:t xml:space="preserve">即（中文文字描述）                                      </w:t>
      </w:r>
      <w:r>
        <w:rPr>
          <w:rFonts w:hint="eastAsia" w:ascii="宋体" w:hAnsi="宋体"/>
        </w:rPr>
        <w:t>。</w:t>
      </w:r>
    </w:p>
    <w:p w14:paraId="76163369">
      <w:pPr>
        <w:ind w:left="435"/>
        <w:rPr>
          <w:rFonts w:ascii="宋体" w:hAnsi="宋体"/>
        </w:rPr>
      </w:pPr>
      <w:r>
        <w:rPr>
          <w:rFonts w:hint="eastAsia" w:ascii="宋体" w:hAnsi="宋体"/>
        </w:rPr>
        <w:t>2.投标人将按招标文件的规定履行合同责任和义务。</w:t>
      </w:r>
    </w:p>
    <w:p w14:paraId="1B4A36F2">
      <w:pPr>
        <w:ind w:firstLine="420" w:firstLineChars="200"/>
        <w:rPr>
          <w:rFonts w:ascii="宋体" w:hAnsi="宋体"/>
        </w:rPr>
      </w:pPr>
      <w:r>
        <w:rPr>
          <w:rFonts w:hint="eastAsia" w:ascii="宋体" w:hAnsi="宋体"/>
        </w:rPr>
        <w:t>3.投标人已详细审查全部招标文件，包括修改文件（如有的话）以及全部参考资料和有关附件，我们完全理解并同意放弃对这方面有不明及误解的权利。</w:t>
      </w:r>
    </w:p>
    <w:p w14:paraId="60DD2BBC">
      <w:pPr>
        <w:ind w:left="435"/>
        <w:rPr>
          <w:rFonts w:ascii="宋体" w:hAnsi="宋体"/>
        </w:rPr>
      </w:pPr>
      <w:r>
        <w:rPr>
          <w:rFonts w:hint="eastAsia"/>
          <w:szCs w:val="21"/>
        </w:rPr>
        <w:t>4.投标有效期：自投标截止之日起至合同签署日一直有效</w:t>
      </w:r>
      <w:r>
        <w:rPr>
          <w:rFonts w:hint="eastAsia" w:ascii="宋体" w:hAnsi="宋体"/>
          <w:szCs w:val="21"/>
        </w:rPr>
        <w:t>。</w:t>
      </w:r>
    </w:p>
    <w:p w14:paraId="77AC6BDE">
      <w:pPr>
        <w:ind w:firstLine="420" w:firstLineChars="200"/>
        <w:rPr>
          <w:rFonts w:ascii="宋体" w:hAnsi="宋体"/>
        </w:rPr>
      </w:pPr>
      <w:r>
        <w:rPr>
          <w:rFonts w:hint="eastAsia" w:ascii="宋体" w:hAnsi="宋体"/>
        </w:rPr>
        <w:t>5.投标人同意提供贵方要求的可能与投标有关的一切数据和资料，完全理解贵方不一定要接受最低价的投标或收到的任何投标。</w:t>
      </w:r>
    </w:p>
    <w:p w14:paraId="6CE24970">
      <w:pPr>
        <w:ind w:firstLine="420" w:firstLineChars="200"/>
        <w:rPr>
          <w:rFonts w:ascii="宋体" w:hAnsi="宋体"/>
        </w:rPr>
      </w:pPr>
      <w:r>
        <w:rPr>
          <w:rFonts w:hint="eastAsia" w:ascii="宋体" w:hAnsi="宋体"/>
        </w:rPr>
        <w:t>6.投标人承诺所提供的所有数据和资料均真实有效，如存在虚报情况，投标人愿为此承担一切法律责任，并主动退出本项目竞标。</w:t>
      </w:r>
    </w:p>
    <w:p w14:paraId="4A995030">
      <w:pPr>
        <w:ind w:left="435"/>
        <w:rPr>
          <w:rFonts w:ascii="宋体" w:hAnsi="宋体"/>
        </w:rPr>
      </w:pPr>
      <w:r>
        <w:rPr>
          <w:rFonts w:hint="eastAsia" w:ascii="宋体" w:hAnsi="宋体"/>
        </w:rPr>
        <w:t>7.与本投标有关的一切正式往来通讯请寄：</w:t>
      </w:r>
    </w:p>
    <w:p w14:paraId="1EAE8FEE">
      <w:pPr>
        <w:ind w:left="795"/>
        <w:rPr>
          <w:rFonts w:ascii="宋体" w:hAnsi="宋体"/>
        </w:rPr>
      </w:pPr>
      <w:r>
        <w:rPr>
          <w:rFonts w:hint="eastAsia" w:ascii="宋体" w:hAnsi="宋体"/>
        </w:rPr>
        <w:t>地址：                                   邮编：</w:t>
      </w:r>
    </w:p>
    <w:p w14:paraId="1BCC5593">
      <w:pPr>
        <w:ind w:left="795"/>
        <w:rPr>
          <w:rFonts w:ascii="宋体" w:hAnsi="宋体"/>
        </w:rPr>
      </w:pPr>
      <w:r>
        <w:rPr>
          <w:rFonts w:hint="eastAsia" w:ascii="宋体" w:hAnsi="宋体"/>
        </w:rPr>
        <w:t>电话：                                   传真：</w:t>
      </w:r>
    </w:p>
    <w:p w14:paraId="15680086">
      <w:pPr>
        <w:ind w:left="795"/>
      </w:pPr>
    </w:p>
    <w:p w14:paraId="3010C71E">
      <w:pPr>
        <w:ind w:left="795"/>
      </w:pPr>
    </w:p>
    <w:p w14:paraId="3FAC7A4A">
      <w:pPr>
        <w:pStyle w:val="111"/>
      </w:pPr>
    </w:p>
    <w:p w14:paraId="77AAF397">
      <w:pPr>
        <w:pStyle w:val="111"/>
      </w:pPr>
    </w:p>
    <w:p w14:paraId="35EDB55D">
      <w:pPr>
        <w:spacing w:line="480" w:lineRule="auto"/>
        <w:ind w:left="795"/>
      </w:pPr>
      <w:r>
        <w:rPr>
          <w:rFonts w:hint="eastAsia"/>
        </w:rPr>
        <w:t>投标人授权代表签字：                 职务：                 日期：</w:t>
      </w:r>
    </w:p>
    <w:p w14:paraId="2BDE24FD">
      <w:pPr>
        <w:spacing w:line="480" w:lineRule="auto"/>
        <w:ind w:left="795"/>
      </w:pPr>
      <w:r>
        <w:rPr>
          <w:rFonts w:hint="eastAsia"/>
        </w:rPr>
        <w:t>投标人名称（及公章）：</w:t>
      </w:r>
    </w:p>
    <w:p w14:paraId="325DBB39">
      <w:pPr>
        <w:spacing w:line="480" w:lineRule="auto"/>
        <w:ind w:left="795"/>
      </w:pPr>
      <w:r>
        <w:rPr>
          <w:rFonts w:hint="eastAsia"/>
        </w:rPr>
        <w:t>日期：        年       月       日</w:t>
      </w:r>
    </w:p>
    <w:p w14:paraId="0B0B21A0">
      <w:pPr>
        <w:rPr>
          <w:rFonts w:ascii="黑体" w:eastAsia="黑体"/>
          <w:sz w:val="30"/>
        </w:rPr>
      </w:pPr>
    </w:p>
    <w:p w14:paraId="7269E975">
      <w:pPr>
        <w:rPr>
          <w:rFonts w:ascii="黑体" w:eastAsia="黑体"/>
          <w:sz w:val="30"/>
        </w:rPr>
      </w:pPr>
    </w:p>
    <w:p w14:paraId="53E65E0C">
      <w:pPr>
        <w:rPr>
          <w:rFonts w:ascii="黑体" w:eastAsia="黑体"/>
          <w:sz w:val="30"/>
        </w:rPr>
      </w:pPr>
    </w:p>
    <w:p w14:paraId="37C4E98F">
      <w:pPr>
        <w:rPr>
          <w:rFonts w:ascii="黑体" w:eastAsia="黑体"/>
          <w:sz w:val="30"/>
        </w:rPr>
      </w:pPr>
    </w:p>
    <w:p w14:paraId="34F62B94">
      <w:pPr>
        <w:rPr>
          <w:rFonts w:eastAsia="黑体"/>
          <w:b/>
          <w:bCs/>
          <w:sz w:val="28"/>
        </w:rPr>
      </w:pPr>
      <w:r>
        <w:rPr>
          <w:rFonts w:ascii="黑体" w:eastAsia="黑体"/>
          <w:sz w:val="30"/>
        </w:rPr>
        <w:br w:type="page"/>
      </w:r>
      <w:r>
        <w:rPr>
          <w:rFonts w:hint="eastAsia" w:eastAsia="黑体"/>
          <w:b/>
          <w:bCs/>
          <w:sz w:val="28"/>
        </w:rPr>
        <w:t>格式2</w:t>
      </w:r>
    </w:p>
    <w:p w14:paraId="221B7315">
      <w:pPr>
        <w:rPr>
          <w:rFonts w:ascii="宋体" w:hAnsi="宋体"/>
        </w:rPr>
      </w:pPr>
      <w:r>
        <w:rPr>
          <w:rFonts w:hint="eastAsia" w:ascii="宋体" w:hAnsi="宋体"/>
        </w:rPr>
        <w:t>项目名称：</w:t>
      </w:r>
      <w:r>
        <w:rPr>
          <w:rFonts w:ascii="宋体" w:hAnsi="宋体"/>
        </w:rPr>
        <w:t xml:space="preserve"> </w:t>
      </w:r>
    </w:p>
    <w:p w14:paraId="2C871400">
      <w:pPr>
        <w:rPr>
          <w:rFonts w:ascii="宋体" w:hAnsi="宋体"/>
          <w:szCs w:val="21"/>
        </w:rPr>
      </w:pPr>
      <w:r>
        <w:rPr>
          <w:rFonts w:hint="eastAsia" w:ascii="宋体" w:hAnsi="宋体"/>
          <w:szCs w:val="21"/>
        </w:rPr>
        <w:t>日期：  年   月   日</w:t>
      </w:r>
    </w:p>
    <w:p w14:paraId="40FE05DD">
      <w:pPr>
        <w:jc w:val="center"/>
        <w:rPr>
          <w:rFonts w:ascii="黑体" w:eastAsia="黑体"/>
          <w:sz w:val="30"/>
        </w:rPr>
      </w:pPr>
      <w:r>
        <w:rPr>
          <w:rFonts w:hint="eastAsia" w:ascii="黑体" w:eastAsia="黑体"/>
          <w:sz w:val="30"/>
        </w:rPr>
        <w:t>投标文件目录</w:t>
      </w:r>
    </w:p>
    <w:tbl>
      <w:tblPr>
        <w:tblStyle w:val="30"/>
        <w:tblW w:w="86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265ED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D415443">
            <w:pPr>
              <w:jc w:val="center"/>
              <w:rPr>
                <w:sz w:val="28"/>
              </w:rPr>
            </w:pPr>
            <w:r>
              <w:rPr>
                <w:rFonts w:hint="eastAsia"/>
                <w:sz w:val="28"/>
              </w:rPr>
              <w:t>序号</w:t>
            </w:r>
          </w:p>
        </w:tc>
        <w:tc>
          <w:tcPr>
            <w:tcW w:w="6520" w:type="dxa"/>
            <w:vAlign w:val="center"/>
          </w:tcPr>
          <w:p w14:paraId="5F9FA67C">
            <w:pPr>
              <w:jc w:val="center"/>
              <w:rPr>
                <w:sz w:val="28"/>
              </w:rPr>
            </w:pPr>
            <w:r>
              <w:rPr>
                <w:rFonts w:hint="eastAsia"/>
                <w:sz w:val="28"/>
              </w:rPr>
              <w:t>主要内容</w:t>
            </w:r>
          </w:p>
        </w:tc>
        <w:tc>
          <w:tcPr>
            <w:tcW w:w="1276" w:type="dxa"/>
            <w:vAlign w:val="center"/>
          </w:tcPr>
          <w:p w14:paraId="77AD3B54">
            <w:pPr>
              <w:jc w:val="center"/>
              <w:rPr>
                <w:sz w:val="28"/>
              </w:rPr>
            </w:pPr>
            <w:r>
              <w:rPr>
                <w:rFonts w:hint="eastAsia"/>
                <w:sz w:val="28"/>
              </w:rPr>
              <w:t>索引</w:t>
            </w:r>
          </w:p>
        </w:tc>
      </w:tr>
      <w:tr w14:paraId="459D3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02A43E5">
            <w:pPr>
              <w:jc w:val="center"/>
            </w:pPr>
          </w:p>
        </w:tc>
        <w:tc>
          <w:tcPr>
            <w:tcW w:w="6520" w:type="dxa"/>
            <w:vAlign w:val="center"/>
          </w:tcPr>
          <w:p w14:paraId="0F58F8BB">
            <w:pPr>
              <w:jc w:val="center"/>
            </w:pPr>
          </w:p>
        </w:tc>
        <w:tc>
          <w:tcPr>
            <w:tcW w:w="1276" w:type="dxa"/>
            <w:vAlign w:val="center"/>
          </w:tcPr>
          <w:p w14:paraId="337545B6">
            <w:pPr>
              <w:jc w:val="center"/>
            </w:pPr>
          </w:p>
        </w:tc>
      </w:tr>
      <w:tr w14:paraId="6715A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C3D9216">
            <w:pPr>
              <w:jc w:val="center"/>
            </w:pPr>
          </w:p>
        </w:tc>
        <w:tc>
          <w:tcPr>
            <w:tcW w:w="6520" w:type="dxa"/>
            <w:vAlign w:val="center"/>
          </w:tcPr>
          <w:p w14:paraId="550C53C2">
            <w:pPr>
              <w:jc w:val="center"/>
            </w:pPr>
          </w:p>
        </w:tc>
        <w:tc>
          <w:tcPr>
            <w:tcW w:w="1276" w:type="dxa"/>
            <w:vAlign w:val="center"/>
          </w:tcPr>
          <w:p w14:paraId="780195C6">
            <w:pPr>
              <w:jc w:val="center"/>
            </w:pPr>
          </w:p>
        </w:tc>
      </w:tr>
      <w:tr w14:paraId="3ABC6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5DEFEB5">
            <w:pPr>
              <w:jc w:val="center"/>
            </w:pPr>
          </w:p>
        </w:tc>
        <w:tc>
          <w:tcPr>
            <w:tcW w:w="6520" w:type="dxa"/>
            <w:vAlign w:val="center"/>
          </w:tcPr>
          <w:p w14:paraId="6A8C1491">
            <w:pPr>
              <w:jc w:val="center"/>
            </w:pPr>
          </w:p>
        </w:tc>
        <w:tc>
          <w:tcPr>
            <w:tcW w:w="1276" w:type="dxa"/>
            <w:vAlign w:val="center"/>
          </w:tcPr>
          <w:p w14:paraId="2CFBC95E">
            <w:pPr>
              <w:jc w:val="center"/>
            </w:pPr>
          </w:p>
        </w:tc>
      </w:tr>
      <w:tr w14:paraId="52430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F0F24DB">
            <w:pPr>
              <w:jc w:val="center"/>
            </w:pPr>
          </w:p>
        </w:tc>
        <w:tc>
          <w:tcPr>
            <w:tcW w:w="6520" w:type="dxa"/>
            <w:vAlign w:val="center"/>
          </w:tcPr>
          <w:p w14:paraId="5DA9E6C6">
            <w:pPr>
              <w:jc w:val="center"/>
            </w:pPr>
          </w:p>
        </w:tc>
        <w:tc>
          <w:tcPr>
            <w:tcW w:w="1276" w:type="dxa"/>
            <w:vAlign w:val="center"/>
          </w:tcPr>
          <w:p w14:paraId="6217CBD7">
            <w:pPr>
              <w:jc w:val="center"/>
            </w:pPr>
          </w:p>
        </w:tc>
      </w:tr>
      <w:tr w14:paraId="2F761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82409CA">
            <w:pPr>
              <w:jc w:val="center"/>
            </w:pPr>
          </w:p>
        </w:tc>
        <w:tc>
          <w:tcPr>
            <w:tcW w:w="6520" w:type="dxa"/>
            <w:vAlign w:val="center"/>
          </w:tcPr>
          <w:p w14:paraId="69DC271F">
            <w:pPr>
              <w:jc w:val="center"/>
            </w:pPr>
          </w:p>
        </w:tc>
        <w:tc>
          <w:tcPr>
            <w:tcW w:w="1276" w:type="dxa"/>
            <w:vAlign w:val="center"/>
          </w:tcPr>
          <w:p w14:paraId="5EBED633">
            <w:pPr>
              <w:jc w:val="center"/>
            </w:pPr>
          </w:p>
        </w:tc>
      </w:tr>
      <w:tr w14:paraId="717F6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F8AA3CD">
            <w:pPr>
              <w:jc w:val="center"/>
            </w:pPr>
          </w:p>
        </w:tc>
        <w:tc>
          <w:tcPr>
            <w:tcW w:w="6520" w:type="dxa"/>
            <w:vAlign w:val="center"/>
          </w:tcPr>
          <w:p w14:paraId="4169A6AF">
            <w:pPr>
              <w:jc w:val="center"/>
            </w:pPr>
          </w:p>
        </w:tc>
        <w:tc>
          <w:tcPr>
            <w:tcW w:w="1276" w:type="dxa"/>
            <w:vAlign w:val="center"/>
          </w:tcPr>
          <w:p w14:paraId="737FBE4B">
            <w:pPr>
              <w:jc w:val="center"/>
            </w:pPr>
          </w:p>
        </w:tc>
      </w:tr>
      <w:tr w14:paraId="554CF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CB7939C">
            <w:pPr>
              <w:jc w:val="center"/>
            </w:pPr>
          </w:p>
        </w:tc>
        <w:tc>
          <w:tcPr>
            <w:tcW w:w="6520" w:type="dxa"/>
            <w:vAlign w:val="center"/>
          </w:tcPr>
          <w:p w14:paraId="65DCCC80">
            <w:pPr>
              <w:jc w:val="center"/>
            </w:pPr>
          </w:p>
        </w:tc>
        <w:tc>
          <w:tcPr>
            <w:tcW w:w="1276" w:type="dxa"/>
            <w:vAlign w:val="center"/>
          </w:tcPr>
          <w:p w14:paraId="5E1EB7AD">
            <w:pPr>
              <w:jc w:val="center"/>
            </w:pPr>
          </w:p>
        </w:tc>
      </w:tr>
      <w:tr w14:paraId="743C5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9DAAC76">
            <w:pPr>
              <w:jc w:val="center"/>
            </w:pPr>
          </w:p>
        </w:tc>
        <w:tc>
          <w:tcPr>
            <w:tcW w:w="6520" w:type="dxa"/>
            <w:vAlign w:val="center"/>
          </w:tcPr>
          <w:p w14:paraId="5B8310A2">
            <w:pPr>
              <w:jc w:val="center"/>
            </w:pPr>
          </w:p>
        </w:tc>
        <w:tc>
          <w:tcPr>
            <w:tcW w:w="1276" w:type="dxa"/>
            <w:vAlign w:val="center"/>
          </w:tcPr>
          <w:p w14:paraId="700AF87B">
            <w:pPr>
              <w:jc w:val="center"/>
            </w:pPr>
          </w:p>
        </w:tc>
      </w:tr>
      <w:tr w14:paraId="7CD71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71F6606">
            <w:pPr>
              <w:jc w:val="center"/>
            </w:pPr>
          </w:p>
        </w:tc>
        <w:tc>
          <w:tcPr>
            <w:tcW w:w="6520" w:type="dxa"/>
            <w:vAlign w:val="center"/>
          </w:tcPr>
          <w:p w14:paraId="746208D3">
            <w:pPr>
              <w:jc w:val="center"/>
            </w:pPr>
          </w:p>
        </w:tc>
        <w:tc>
          <w:tcPr>
            <w:tcW w:w="1276" w:type="dxa"/>
            <w:vAlign w:val="center"/>
          </w:tcPr>
          <w:p w14:paraId="77D72FBE">
            <w:pPr>
              <w:jc w:val="center"/>
            </w:pPr>
          </w:p>
        </w:tc>
      </w:tr>
      <w:tr w14:paraId="6570E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2E64229">
            <w:pPr>
              <w:jc w:val="center"/>
            </w:pPr>
          </w:p>
        </w:tc>
        <w:tc>
          <w:tcPr>
            <w:tcW w:w="6520" w:type="dxa"/>
            <w:vAlign w:val="center"/>
          </w:tcPr>
          <w:p w14:paraId="51E7BE2C">
            <w:pPr>
              <w:jc w:val="center"/>
            </w:pPr>
          </w:p>
        </w:tc>
        <w:tc>
          <w:tcPr>
            <w:tcW w:w="1276" w:type="dxa"/>
            <w:vAlign w:val="center"/>
          </w:tcPr>
          <w:p w14:paraId="0CAA60B4">
            <w:pPr>
              <w:jc w:val="center"/>
            </w:pPr>
          </w:p>
        </w:tc>
      </w:tr>
      <w:tr w14:paraId="796E1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939E692">
            <w:pPr>
              <w:jc w:val="center"/>
            </w:pPr>
          </w:p>
        </w:tc>
        <w:tc>
          <w:tcPr>
            <w:tcW w:w="6520" w:type="dxa"/>
            <w:vAlign w:val="center"/>
          </w:tcPr>
          <w:p w14:paraId="3A81BD99">
            <w:pPr>
              <w:jc w:val="center"/>
            </w:pPr>
          </w:p>
        </w:tc>
        <w:tc>
          <w:tcPr>
            <w:tcW w:w="1276" w:type="dxa"/>
            <w:vAlign w:val="center"/>
          </w:tcPr>
          <w:p w14:paraId="2FEDA394">
            <w:pPr>
              <w:jc w:val="center"/>
            </w:pPr>
          </w:p>
        </w:tc>
      </w:tr>
      <w:tr w14:paraId="61DD5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EAF6BCD">
            <w:pPr>
              <w:jc w:val="center"/>
            </w:pPr>
          </w:p>
        </w:tc>
        <w:tc>
          <w:tcPr>
            <w:tcW w:w="6520" w:type="dxa"/>
            <w:vAlign w:val="center"/>
          </w:tcPr>
          <w:p w14:paraId="60E8F72B">
            <w:pPr>
              <w:jc w:val="center"/>
            </w:pPr>
          </w:p>
        </w:tc>
        <w:tc>
          <w:tcPr>
            <w:tcW w:w="1276" w:type="dxa"/>
            <w:vAlign w:val="center"/>
          </w:tcPr>
          <w:p w14:paraId="568C19EA">
            <w:pPr>
              <w:jc w:val="center"/>
            </w:pPr>
          </w:p>
        </w:tc>
      </w:tr>
    </w:tbl>
    <w:p w14:paraId="78EA6DD9">
      <w:pPr>
        <w:rPr>
          <w:rFonts w:ascii="宋体" w:hAnsi="宋体"/>
          <w:sz w:val="24"/>
          <w:szCs w:val="24"/>
        </w:rPr>
      </w:pPr>
      <w:r>
        <w:rPr>
          <w:rFonts w:hint="eastAsia" w:ascii="宋体" w:hAnsi="宋体"/>
          <w:sz w:val="24"/>
          <w:szCs w:val="24"/>
        </w:rPr>
        <w:t>投标人名称（盖章）：              法定代表人或授权代表签字：</w:t>
      </w:r>
    </w:p>
    <w:p w14:paraId="3F79D742">
      <w:pPr>
        <w:rPr>
          <w:rFonts w:ascii="宋体" w:hAnsi="宋体"/>
          <w:sz w:val="24"/>
        </w:rPr>
      </w:pPr>
    </w:p>
    <w:p w14:paraId="58800AE4">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422F5D25">
      <w:pPr>
        <w:ind w:firstLine="480"/>
        <w:rPr>
          <w:rFonts w:ascii="宋体" w:hAnsi="宋体"/>
          <w:sz w:val="24"/>
        </w:rPr>
      </w:pPr>
      <w:r>
        <w:rPr>
          <w:rFonts w:hint="eastAsia" w:ascii="宋体" w:hAnsi="宋体"/>
          <w:sz w:val="24"/>
        </w:rPr>
        <w:t>2．“索引”一栏填写该主要内容对应于投标文件的“条款号/页号”。</w:t>
      </w:r>
    </w:p>
    <w:p w14:paraId="0C08F853">
      <w:pPr>
        <w:ind w:firstLine="480"/>
        <w:rPr>
          <w:rFonts w:ascii="宋体" w:hAnsi="宋体"/>
          <w:sz w:val="24"/>
        </w:rPr>
      </w:pPr>
    </w:p>
    <w:p w14:paraId="11BDF40C">
      <w:pPr>
        <w:rPr>
          <w:rFonts w:eastAsia="黑体"/>
          <w:b/>
          <w:bCs/>
          <w:sz w:val="28"/>
        </w:rPr>
      </w:pPr>
      <w:r>
        <w:rPr>
          <w:rFonts w:hint="eastAsia" w:eastAsia="黑体"/>
          <w:b/>
          <w:bCs/>
          <w:sz w:val="28"/>
        </w:rPr>
        <w:br w:type="page"/>
      </w:r>
    </w:p>
    <w:p w14:paraId="069B347E">
      <w:pPr>
        <w:rPr>
          <w:rFonts w:eastAsia="黑体"/>
          <w:b/>
          <w:bCs/>
          <w:sz w:val="28"/>
        </w:rPr>
      </w:pPr>
      <w:r>
        <w:rPr>
          <w:rFonts w:hint="eastAsia" w:eastAsia="黑体"/>
          <w:b/>
          <w:bCs/>
          <w:sz w:val="28"/>
        </w:rPr>
        <w:t>格式3</w:t>
      </w:r>
    </w:p>
    <w:p w14:paraId="58117D95">
      <w:pPr>
        <w:rPr>
          <w:rFonts w:ascii="宋体" w:hAnsi="宋体"/>
        </w:rPr>
      </w:pPr>
      <w:r>
        <w:rPr>
          <w:rFonts w:hint="eastAsia" w:ascii="宋体" w:hAnsi="宋体"/>
        </w:rPr>
        <w:t>项目名称：</w:t>
      </w:r>
      <w:r>
        <w:rPr>
          <w:rFonts w:ascii="宋体" w:hAnsi="宋体"/>
        </w:rPr>
        <w:t xml:space="preserve"> </w:t>
      </w:r>
    </w:p>
    <w:p w14:paraId="0DDEA457">
      <w:pPr>
        <w:adjustRightInd w:val="0"/>
        <w:snapToGrid w:val="0"/>
        <w:spacing w:line="540" w:lineRule="exact"/>
        <w:jc w:val="center"/>
        <w:rPr>
          <w:rFonts w:hint="eastAsia" w:ascii="仿宋" w:hAnsi="仿宋" w:eastAsia="仿宋"/>
          <w:b/>
          <w:sz w:val="40"/>
          <w:szCs w:val="44"/>
        </w:rPr>
      </w:pPr>
      <w:r>
        <w:rPr>
          <w:rFonts w:hint="eastAsia" w:ascii="仿宋" w:hAnsi="仿宋" w:eastAsia="仿宋"/>
          <w:b/>
          <w:sz w:val="40"/>
          <w:szCs w:val="44"/>
          <w:lang w:val="en-US" w:eastAsia="zh-CN"/>
        </w:rPr>
        <w:t>开标一览</w:t>
      </w:r>
      <w:r>
        <w:rPr>
          <w:rFonts w:hint="eastAsia" w:ascii="仿宋" w:hAnsi="仿宋" w:eastAsia="仿宋"/>
          <w:b/>
          <w:sz w:val="40"/>
          <w:szCs w:val="44"/>
        </w:rPr>
        <w:t>表</w:t>
      </w:r>
    </w:p>
    <w:p w14:paraId="7A98F9DF">
      <w:pPr>
        <w:adjustRightInd w:val="0"/>
        <w:snapToGrid w:val="0"/>
        <w:spacing w:line="540" w:lineRule="exact"/>
        <w:ind w:firstLine="480" w:firstLineChars="200"/>
        <w:jc w:val="left"/>
        <w:rPr>
          <w:rFonts w:hint="eastAsia" w:ascii="仿宋" w:hAnsi="仿宋" w:eastAsia="仿宋"/>
          <w:sz w:val="24"/>
          <w:szCs w:val="28"/>
        </w:rPr>
      </w:pPr>
      <w:r>
        <w:rPr>
          <w:rFonts w:hint="eastAsia" w:ascii="仿宋" w:hAnsi="仿宋" w:eastAsia="仿宋"/>
          <w:sz w:val="24"/>
          <w:szCs w:val="28"/>
        </w:rPr>
        <w:t>投标单位</w:t>
      </w:r>
      <w:r>
        <w:rPr>
          <w:rFonts w:ascii="仿宋" w:hAnsi="仿宋" w:eastAsia="仿宋"/>
          <w:sz w:val="24"/>
          <w:szCs w:val="28"/>
        </w:rPr>
        <w:t>(</w:t>
      </w:r>
      <w:r>
        <w:rPr>
          <w:rFonts w:hint="eastAsia" w:ascii="仿宋" w:hAnsi="仿宋" w:eastAsia="仿宋"/>
          <w:sz w:val="24"/>
          <w:szCs w:val="28"/>
        </w:rPr>
        <w:t>章</w:t>
      </w:r>
      <w:r>
        <w:rPr>
          <w:rFonts w:ascii="仿宋" w:hAnsi="仿宋" w:eastAsia="仿宋"/>
          <w:sz w:val="24"/>
          <w:szCs w:val="28"/>
        </w:rPr>
        <w:t>)</w:t>
      </w:r>
      <w:r>
        <w:rPr>
          <w:rFonts w:hint="eastAsia" w:ascii="仿宋" w:hAnsi="仿宋" w:eastAsia="仿宋"/>
          <w:sz w:val="24"/>
          <w:szCs w:val="28"/>
        </w:rPr>
        <w:t>：                                                     项目名称：</w:t>
      </w:r>
    </w:p>
    <w:tbl>
      <w:tblPr>
        <w:tblStyle w:val="30"/>
        <w:tblW w:w="0" w:type="auto"/>
        <w:jc w:val="center"/>
        <w:tblLayout w:type="autofit"/>
        <w:tblCellMar>
          <w:top w:w="0" w:type="dxa"/>
          <w:left w:w="108" w:type="dxa"/>
          <w:bottom w:w="0" w:type="dxa"/>
          <w:right w:w="108" w:type="dxa"/>
        </w:tblCellMar>
      </w:tblPr>
      <w:tblGrid>
        <w:gridCol w:w="619"/>
        <w:gridCol w:w="985"/>
        <w:gridCol w:w="619"/>
        <w:gridCol w:w="619"/>
        <w:gridCol w:w="1388"/>
        <w:gridCol w:w="2566"/>
        <w:gridCol w:w="909"/>
        <w:gridCol w:w="240"/>
        <w:gridCol w:w="1341"/>
      </w:tblGrid>
      <w:tr w14:paraId="105ABE3C">
        <w:tblPrEx>
          <w:tblCellMar>
            <w:top w:w="0" w:type="dxa"/>
            <w:left w:w="108" w:type="dxa"/>
            <w:bottom w:w="0" w:type="dxa"/>
            <w:right w:w="108" w:type="dxa"/>
          </w:tblCellMar>
        </w:tblPrEx>
        <w:trPr>
          <w:gridAfter w:val="2"/>
          <w:wAfter w:w="1581" w:type="dxa"/>
          <w:trHeight w:val="1005" w:hRule="atLeast"/>
          <w:jc w:val="center"/>
        </w:trPr>
        <w:tc>
          <w:tcPr>
            <w:tcW w:w="0" w:type="auto"/>
            <w:tcBorders>
              <w:top w:val="single" w:color="auto" w:sz="8" w:space="0"/>
              <w:left w:val="single" w:color="auto" w:sz="8" w:space="0"/>
              <w:bottom w:val="single" w:color="auto" w:sz="8" w:space="0"/>
              <w:right w:val="single" w:color="auto" w:sz="8" w:space="0"/>
            </w:tcBorders>
            <w:noWrap w:val="0"/>
            <w:vAlign w:val="center"/>
          </w:tcPr>
          <w:p w14:paraId="0437A69B">
            <w:pPr>
              <w:widowControl/>
              <w:jc w:val="both"/>
              <w:rPr>
                <w:rFonts w:ascii="仿宋" w:hAnsi="仿宋" w:eastAsia="仿宋" w:cs="宋体"/>
                <w:color w:val="000000"/>
                <w:kern w:val="0"/>
                <w:sz w:val="22"/>
                <w:szCs w:val="22"/>
              </w:rPr>
            </w:pPr>
            <w:r>
              <w:rPr>
                <w:rFonts w:hint="eastAsia" w:ascii="仿宋" w:hAnsi="仿宋" w:eastAsia="仿宋" w:cs="宋体"/>
                <w:color w:val="000000"/>
                <w:kern w:val="0"/>
                <w:sz w:val="22"/>
                <w:szCs w:val="22"/>
              </w:rPr>
              <w:t>序号</w:t>
            </w:r>
          </w:p>
        </w:tc>
        <w:tc>
          <w:tcPr>
            <w:tcW w:w="0" w:type="auto"/>
            <w:tcBorders>
              <w:top w:val="single" w:color="auto" w:sz="8" w:space="0"/>
              <w:left w:val="nil"/>
              <w:bottom w:val="single" w:color="auto" w:sz="8" w:space="0"/>
              <w:right w:val="nil"/>
            </w:tcBorders>
            <w:noWrap w:val="0"/>
            <w:vAlign w:val="center"/>
          </w:tcPr>
          <w:p w14:paraId="66C390C1">
            <w:pPr>
              <w:widowControl/>
              <w:jc w:val="both"/>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项目名称</w:t>
            </w:r>
          </w:p>
        </w:tc>
        <w:tc>
          <w:tcPr>
            <w:tcW w:w="0" w:type="auto"/>
            <w:tcBorders>
              <w:top w:val="single" w:color="auto" w:sz="8" w:space="0"/>
              <w:left w:val="single" w:color="auto" w:sz="8" w:space="0"/>
              <w:bottom w:val="single" w:color="auto" w:sz="8" w:space="0"/>
              <w:right w:val="single" w:color="auto" w:sz="8" w:space="0"/>
            </w:tcBorders>
            <w:noWrap w:val="0"/>
            <w:vAlign w:val="center"/>
          </w:tcPr>
          <w:p w14:paraId="1B3F2C57">
            <w:pPr>
              <w:widowControl/>
              <w:jc w:val="both"/>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单位</w:t>
            </w:r>
          </w:p>
        </w:tc>
        <w:tc>
          <w:tcPr>
            <w:tcW w:w="0" w:type="auto"/>
            <w:tcBorders>
              <w:top w:val="single" w:color="auto" w:sz="8" w:space="0"/>
              <w:left w:val="nil"/>
              <w:bottom w:val="single" w:color="auto" w:sz="8" w:space="0"/>
              <w:right w:val="single" w:color="auto" w:sz="8" w:space="0"/>
            </w:tcBorders>
            <w:noWrap w:val="0"/>
            <w:vAlign w:val="center"/>
          </w:tcPr>
          <w:p w14:paraId="7B150439">
            <w:pPr>
              <w:widowControl/>
              <w:jc w:val="both"/>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数量</w:t>
            </w:r>
          </w:p>
        </w:tc>
        <w:tc>
          <w:tcPr>
            <w:tcW w:w="0" w:type="auto"/>
            <w:tcBorders>
              <w:top w:val="single" w:color="auto" w:sz="8" w:space="0"/>
              <w:left w:val="nil"/>
              <w:bottom w:val="single" w:color="auto" w:sz="8" w:space="0"/>
              <w:right w:val="single" w:color="auto" w:sz="8" w:space="0"/>
            </w:tcBorders>
            <w:noWrap w:val="0"/>
            <w:vAlign w:val="center"/>
          </w:tcPr>
          <w:p w14:paraId="5FB5D233">
            <w:pPr>
              <w:widowControl/>
              <w:jc w:val="both"/>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lang w:val="en-US" w:eastAsia="zh-CN"/>
              </w:rPr>
              <w:t>总</w:t>
            </w:r>
            <w:r>
              <w:rPr>
                <w:rFonts w:hint="eastAsia" w:ascii="仿宋" w:hAnsi="仿宋" w:eastAsia="仿宋" w:cs="宋体"/>
                <w:color w:val="000000"/>
                <w:kern w:val="0"/>
                <w:sz w:val="22"/>
                <w:szCs w:val="22"/>
              </w:rPr>
              <w:t>价（未税）</w:t>
            </w:r>
          </w:p>
        </w:tc>
        <w:tc>
          <w:tcPr>
            <w:tcW w:w="2566" w:type="dxa"/>
            <w:tcBorders>
              <w:top w:val="single" w:color="auto" w:sz="8" w:space="0"/>
              <w:left w:val="nil"/>
              <w:bottom w:val="single" w:color="auto" w:sz="8" w:space="0"/>
              <w:right w:val="single" w:color="auto" w:sz="8" w:space="0"/>
            </w:tcBorders>
            <w:noWrap w:val="0"/>
            <w:vAlign w:val="center"/>
          </w:tcPr>
          <w:p w14:paraId="437D0E16">
            <w:pPr>
              <w:widowControl/>
              <w:jc w:val="both"/>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总价（含税）</w:t>
            </w:r>
          </w:p>
        </w:tc>
        <w:tc>
          <w:tcPr>
            <w:tcW w:w="909" w:type="dxa"/>
            <w:tcBorders>
              <w:top w:val="single" w:color="auto" w:sz="8" w:space="0"/>
              <w:left w:val="nil"/>
              <w:bottom w:val="single" w:color="auto" w:sz="8" w:space="0"/>
              <w:right w:val="single" w:color="auto" w:sz="8" w:space="0"/>
            </w:tcBorders>
            <w:noWrap w:val="0"/>
            <w:vAlign w:val="center"/>
          </w:tcPr>
          <w:p w14:paraId="4D291849">
            <w:pPr>
              <w:widowControl/>
              <w:jc w:val="both"/>
              <w:rPr>
                <w:rFonts w:hint="default" w:ascii="仿宋" w:hAnsi="仿宋" w:eastAsia="仿宋" w:cs="宋体"/>
                <w:color w:val="000000"/>
                <w:kern w:val="0"/>
                <w:sz w:val="22"/>
                <w:szCs w:val="22"/>
                <w:lang w:val="en-US" w:eastAsia="zh-CN"/>
              </w:rPr>
            </w:pPr>
            <w:r>
              <w:rPr>
                <w:rFonts w:hint="eastAsia" w:ascii="仿宋" w:hAnsi="仿宋" w:eastAsia="仿宋" w:cs="宋体"/>
                <w:color w:val="000000"/>
                <w:kern w:val="0"/>
                <w:sz w:val="22"/>
                <w:szCs w:val="22"/>
                <w:lang w:val="en-US" w:eastAsia="zh-CN"/>
              </w:rPr>
              <w:t>商务及技术条款是否偏离</w:t>
            </w:r>
          </w:p>
        </w:tc>
      </w:tr>
      <w:tr w14:paraId="5B46A2E9">
        <w:tblPrEx>
          <w:tblCellMar>
            <w:top w:w="0" w:type="dxa"/>
            <w:left w:w="108" w:type="dxa"/>
            <w:bottom w:w="0" w:type="dxa"/>
            <w:right w:w="108" w:type="dxa"/>
          </w:tblCellMar>
        </w:tblPrEx>
        <w:trPr>
          <w:gridAfter w:val="2"/>
          <w:wAfter w:w="1581" w:type="dxa"/>
          <w:trHeight w:val="660" w:hRule="atLeast"/>
          <w:jc w:val="center"/>
        </w:trPr>
        <w:tc>
          <w:tcPr>
            <w:tcW w:w="0" w:type="auto"/>
            <w:vMerge w:val="restart"/>
            <w:tcBorders>
              <w:top w:val="nil"/>
              <w:left w:val="single" w:color="auto" w:sz="8" w:space="0"/>
              <w:bottom w:val="single" w:color="000000" w:sz="8" w:space="0"/>
              <w:right w:val="single" w:color="auto" w:sz="8" w:space="0"/>
            </w:tcBorders>
            <w:noWrap w:val="0"/>
            <w:vAlign w:val="center"/>
          </w:tcPr>
          <w:p w14:paraId="2B131769">
            <w:pPr>
              <w:widowControl/>
              <w:jc w:val="both"/>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1</w:t>
            </w:r>
          </w:p>
        </w:tc>
        <w:tc>
          <w:tcPr>
            <w:tcW w:w="0" w:type="auto"/>
            <w:vMerge w:val="restart"/>
            <w:tcBorders>
              <w:top w:val="nil"/>
              <w:left w:val="single" w:color="auto" w:sz="8" w:space="0"/>
              <w:bottom w:val="single" w:color="000000" w:sz="8" w:space="0"/>
              <w:right w:val="single" w:color="auto" w:sz="8" w:space="0"/>
            </w:tcBorders>
            <w:noWrap w:val="0"/>
            <w:vAlign w:val="center"/>
          </w:tcPr>
          <w:p w14:paraId="3D842B57">
            <w:pPr>
              <w:widowControl/>
              <w:jc w:val="both"/>
              <w:rPr>
                <w:rFonts w:hint="eastAsia" w:ascii="仿宋" w:hAnsi="仿宋" w:eastAsia="仿宋" w:cs="宋体"/>
                <w:color w:val="000000"/>
                <w:kern w:val="0"/>
                <w:sz w:val="22"/>
                <w:szCs w:val="22"/>
              </w:rPr>
            </w:pPr>
          </w:p>
        </w:tc>
        <w:tc>
          <w:tcPr>
            <w:tcW w:w="0" w:type="auto"/>
            <w:vMerge w:val="restart"/>
            <w:tcBorders>
              <w:top w:val="nil"/>
              <w:left w:val="single" w:color="auto" w:sz="8" w:space="0"/>
              <w:bottom w:val="single" w:color="000000" w:sz="8" w:space="0"/>
              <w:right w:val="single" w:color="auto" w:sz="8" w:space="0"/>
            </w:tcBorders>
            <w:noWrap w:val="0"/>
            <w:vAlign w:val="center"/>
          </w:tcPr>
          <w:p w14:paraId="264F8060">
            <w:pPr>
              <w:widowControl/>
              <w:jc w:val="both"/>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项</w:t>
            </w:r>
          </w:p>
        </w:tc>
        <w:tc>
          <w:tcPr>
            <w:tcW w:w="0" w:type="auto"/>
            <w:vMerge w:val="restart"/>
            <w:tcBorders>
              <w:top w:val="nil"/>
              <w:left w:val="single" w:color="auto" w:sz="8" w:space="0"/>
              <w:bottom w:val="single" w:color="000000" w:sz="8" w:space="0"/>
              <w:right w:val="single" w:color="auto" w:sz="8" w:space="0"/>
            </w:tcBorders>
            <w:noWrap w:val="0"/>
            <w:vAlign w:val="center"/>
          </w:tcPr>
          <w:p w14:paraId="2EF5D43E">
            <w:pPr>
              <w:widowControl/>
              <w:jc w:val="both"/>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1</w:t>
            </w:r>
          </w:p>
        </w:tc>
        <w:tc>
          <w:tcPr>
            <w:tcW w:w="0" w:type="auto"/>
            <w:vMerge w:val="restart"/>
            <w:tcBorders>
              <w:top w:val="nil"/>
              <w:left w:val="single" w:color="auto" w:sz="8" w:space="0"/>
              <w:bottom w:val="single" w:color="000000" w:sz="8" w:space="0"/>
              <w:right w:val="single" w:color="auto" w:sz="8" w:space="0"/>
            </w:tcBorders>
            <w:noWrap w:val="0"/>
            <w:vAlign w:val="center"/>
          </w:tcPr>
          <w:p w14:paraId="16D3D49E">
            <w:pPr>
              <w:widowControl/>
              <w:jc w:val="both"/>
              <w:rPr>
                <w:rFonts w:hint="eastAsia" w:ascii="仿宋" w:hAnsi="仿宋" w:eastAsia="仿宋" w:cs="宋体"/>
                <w:color w:val="000000"/>
                <w:kern w:val="0"/>
                <w:sz w:val="22"/>
                <w:szCs w:val="22"/>
              </w:rPr>
            </w:pPr>
          </w:p>
        </w:tc>
        <w:tc>
          <w:tcPr>
            <w:tcW w:w="2566" w:type="dxa"/>
            <w:vMerge w:val="restart"/>
            <w:tcBorders>
              <w:top w:val="nil"/>
              <w:left w:val="single" w:color="auto" w:sz="8" w:space="0"/>
              <w:bottom w:val="single" w:color="000000" w:sz="8" w:space="0"/>
              <w:right w:val="single" w:color="auto" w:sz="8" w:space="0"/>
            </w:tcBorders>
            <w:noWrap w:val="0"/>
            <w:vAlign w:val="center"/>
          </w:tcPr>
          <w:p w14:paraId="175297C7">
            <w:pPr>
              <w:widowControl/>
              <w:jc w:val="both"/>
              <w:rPr>
                <w:rFonts w:hint="eastAsia" w:ascii="仿宋" w:hAnsi="仿宋" w:eastAsia="仿宋" w:cs="宋体"/>
                <w:color w:val="000000"/>
                <w:kern w:val="0"/>
                <w:sz w:val="22"/>
                <w:szCs w:val="22"/>
              </w:rPr>
            </w:pPr>
          </w:p>
        </w:tc>
        <w:tc>
          <w:tcPr>
            <w:tcW w:w="909" w:type="dxa"/>
            <w:vMerge w:val="restart"/>
            <w:tcBorders>
              <w:top w:val="nil"/>
              <w:left w:val="single" w:color="auto" w:sz="8" w:space="0"/>
              <w:right w:val="single" w:color="auto" w:sz="8" w:space="0"/>
            </w:tcBorders>
            <w:noWrap w:val="0"/>
            <w:vAlign w:val="center"/>
          </w:tcPr>
          <w:p w14:paraId="60AEBC6D">
            <w:pPr>
              <w:widowControl/>
              <w:jc w:val="both"/>
              <w:rPr>
                <w:rFonts w:hint="eastAsia" w:ascii="仿宋" w:hAnsi="仿宋" w:eastAsia="仿宋" w:cs="宋体"/>
                <w:color w:val="000000"/>
                <w:kern w:val="0"/>
                <w:sz w:val="22"/>
                <w:szCs w:val="22"/>
              </w:rPr>
            </w:pPr>
          </w:p>
        </w:tc>
      </w:tr>
      <w:tr w14:paraId="406A3CAA">
        <w:tblPrEx>
          <w:tblCellMar>
            <w:top w:w="0" w:type="dxa"/>
            <w:left w:w="108" w:type="dxa"/>
            <w:bottom w:w="0" w:type="dxa"/>
            <w:right w:w="108" w:type="dxa"/>
          </w:tblCellMar>
        </w:tblPrEx>
        <w:trPr>
          <w:gridAfter w:val="1"/>
          <w:wAfter w:w="1341" w:type="dxa"/>
          <w:trHeight w:val="675" w:hRule="atLeast"/>
          <w:jc w:val="center"/>
        </w:trPr>
        <w:tc>
          <w:tcPr>
            <w:tcW w:w="0" w:type="auto"/>
            <w:vMerge w:val="continue"/>
            <w:tcBorders>
              <w:top w:val="nil"/>
              <w:left w:val="single" w:color="auto" w:sz="8" w:space="0"/>
              <w:bottom w:val="single" w:color="000000" w:sz="8" w:space="0"/>
              <w:right w:val="single" w:color="auto" w:sz="8" w:space="0"/>
            </w:tcBorders>
            <w:noWrap w:val="0"/>
            <w:vAlign w:val="center"/>
          </w:tcPr>
          <w:p w14:paraId="074577BE">
            <w:pPr>
              <w:widowControl/>
              <w:jc w:val="both"/>
              <w:rPr>
                <w:rFonts w:ascii="仿宋" w:hAnsi="仿宋" w:eastAsia="仿宋" w:cs="宋体"/>
                <w:color w:val="000000"/>
                <w:kern w:val="0"/>
                <w:sz w:val="22"/>
                <w:szCs w:val="22"/>
              </w:rPr>
            </w:pPr>
          </w:p>
        </w:tc>
        <w:tc>
          <w:tcPr>
            <w:tcW w:w="0" w:type="auto"/>
            <w:vMerge w:val="continue"/>
            <w:tcBorders>
              <w:top w:val="nil"/>
              <w:left w:val="single" w:color="auto" w:sz="8" w:space="0"/>
              <w:bottom w:val="single" w:color="000000" w:sz="8" w:space="0"/>
              <w:right w:val="single" w:color="auto" w:sz="8" w:space="0"/>
            </w:tcBorders>
            <w:noWrap w:val="0"/>
            <w:vAlign w:val="center"/>
          </w:tcPr>
          <w:p w14:paraId="567FA26A">
            <w:pPr>
              <w:widowControl/>
              <w:jc w:val="both"/>
              <w:rPr>
                <w:rFonts w:ascii="仿宋" w:hAnsi="仿宋" w:eastAsia="仿宋" w:cs="宋体"/>
                <w:color w:val="000000"/>
                <w:kern w:val="0"/>
                <w:sz w:val="22"/>
                <w:szCs w:val="22"/>
              </w:rPr>
            </w:pPr>
          </w:p>
        </w:tc>
        <w:tc>
          <w:tcPr>
            <w:tcW w:w="0" w:type="auto"/>
            <w:vMerge w:val="continue"/>
            <w:tcBorders>
              <w:top w:val="nil"/>
              <w:left w:val="single" w:color="auto" w:sz="8" w:space="0"/>
              <w:bottom w:val="single" w:color="000000" w:sz="8" w:space="0"/>
              <w:right w:val="single" w:color="auto" w:sz="8" w:space="0"/>
            </w:tcBorders>
            <w:noWrap w:val="0"/>
            <w:vAlign w:val="center"/>
          </w:tcPr>
          <w:p w14:paraId="7447E88E">
            <w:pPr>
              <w:widowControl/>
              <w:jc w:val="both"/>
              <w:rPr>
                <w:rFonts w:ascii="仿宋" w:hAnsi="仿宋" w:eastAsia="仿宋" w:cs="宋体"/>
                <w:color w:val="000000"/>
                <w:kern w:val="0"/>
                <w:sz w:val="22"/>
                <w:szCs w:val="22"/>
              </w:rPr>
            </w:pPr>
          </w:p>
        </w:tc>
        <w:tc>
          <w:tcPr>
            <w:tcW w:w="0" w:type="auto"/>
            <w:vMerge w:val="continue"/>
            <w:tcBorders>
              <w:top w:val="nil"/>
              <w:left w:val="single" w:color="auto" w:sz="8" w:space="0"/>
              <w:bottom w:val="single" w:color="000000" w:sz="8" w:space="0"/>
              <w:right w:val="single" w:color="auto" w:sz="8" w:space="0"/>
            </w:tcBorders>
            <w:noWrap w:val="0"/>
            <w:vAlign w:val="center"/>
          </w:tcPr>
          <w:p w14:paraId="228FF16C">
            <w:pPr>
              <w:widowControl/>
              <w:jc w:val="both"/>
              <w:rPr>
                <w:rFonts w:ascii="仿宋" w:hAnsi="仿宋" w:eastAsia="仿宋" w:cs="宋体"/>
                <w:color w:val="000000"/>
                <w:kern w:val="0"/>
                <w:sz w:val="22"/>
                <w:szCs w:val="22"/>
              </w:rPr>
            </w:pPr>
          </w:p>
        </w:tc>
        <w:tc>
          <w:tcPr>
            <w:tcW w:w="0" w:type="auto"/>
            <w:vMerge w:val="continue"/>
            <w:tcBorders>
              <w:top w:val="nil"/>
              <w:left w:val="single" w:color="auto" w:sz="8" w:space="0"/>
              <w:bottom w:val="single" w:color="000000" w:sz="8" w:space="0"/>
              <w:right w:val="single" w:color="auto" w:sz="8" w:space="0"/>
            </w:tcBorders>
            <w:noWrap w:val="0"/>
            <w:vAlign w:val="center"/>
          </w:tcPr>
          <w:p w14:paraId="1CD5B2C2">
            <w:pPr>
              <w:widowControl/>
              <w:jc w:val="both"/>
              <w:rPr>
                <w:rFonts w:ascii="仿宋" w:hAnsi="仿宋" w:eastAsia="仿宋" w:cs="宋体"/>
                <w:color w:val="000000"/>
                <w:kern w:val="0"/>
                <w:sz w:val="22"/>
                <w:szCs w:val="22"/>
              </w:rPr>
            </w:pPr>
          </w:p>
        </w:tc>
        <w:tc>
          <w:tcPr>
            <w:tcW w:w="2566" w:type="dxa"/>
            <w:vMerge w:val="continue"/>
            <w:tcBorders>
              <w:top w:val="nil"/>
              <w:left w:val="single" w:color="auto" w:sz="8" w:space="0"/>
              <w:bottom w:val="single" w:color="000000" w:sz="8" w:space="0"/>
              <w:right w:val="single" w:color="auto" w:sz="8" w:space="0"/>
            </w:tcBorders>
            <w:noWrap w:val="0"/>
            <w:vAlign w:val="center"/>
          </w:tcPr>
          <w:p w14:paraId="44E2FA32">
            <w:pPr>
              <w:widowControl/>
              <w:jc w:val="both"/>
              <w:rPr>
                <w:rFonts w:ascii="仿宋" w:hAnsi="仿宋" w:eastAsia="仿宋" w:cs="宋体"/>
                <w:color w:val="000000"/>
                <w:kern w:val="0"/>
                <w:sz w:val="22"/>
                <w:szCs w:val="22"/>
              </w:rPr>
            </w:pPr>
          </w:p>
        </w:tc>
        <w:tc>
          <w:tcPr>
            <w:tcW w:w="909" w:type="dxa"/>
            <w:vMerge w:val="continue"/>
            <w:tcBorders>
              <w:left w:val="single" w:color="auto" w:sz="8" w:space="0"/>
              <w:bottom w:val="single" w:color="000000" w:sz="8" w:space="0"/>
              <w:right w:val="single" w:color="auto" w:sz="8" w:space="0"/>
            </w:tcBorders>
            <w:noWrap w:val="0"/>
            <w:vAlign w:val="center"/>
          </w:tcPr>
          <w:p w14:paraId="6DBA7A93">
            <w:pPr>
              <w:widowControl/>
              <w:jc w:val="both"/>
              <w:rPr>
                <w:rFonts w:ascii="仿宋" w:hAnsi="仿宋" w:eastAsia="仿宋" w:cs="宋体"/>
                <w:color w:val="000000"/>
                <w:kern w:val="0"/>
                <w:sz w:val="22"/>
                <w:szCs w:val="22"/>
              </w:rPr>
            </w:pPr>
          </w:p>
        </w:tc>
        <w:tc>
          <w:tcPr>
            <w:tcW w:w="240" w:type="dxa"/>
            <w:tcBorders>
              <w:top w:val="nil"/>
              <w:left w:val="nil"/>
              <w:bottom w:val="nil"/>
              <w:right w:val="nil"/>
            </w:tcBorders>
            <w:noWrap/>
            <w:vAlign w:val="bottom"/>
          </w:tcPr>
          <w:p w14:paraId="280F69E8">
            <w:pPr>
              <w:widowControl/>
              <w:jc w:val="center"/>
              <w:rPr>
                <w:rFonts w:hint="eastAsia" w:ascii="仿宋" w:hAnsi="仿宋" w:eastAsia="仿宋" w:cs="宋体"/>
                <w:color w:val="000000"/>
                <w:kern w:val="0"/>
                <w:sz w:val="22"/>
                <w:szCs w:val="22"/>
              </w:rPr>
            </w:pPr>
          </w:p>
        </w:tc>
      </w:tr>
      <w:tr w14:paraId="1927B646">
        <w:tblPrEx>
          <w:tblCellMar>
            <w:top w:w="0" w:type="dxa"/>
            <w:left w:w="108" w:type="dxa"/>
            <w:bottom w:w="0" w:type="dxa"/>
            <w:right w:w="108" w:type="dxa"/>
          </w:tblCellMar>
        </w:tblPrEx>
        <w:trPr>
          <w:trHeight w:val="923" w:hRule="atLeast"/>
          <w:jc w:val="center"/>
        </w:trPr>
        <w:tc>
          <w:tcPr>
            <w:tcW w:w="7587" w:type="dxa"/>
            <w:gridSpan w:val="7"/>
            <w:tcBorders>
              <w:top w:val="single" w:color="auto" w:sz="8" w:space="0"/>
              <w:left w:val="single" w:color="auto" w:sz="8" w:space="0"/>
              <w:bottom w:val="single" w:color="auto" w:sz="8" w:space="0"/>
              <w:right w:val="single" w:color="000000" w:sz="8" w:space="0"/>
            </w:tcBorders>
            <w:noWrap w:val="0"/>
            <w:vAlign w:val="center"/>
          </w:tcPr>
          <w:p w14:paraId="4E02BF9B">
            <w:pPr>
              <w:widowControl/>
              <w:jc w:val="both"/>
              <w:rPr>
                <w:rFonts w:ascii="仿宋" w:hAnsi="仿宋" w:eastAsia="仿宋" w:cs="宋体"/>
                <w:color w:val="000000"/>
                <w:kern w:val="0"/>
                <w:sz w:val="22"/>
                <w:szCs w:val="22"/>
              </w:rPr>
            </w:pPr>
            <w:r>
              <w:rPr>
                <w:rFonts w:hint="eastAsia" w:ascii="仿宋" w:hAnsi="仿宋" w:eastAsia="仿宋" w:cs="宋体"/>
                <w:color w:val="000000"/>
                <w:kern w:val="0"/>
                <w:sz w:val="22"/>
                <w:szCs w:val="22"/>
              </w:rPr>
              <w:t>合  计：               （含税）</w:t>
            </w:r>
          </w:p>
        </w:tc>
        <w:tc>
          <w:tcPr>
            <w:tcW w:w="1581" w:type="dxa"/>
            <w:gridSpan w:val="2"/>
            <w:noWrap w:val="0"/>
            <w:vAlign w:val="center"/>
          </w:tcPr>
          <w:p w14:paraId="12674B9A">
            <w:pPr>
              <w:widowControl/>
              <w:jc w:val="left"/>
              <w:rPr>
                <w:rFonts w:eastAsia="Times New Roman"/>
                <w:kern w:val="0"/>
                <w:sz w:val="20"/>
                <w:szCs w:val="20"/>
              </w:rPr>
            </w:pPr>
          </w:p>
        </w:tc>
      </w:tr>
      <w:tr w14:paraId="2F540F0A">
        <w:tblPrEx>
          <w:tblCellMar>
            <w:top w:w="0" w:type="dxa"/>
            <w:left w:w="108" w:type="dxa"/>
            <w:bottom w:w="0" w:type="dxa"/>
            <w:right w:w="108" w:type="dxa"/>
          </w:tblCellMar>
        </w:tblPrEx>
        <w:trPr>
          <w:trHeight w:val="932" w:hRule="atLeast"/>
          <w:jc w:val="center"/>
        </w:trPr>
        <w:tc>
          <w:tcPr>
            <w:tcW w:w="7587" w:type="dxa"/>
            <w:gridSpan w:val="7"/>
            <w:tcBorders>
              <w:top w:val="single" w:color="auto" w:sz="8" w:space="0"/>
              <w:left w:val="single" w:color="auto" w:sz="8" w:space="0"/>
              <w:bottom w:val="single" w:color="auto" w:sz="8" w:space="0"/>
              <w:right w:val="single" w:color="000000" w:sz="8" w:space="0"/>
            </w:tcBorders>
            <w:noWrap w:val="0"/>
            <w:vAlign w:val="center"/>
          </w:tcPr>
          <w:p w14:paraId="56A26A48">
            <w:pPr>
              <w:widowControl/>
              <w:jc w:val="both"/>
              <w:rPr>
                <w:rFonts w:hint="eastAsia" w:ascii="仿宋" w:hAnsi="仿宋" w:eastAsia="仿宋" w:cs="宋体"/>
                <w:color w:val="000000"/>
                <w:kern w:val="0"/>
                <w:sz w:val="22"/>
                <w:szCs w:val="22"/>
              </w:rPr>
            </w:pPr>
            <w:r>
              <w:rPr>
                <w:rFonts w:hint="eastAsia" w:ascii="仿宋" w:hAnsi="仿宋" w:eastAsia="仿宋" w:cs="宋体"/>
                <w:color w:val="000000"/>
                <w:kern w:val="0"/>
                <w:sz w:val="22"/>
                <w:szCs w:val="22"/>
              </w:rPr>
              <w:t>投标总价(大写)：</w:t>
            </w:r>
          </w:p>
        </w:tc>
        <w:tc>
          <w:tcPr>
            <w:tcW w:w="1581" w:type="dxa"/>
            <w:gridSpan w:val="2"/>
            <w:noWrap w:val="0"/>
            <w:vAlign w:val="center"/>
          </w:tcPr>
          <w:p w14:paraId="7E55577E">
            <w:pPr>
              <w:widowControl/>
              <w:jc w:val="left"/>
              <w:rPr>
                <w:rFonts w:eastAsia="Times New Roman"/>
                <w:kern w:val="0"/>
                <w:sz w:val="20"/>
                <w:szCs w:val="20"/>
              </w:rPr>
            </w:pPr>
          </w:p>
        </w:tc>
      </w:tr>
    </w:tbl>
    <w:p w14:paraId="379D7B97">
      <w:pPr>
        <w:pStyle w:val="2"/>
        <w:spacing w:line="460" w:lineRule="exact"/>
        <w:rPr>
          <w:rFonts w:ascii="宋体" w:hAnsi="宋体"/>
          <w:b/>
          <w:bCs/>
        </w:rPr>
      </w:pPr>
    </w:p>
    <w:p w14:paraId="267380FA">
      <w:pPr>
        <w:pStyle w:val="2"/>
        <w:spacing w:line="460" w:lineRule="exact"/>
        <w:rPr>
          <w:rFonts w:ascii="宋体" w:hAnsi="宋体"/>
        </w:rPr>
      </w:pPr>
      <w:r>
        <w:rPr>
          <w:rFonts w:hint="eastAsia" w:ascii="宋体" w:hAnsi="宋体"/>
          <w:b/>
          <w:bCs/>
        </w:rPr>
        <w:t>注：</w:t>
      </w:r>
    </w:p>
    <w:p w14:paraId="34434AEA">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14:paraId="617D923A">
      <w:pPr>
        <w:spacing w:line="360" w:lineRule="auto"/>
        <w:rPr>
          <w:rFonts w:ascii="宋体" w:hAnsi="宋体"/>
          <w:b/>
          <w:bCs/>
        </w:rPr>
      </w:pPr>
      <w:r>
        <w:rPr>
          <w:rFonts w:hint="eastAsia" w:ascii="宋体" w:hAnsi="宋体"/>
          <w:b/>
          <w:bCs/>
        </w:rPr>
        <w:t>2、本表除附在投标文件中外，还应一式贰份单独密封，以便唱标。</w:t>
      </w:r>
    </w:p>
    <w:p w14:paraId="0751DC99">
      <w:pPr>
        <w:spacing w:line="360" w:lineRule="auto"/>
        <w:rPr>
          <w:rFonts w:ascii="宋体" w:hAnsi="宋体"/>
          <w:sz w:val="24"/>
        </w:rPr>
      </w:pPr>
      <w:r>
        <w:rPr>
          <w:rFonts w:hint="eastAsia" w:ascii="宋体" w:hAnsi="宋体"/>
          <w:sz w:val="24"/>
        </w:rPr>
        <w:t>投标人：（盖章）</w:t>
      </w:r>
    </w:p>
    <w:p w14:paraId="10B7B4B5">
      <w:pPr>
        <w:spacing w:line="360" w:lineRule="auto"/>
        <w:rPr>
          <w:rFonts w:ascii="宋体" w:hAnsi="宋体"/>
          <w:sz w:val="24"/>
        </w:rPr>
      </w:pPr>
      <w:r>
        <w:rPr>
          <w:rFonts w:hint="eastAsia" w:ascii="宋体" w:hAnsi="宋体"/>
          <w:sz w:val="24"/>
        </w:rPr>
        <w:t>法定代表人（授权代表）：（签字）</w:t>
      </w:r>
    </w:p>
    <w:p w14:paraId="7E75D71A">
      <w:pPr>
        <w:spacing w:line="360" w:lineRule="auto"/>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98054CE">
      <w:pPr>
        <w:rPr>
          <w:rFonts w:ascii="宋体" w:hAnsi="宋体"/>
          <w:sz w:val="24"/>
        </w:rPr>
      </w:pPr>
      <w:r>
        <w:rPr>
          <w:rFonts w:hint="eastAsia" w:ascii="宋体" w:hAnsi="宋体"/>
          <w:sz w:val="24"/>
        </w:rPr>
        <w:br w:type="page"/>
      </w:r>
    </w:p>
    <w:p w14:paraId="456F3619">
      <w:pPr>
        <w:rPr>
          <w:rFonts w:ascii="仿宋_GB2312" w:hAnsi="宋体" w:eastAsia="仿宋_GB2312"/>
          <w:sz w:val="24"/>
        </w:rPr>
      </w:pPr>
    </w:p>
    <w:p w14:paraId="59B9B657">
      <w:pPr>
        <w:rPr>
          <w:rFonts w:ascii="仿宋_GB2312" w:hAnsi="宋体" w:eastAsia="仿宋_GB2312"/>
          <w:sz w:val="24"/>
        </w:rPr>
      </w:pPr>
    </w:p>
    <w:p w14:paraId="2D9601C6">
      <w:pPr>
        <w:rPr>
          <w:rFonts w:ascii="仿宋_GB2312" w:hAnsi="宋体" w:eastAsia="仿宋_GB2312"/>
          <w:sz w:val="24"/>
        </w:rPr>
      </w:pPr>
    </w:p>
    <w:p w14:paraId="602D8823">
      <w:pPr>
        <w:rPr>
          <w:rFonts w:ascii="仿宋_GB2312" w:hAnsi="宋体" w:eastAsia="仿宋_GB2312"/>
          <w:sz w:val="24"/>
        </w:rPr>
      </w:pPr>
    </w:p>
    <w:p w14:paraId="1DED7A8F">
      <w:pPr>
        <w:rPr>
          <w:rFonts w:eastAsia="黑体"/>
          <w:b/>
          <w:bCs/>
          <w:sz w:val="28"/>
        </w:rPr>
      </w:pPr>
      <w:bookmarkStart w:id="1397" w:name="_Hlk70069772"/>
    </w:p>
    <w:p w14:paraId="4C33DE6A">
      <w:r>
        <w:rPr>
          <w:rFonts w:hint="eastAsia" w:ascii="宋体" w:hAnsi="宋体"/>
        </w:rPr>
        <w:t>项目名称：</w:t>
      </w:r>
      <w:r>
        <w:t xml:space="preserve"> </w:t>
      </w:r>
    </w:p>
    <w:p w14:paraId="2C715FF5"/>
    <w:p w14:paraId="6F81B6E3">
      <w:pPr>
        <w:rPr>
          <w:rFonts w:ascii="宋体" w:hAnsi="宋体"/>
          <w:szCs w:val="21"/>
        </w:rPr>
      </w:pPr>
      <w:r>
        <w:rPr>
          <w:rFonts w:hint="eastAsia" w:ascii="宋体" w:hAnsi="宋体"/>
          <w:szCs w:val="21"/>
        </w:rPr>
        <w:t>日期：  年   月   日</w:t>
      </w:r>
    </w:p>
    <w:p w14:paraId="029481E9">
      <w:pPr>
        <w:jc w:val="center"/>
        <w:rPr>
          <w:rFonts w:eastAsia="黑体"/>
          <w:b/>
          <w:bCs/>
          <w:sz w:val="28"/>
        </w:rPr>
      </w:pPr>
    </w:p>
    <w:p w14:paraId="705AB67B">
      <w:pPr>
        <w:jc w:val="center"/>
        <w:rPr>
          <w:rFonts w:eastAsia="黑体"/>
          <w:b/>
          <w:bCs/>
          <w:sz w:val="28"/>
        </w:rPr>
      </w:pPr>
      <w:r>
        <w:rPr>
          <w:rFonts w:hint="eastAsia" w:eastAsia="黑体"/>
          <w:b/>
          <w:bCs/>
          <w:sz w:val="28"/>
        </w:rPr>
        <w:t>相关条款偏离表（含商务偏离及技术偏离）</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723D5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3DA695A3">
            <w:pPr>
              <w:jc w:val="center"/>
              <w:rPr>
                <w:rFonts w:ascii="宋体" w:hAnsi="宋体"/>
                <w:sz w:val="24"/>
              </w:rPr>
            </w:pPr>
            <w:r>
              <w:rPr>
                <w:rFonts w:hint="eastAsia" w:ascii="宋体" w:hAnsi="宋体"/>
                <w:sz w:val="24"/>
              </w:rPr>
              <w:t>序号</w:t>
            </w:r>
          </w:p>
        </w:tc>
        <w:tc>
          <w:tcPr>
            <w:tcW w:w="4140" w:type="dxa"/>
            <w:gridSpan w:val="2"/>
            <w:vAlign w:val="center"/>
          </w:tcPr>
          <w:p w14:paraId="50538610">
            <w:pPr>
              <w:jc w:val="center"/>
              <w:rPr>
                <w:rFonts w:ascii="宋体" w:hAnsi="宋体"/>
                <w:sz w:val="24"/>
              </w:rPr>
            </w:pPr>
            <w:r>
              <w:rPr>
                <w:rFonts w:hint="eastAsia" w:ascii="宋体" w:hAnsi="宋体"/>
                <w:sz w:val="24"/>
              </w:rPr>
              <w:t>招标文件条款</w:t>
            </w:r>
          </w:p>
        </w:tc>
        <w:tc>
          <w:tcPr>
            <w:tcW w:w="3554" w:type="dxa"/>
            <w:vMerge w:val="restart"/>
            <w:vAlign w:val="center"/>
          </w:tcPr>
          <w:p w14:paraId="02218800">
            <w:pPr>
              <w:jc w:val="center"/>
              <w:rPr>
                <w:rFonts w:ascii="宋体" w:hAnsi="宋体"/>
                <w:sz w:val="24"/>
              </w:rPr>
            </w:pPr>
            <w:r>
              <w:rPr>
                <w:rFonts w:hint="eastAsia" w:ascii="宋体" w:hAnsi="宋体"/>
                <w:sz w:val="24"/>
              </w:rPr>
              <w:t>偏离内容</w:t>
            </w:r>
          </w:p>
        </w:tc>
      </w:tr>
      <w:tr w14:paraId="7A263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053824BF">
            <w:pPr>
              <w:rPr>
                <w:rFonts w:ascii="宋体" w:hAnsi="宋体"/>
                <w:sz w:val="24"/>
              </w:rPr>
            </w:pPr>
          </w:p>
        </w:tc>
        <w:tc>
          <w:tcPr>
            <w:tcW w:w="1080" w:type="dxa"/>
            <w:vAlign w:val="center"/>
          </w:tcPr>
          <w:p w14:paraId="24577905">
            <w:pPr>
              <w:jc w:val="center"/>
              <w:rPr>
                <w:rFonts w:ascii="宋体" w:hAnsi="宋体"/>
                <w:sz w:val="24"/>
              </w:rPr>
            </w:pPr>
            <w:r>
              <w:rPr>
                <w:rFonts w:hint="eastAsia" w:ascii="宋体" w:hAnsi="宋体"/>
                <w:sz w:val="24"/>
              </w:rPr>
              <w:t>条款号</w:t>
            </w:r>
          </w:p>
        </w:tc>
        <w:tc>
          <w:tcPr>
            <w:tcW w:w="3060" w:type="dxa"/>
            <w:vAlign w:val="center"/>
          </w:tcPr>
          <w:p w14:paraId="1A099EF2">
            <w:pPr>
              <w:jc w:val="center"/>
              <w:rPr>
                <w:rFonts w:ascii="宋体" w:hAnsi="宋体"/>
                <w:sz w:val="24"/>
              </w:rPr>
            </w:pPr>
            <w:r>
              <w:rPr>
                <w:rFonts w:hint="eastAsia" w:ascii="宋体" w:hAnsi="宋体"/>
                <w:sz w:val="24"/>
              </w:rPr>
              <w:t>条款要求</w:t>
            </w:r>
          </w:p>
        </w:tc>
        <w:tc>
          <w:tcPr>
            <w:tcW w:w="3554" w:type="dxa"/>
            <w:vMerge w:val="continue"/>
            <w:vAlign w:val="center"/>
          </w:tcPr>
          <w:p w14:paraId="0323C0C7">
            <w:pPr>
              <w:jc w:val="center"/>
              <w:rPr>
                <w:rFonts w:ascii="宋体" w:hAnsi="宋体"/>
                <w:sz w:val="24"/>
              </w:rPr>
            </w:pPr>
          </w:p>
        </w:tc>
      </w:tr>
      <w:tr w14:paraId="41EF6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E773992">
            <w:pPr>
              <w:jc w:val="center"/>
              <w:rPr>
                <w:rFonts w:ascii="宋体" w:hAnsi="宋体"/>
                <w:sz w:val="24"/>
              </w:rPr>
            </w:pPr>
            <w:r>
              <w:rPr>
                <w:rFonts w:hint="eastAsia" w:ascii="宋体" w:hAnsi="宋体"/>
                <w:sz w:val="24"/>
              </w:rPr>
              <w:t>1</w:t>
            </w:r>
          </w:p>
        </w:tc>
        <w:tc>
          <w:tcPr>
            <w:tcW w:w="1080" w:type="dxa"/>
            <w:vAlign w:val="center"/>
          </w:tcPr>
          <w:p w14:paraId="04B1B4BD">
            <w:pPr>
              <w:rPr>
                <w:rFonts w:ascii="宋体" w:hAnsi="宋体"/>
                <w:sz w:val="24"/>
              </w:rPr>
            </w:pPr>
          </w:p>
        </w:tc>
        <w:tc>
          <w:tcPr>
            <w:tcW w:w="3060" w:type="dxa"/>
            <w:vAlign w:val="center"/>
          </w:tcPr>
          <w:p w14:paraId="1A125F5D">
            <w:pPr>
              <w:rPr>
                <w:rFonts w:ascii="宋体" w:hAnsi="宋体"/>
                <w:sz w:val="24"/>
              </w:rPr>
            </w:pPr>
          </w:p>
        </w:tc>
        <w:tc>
          <w:tcPr>
            <w:tcW w:w="3554" w:type="dxa"/>
            <w:vAlign w:val="center"/>
          </w:tcPr>
          <w:p w14:paraId="01DD74FE">
            <w:pPr>
              <w:rPr>
                <w:rFonts w:ascii="宋体" w:hAnsi="宋体"/>
                <w:sz w:val="24"/>
              </w:rPr>
            </w:pPr>
          </w:p>
        </w:tc>
      </w:tr>
      <w:tr w14:paraId="34320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3FD8EC">
            <w:pPr>
              <w:jc w:val="center"/>
              <w:rPr>
                <w:rFonts w:ascii="宋体" w:hAnsi="宋体"/>
                <w:sz w:val="24"/>
              </w:rPr>
            </w:pPr>
            <w:r>
              <w:rPr>
                <w:rFonts w:hint="eastAsia" w:ascii="宋体" w:hAnsi="宋体"/>
                <w:sz w:val="24"/>
              </w:rPr>
              <w:t>2</w:t>
            </w:r>
          </w:p>
        </w:tc>
        <w:tc>
          <w:tcPr>
            <w:tcW w:w="1080" w:type="dxa"/>
            <w:vAlign w:val="center"/>
          </w:tcPr>
          <w:p w14:paraId="79C52B98">
            <w:pPr>
              <w:rPr>
                <w:rFonts w:ascii="宋体" w:hAnsi="宋体"/>
                <w:sz w:val="24"/>
              </w:rPr>
            </w:pPr>
          </w:p>
        </w:tc>
        <w:tc>
          <w:tcPr>
            <w:tcW w:w="3060" w:type="dxa"/>
            <w:vAlign w:val="center"/>
          </w:tcPr>
          <w:p w14:paraId="0C8EEE3C">
            <w:pPr>
              <w:rPr>
                <w:rFonts w:ascii="宋体" w:hAnsi="宋体"/>
                <w:sz w:val="24"/>
              </w:rPr>
            </w:pPr>
          </w:p>
        </w:tc>
        <w:tc>
          <w:tcPr>
            <w:tcW w:w="3554" w:type="dxa"/>
            <w:vAlign w:val="center"/>
          </w:tcPr>
          <w:p w14:paraId="4BCF1767">
            <w:pPr>
              <w:rPr>
                <w:rFonts w:ascii="宋体" w:hAnsi="宋体"/>
                <w:sz w:val="24"/>
              </w:rPr>
            </w:pPr>
          </w:p>
        </w:tc>
      </w:tr>
      <w:tr w14:paraId="17CBD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2C68F66">
            <w:pPr>
              <w:jc w:val="center"/>
              <w:rPr>
                <w:rFonts w:ascii="宋体" w:hAnsi="宋体"/>
                <w:sz w:val="24"/>
              </w:rPr>
            </w:pPr>
            <w:r>
              <w:rPr>
                <w:rFonts w:hint="eastAsia" w:ascii="宋体" w:hAnsi="宋体"/>
                <w:sz w:val="24"/>
              </w:rPr>
              <w:t>3</w:t>
            </w:r>
          </w:p>
        </w:tc>
        <w:tc>
          <w:tcPr>
            <w:tcW w:w="1080" w:type="dxa"/>
            <w:vAlign w:val="center"/>
          </w:tcPr>
          <w:p w14:paraId="66CDB1DB">
            <w:pPr>
              <w:rPr>
                <w:rFonts w:ascii="宋体" w:hAnsi="宋体"/>
                <w:sz w:val="24"/>
              </w:rPr>
            </w:pPr>
          </w:p>
        </w:tc>
        <w:tc>
          <w:tcPr>
            <w:tcW w:w="3060" w:type="dxa"/>
            <w:vAlign w:val="center"/>
          </w:tcPr>
          <w:p w14:paraId="18DCD6C3">
            <w:pPr>
              <w:rPr>
                <w:rFonts w:ascii="宋体" w:hAnsi="宋体"/>
                <w:sz w:val="24"/>
              </w:rPr>
            </w:pPr>
          </w:p>
        </w:tc>
        <w:tc>
          <w:tcPr>
            <w:tcW w:w="3554" w:type="dxa"/>
            <w:vAlign w:val="center"/>
          </w:tcPr>
          <w:p w14:paraId="689EF6CE">
            <w:pPr>
              <w:rPr>
                <w:rFonts w:ascii="宋体" w:hAnsi="宋体"/>
                <w:sz w:val="24"/>
              </w:rPr>
            </w:pPr>
          </w:p>
        </w:tc>
      </w:tr>
      <w:tr w14:paraId="7FFFA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F02AAEE">
            <w:pPr>
              <w:jc w:val="center"/>
              <w:rPr>
                <w:rFonts w:ascii="宋体" w:hAnsi="宋体"/>
                <w:sz w:val="24"/>
              </w:rPr>
            </w:pPr>
            <w:r>
              <w:rPr>
                <w:rFonts w:hint="eastAsia" w:ascii="宋体" w:hAnsi="宋体"/>
                <w:sz w:val="24"/>
              </w:rPr>
              <w:t>4</w:t>
            </w:r>
          </w:p>
        </w:tc>
        <w:tc>
          <w:tcPr>
            <w:tcW w:w="1080" w:type="dxa"/>
            <w:vAlign w:val="center"/>
          </w:tcPr>
          <w:p w14:paraId="7127A700">
            <w:pPr>
              <w:rPr>
                <w:rFonts w:ascii="宋体" w:hAnsi="宋体"/>
                <w:sz w:val="24"/>
              </w:rPr>
            </w:pPr>
          </w:p>
        </w:tc>
        <w:tc>
          <w:tcPr>
            <w:tcW w:w="3060" w:type="dxa"/>
            <w:vAlign w:val="center"/>
          </w:tcPr>
          <w:p w14:paraId="4DE97532">
            <w:pPr>
              <w:rPr>
                <w:rFonts w:ascii="宋体" w:hAnsi="宋体"/>
                <w:sz w:val="24"/>
              </w:rPr>
            </w:pPr>
          </w:p>
        </w:tc>
        <w:tc>
          <w:tcPr>
            <w:tcW w:w="3554" w:type="dxa"/>
            <w:vAlign w:val="center"/>
          </w:tcPr>
          <w:p w14:paraId="2F9B2078">
            <w:pPr>
              <w:rPr>
                <w:rFonts w:ascii="宋体" w:hAnsi="宋体"/>
                <w:sz w:val="24"/>
              </w:rPr>
            </w:pPr>
          </w:p>
        </w:tc>
      </w:tr>
      <w:tr w14:paraId="6157A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1EC893F">
            <w:pPr>
              <w:jc w:val="center"/>
              <w:rPr>
                <w:rFonts w:ascii="宋体" w:hAnsi="宋体"/>
                <w:sz w:val="24"/>
              </w:rPr>
            </w:pPr>
            <w:r>
              <w:rPr>
                <w:rFonts w:hint="eastAsia" w:ascii="宋体" w:hAnsi="宋体"/>
                <w:sz w:val="24"/>
              </w:rPr>
              <w:t>5</w:t>
            </w:r>
          </w:p>
        </w:tc>
        <w:tc>
          <w:tcPr>
            <w:tcW w:w="1080" w:type="dxa"/>
            <w:vAlign w:val="center"/>
          </w:tcPr>
          <w:p w14:paraId="7FD37B59">
            <w:pPr>
              <w:rPr>
                <w:rFonts w:ascii="宋体" w:hAnsi="宋体"/>
                <w:sz w:val="24"/>
              </w:rPr>
            </w:pPr>
          </w:p>
        </w:tc>
        <w:tc>
          <w:tcPr>
            <w:tcW w:w="3060" w:type="dxa"/>
            <w:vAlign w:val="center"/>
          </w:tcPr>
          <w:p w14:paraId="2964A6DA">
            <w:pPr>
              <w:rPr>
                <w:rFonts w:ascii="宋体" w:hAnsi="宋体"/>
                <w:sz w:val="24"/>
              </w:rPr>
            </w:pPr>
          </w:p>
        </w:tc>
        <w:tc>
          <w:tcPr>
            <w:tcW w:w="3554" w:type="dxa"/>
            <w:vAlign w:val="center"/>
          </w:tcPr>
          <w:p w14:paraId="64916131">
            <w:pPr>
              <w:rPr>
                <w:rFonts w:ascii="宋体" w:hAnsi="宋体"/>
                <w:sz w:val="24"/>
              </w:rPr>
            </w:pPr>
          </w:p>
        </w:tc>
      </w:tr>
      <w:tr w14:paraId="4F35C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22C8576">
            <w:pPr>
              <w:jc w:val="center"/>
              <w:rPr>
                <w:rFonts w:ascii="宋体" w:hAnsi="宋体"/>
                <w:sz w:val="24"/>
              </w:rPr>
            </w:pPr>
            <w:r>
              <w:rPr>
                <w:rFonts w:hint="eastAsia" w:ascii="宋体" w:hAnsi="宋体"/>
                <w:sz w:val="24"/>
              </w:rPr>
              <w:t>6</w:t>
            </w:r>
          </w:p>
        </w:tc>
        <w:tc>
          <w:tcPr>
            <w:tcW w:w="1080" w:type="dxa"/>
            <w:vAlign w:val="center"/>
          </w:tcPr>
          <w:p w14:paraId="7B5A45D2">
            <w:pPr>
              <w:rPr>
                <w:rFonts w:ascii="宋体" w:hAnsi="宋体"/>
                <w:sz w:val="24"/>
              </w:rPr>
            </w:pPr>
          </w:p>
        </w:tc>
        <w:tc>
          <w:tcPr>
            <w:tcW w:w="3060" w:type="dxa"/>
            <w:vAlign w:val="center"/>
          </w:tcPr>
          <w:p w14:paraId="4FD68114">
            <w:pPr>
              <w:rPr>
                <w:rFonts w:ascii="宋体" w:hAnsi="宋体"/>
                <w:sz w:val="24"/>
              </w:rPr>
            </w:pPr>
          </w:p>
        </w:tc>
        <w:tc>
          <w:tcPr>
            <w:tcW w:w="3554" w:type="dxa"/>
            <w:vAlign w:val="center"/>
          </w:tcPr>
          <w:p w14:paraId="0CB759FC">
            <w:pPr>
              <w:rPr>
                <w:rFonts w:ascii="宋体" w:hAnsi="宋体"/>
                <w:sz w:val="24"/>
              </w:rPr>
            </w:pPr>
          </w:p>
        </w:tc>
      </w:tr>
      <w:tr w14:paraId="3CDD7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9B2DC6A">
            <w:pPr>
              <w:jc w:val="center"/>
              <w:rPr>
                <w:rFonts w:ascii="宋体" w:hAnsi="宋体"/>
                <w:sz w:val="24"/>
              </w:rPr>
            </w:pPr>
            <w:r>
              <w:rPr>
                <w:rFonts w:hint="eastAsia" w:ascii="宋体" w:hAnsi="宋体"/>
                <w:sz w:val="24"/>
              </w:rPr>
              <w:t>7</w:t>
            </w:r>
          </w:p>
        </w:tc>
        <w:tc>
          <w:tcPr>
            <w:tcW w:w="1080" w:type="dxa"/>
            <w:vAlign w:val="center"/>
          </w:tcPr>
          <w:p w14:paraId="7F42BFAA">
            <w:pPr>
              <w:rPr>
                <w:rFonts w:ascii="宋体" w:hAnsi="宋体"/>
                <w:sz w:val="24"/>
              </w:rPr>
            </w:pPr>
          </w:p>
        </w:tc>
        <w:tc>
          <w:tcPr>
            <w:tcW w:w="3060" w:type="dxa"/>
            <w:vAlign w:val="center"/>
          </w:tcPr>
          <w:p w14:paraId="3D6D55E8">
            <w:pPr>
              <w:rPr>
                <w:rFonts w:ascii="宋体" w:hAnsi="宋体"/>
                <w:sz w:val="24"/>
              </w:rPr>
            </w:pPr>
          </w:p>
        </w:tc>
        <w:tc>
          <w:tcPr>
            <w:tcW w:w="3554" w:type="dxa"/>
            <w:vAlign w:val="center"/>
          </w:tcPr>
          <w:p w14:paraId="4CB8F95D">
            <w:pPr>
              <w:rPr>
                <w:rFonts w:ascii="宋体" w:hAnsi="宋体"/>
                <w:sz w:val="24"/>
              </w:rPr>
            </w:pPr>
          </w:p>
        </w:tc>
      </w:tr>
      <w:tr w14:paraId="6AFE0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5FB3B9C">
            <w:pPr>
              <w:jc w:val="center"/>
              <w:rPr>
                <w:rFonts w:ascii="宋体" w:hAnsi="宋体"/>
                <w:sz w:val="24"/>
              </w:rPr>
            </w:pPr>
            <w:r>
              <w:rPr>
                <w:rFonts w:hint="eastAsia" w:ascii="宋体" w:hAnsi="宋体"/>
                <w:sz w:val="24"/>
              </w:rPr>
              <w:t>8</w:t>
            </w:r>
          </w:p>
        </w:tc>
        <w:tc>
          <w:tcPr>
            <w:tcW w:w="1080" w:type="dxa"/>
            <w:vAlign w:val="center"/>
          </w:tcPr>
          <w:p w14:paraId="4541E386">
            <w:pPr>
              <w:rPr>
                <w:rFonts w:ascii="宋体" w:hAnsi="宋体"/>
                <w:sz w:val="24"/>
              </w:rPr>
            </w:pPr>
          </w:p>
        </w:tc>
        <w:tc>
          <w:tcPr>
            <w:tcW w:w="3060" w:type="dxa"/>
            <w:vAlign w:val="center"/>
          </w:tcPr>
          <w:p w14:paraId="3565C3E4">
            <w:pPr>
              <w:rPr>
                <w:rFonts w:ascii="宋体" w:hAnsi="宋体"/>
                <w:sz w:val="24"/>
              </w:rPr>
            </w:pPr>
          </w:p>
        </w:tc>
        <w:tc>
          <w:tcPr>
            <w:tcW w:w="3554" w:type="dxa"/>
            <w:vAlign w:val="center"/>
          </w:tcPr>
          <w:p w14:paraId="2BADEEC8">
            <w:pPr>
              <w:rPr>
                <w:rFonts w:ascii="宋体" w:hAnsi="宋体"/>
                <w:sz w:val="24"/>
              </w:rPr>
            </w:pPr>
          </w:p>
        </w:tc>
      </w:tr>
      <w:tr w14:paraId="1C77C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1D39D1D">
            <w:pPr>
              <w:jc w:val="center"/>
              <w:rPr>
                <w:rFonts w:ascii="宋体" w:hAnsi="宋体"/>
                <w:sz w:val="24"/>
              </w:rPr>
            </w:pPr>
            <w:r>
              <w:rPr>
                <w:rFonts w:hint="eastAsia" w:ascii="宋体" w:hAnsi="宋体"/>
                <w:sz w:val="24"/>
              </w:rPr>
              <w:t>9</w:t>
            </w:r>
          </w:p>
        </w:tc>
        <w:tc>
          <w:tcPr>
            <w:tcW w:w="1080" w:type="dxa"/>
            <w:vAlign w:val="center"/>
          </w:tcPr>
          <w:p w14:paraId="270E7B3B">
            <w:pPr>
              <w:rPr>
                <w:rFonts w:ascii="宋体" w:hAnsi="宋体"/>
                <w:sz w:val="24"/>
              </w:rPr>
            </w:pPr>
          </w:p>
        </w:tc>
        <w:tc>
          <w:tcPr>
            <w:tcW w:w="3060" w:type="dxa"/>
            <w:vAlign w:val="center"/>
          </w:tcPr>
          <w:p w14:paraId="4CB4B1E7">
            <w:pPr>
              <w:rPr>
                <w:rFonts w:ascii="宋体" w:hAnsi="宋体"/>
                <w:sz w:val="24"/>
              </w:rPr>
            </w:pPr>
          </w:p>
        </w:tc>
        <w:tc>
          <w:tcPr>
            <w:tcW w:w="3554" w:type="dxa"/>
            <w:vAlign w:val="center"/>
          </w:tcPr>
          <w:p w14:paraId="6F62B968">
            <w:pPr>
              <w:rPr>
                <w:rFonts w:ascii="宋体" w:hAnsi="宋体"/>
                <w:sz w:val="24"/>
              </w:rPr>
            </w:pPr>
          </w:p>
        </w:tc>
      </w:tr>
      <w:tr w14:paraId="60995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742296F">
            <w:pPr>
              <w:jc w:val="center"/>
              <w:rPr>
                <w:rFonts w:ascii="宋体" w:hAnsi="宋体"/>
                <w:sz w:val="24"/>
              </w:rPr>
            </w:pPr>
            <w:r>
              <w:rPr>
                <w:rFonts w:hint="eastAsia" w:ascii="宋体" w:hAnsi="宋体"/>
                <w:sz w:val="24"/>
              </w:rPr>
              <w:t>10</w:t>
            </w:r>
          </w:p>
        </w:tc>
        <w:tc>
          <w:tcPr>
            <w:tcW w:w="1080" w:type="dxa"/>
            <w:vAlign w:val="center"/>
          </w:tcPr>
          <w:p w14:paraId="3E62A192">
            <w:pPr>
              <w:rPr>
                <w:rFonts w:ascii="宋体" w:hAnsi="宋体"/>
                <w:sz w:val="24"/>
              </w:rPr>
            </w:pPr>
          </w:p>
        </w:tc>
        <w:tc>
          <w:tcPr>
            <w:tcW w:w="3060" w:type="dxa"/>
            <w:vAlign w:val="center"/>
          </w:tcPr>
          <w:p w14:paraId="2C178D5F">
            <w:pPr>
              <w:rPr>
                <w:rFonts w:ascii="宋体" w:hAnsi="宋体"/>
                <w:sz w:val="24"/>
              </w:rPr>
            </w:pPr>
          </w:p>
        </w:tc>
        <w:tc>
          <w:tcPr>
            <w:tcW w:w="3554" w:type="dxa"/>
            <w:vAlign w:val="center"/>
          </w:tcPr>
          <w:p w14:paraId="652723FD">
            <w:pPr>
              <w:rPr>
                <w:rFonts w:ascii="宋体" w:hAnsi="宋体"/>
                <w:sz w:val="24"/>
              </w:rPr>
            </w:pPr>
          </w:p>
        </w:tc>
      </w:tr>
    </w:tbl>
    <w:p w14:paraId="09293447">
      <w:pPr>
        <w:rPr>
          <w:rFonts w:ascii="宋体" w:hAnsi="宋体"/>
          <w:sz w:val="24"/>
        </w:rPr>
      </w:pPr>
    </w:p>
    <w:p w14:paraId="4CD5E50C">
      <w:pPr>
        <w:rPr>
          <w:rFonts w:ascii="宋体" w:hAnsi="宋体"/>
          <w:sz w:val="24"/>
        </w:rPr>
      </w:pPr>
      <w:r>
        <w:rPr>
          <w:rFonts w:hint="eastAsia" w:ascii="仿宋_GB2312" w:hAnsi="宋体" w:eastAsia="仿宋_GB2312"/>
          <w:sz w:val="24"/>
        </w:rPr>
        <w:t>投标人名称（盖章）：              法定代表人或授权代表签字：</w:t>
      </w:r>
    </w:p>
    <w:p w14:paraId="4382E116">
      <w:pPr>
        <w:rPr>
          <w:rFonts w:ascii="宋体" w:hAnsi="宋体"/>
          <w:sz w:val="24"/>
        </w:rPr>
      </w:pPr>
    </w:p>
    <w:p w14:paraId="465748FC">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53DDB5E8">
      <w:pPr>
        <w:rPr>
          <w:rFonts w:ascii="宋体" w:hAnsi="宋体"/>
          <w:sz w:val="24"/>
        </w:rPr>
      </w:pPr>
    </w:p>
    <w:bookmarkEnd w:id="1397"/>
    <w:p w14:paraId="14907BC9">
      <w:pPr>
        <w:widowControl/>
        <w:jc w:val="left"/>
        <w:rPr>
          <w:rFonts w:eastAsia="黑体"/>
          <w:b/>
          <w:bCs/>
          <w:sz w:val="28"/>
        </w:rPr>
      </w:pPr>
      <w:r>
        <w:rPr>
          <w:rFonts w:hint="eastAsia" w:eastAsia="黑体"/>
          <w:b/>
          <w:bCs/>
          <w:sz w:val="28"/>
          <w:lang w:val="en-US" w:eastAsia="zh-CN"/>
        </w:rPr>
        <w:t>分项报价表（无格式要求</w:t>
      </w:r>
      <w:bookmarkStart w:id="1398" w:name="_GoBack"/>
      <w:bookmarkEnd w:id="1398"/>
      <w:r>
        <w:rPr>
          <w:rFonts w:hint="eastAsia" w:eastAsia="黑体"/>
          <w:b/>
          <w:bCs/>
          <w:sz w:val="28"/>
          <w:lang w:val="en-US" w:eastAsia="zh-CN"/>
        </w:rPr>
        <w:t>）</w:t>
      </w:r>
      <w:r>
        <w:rPr>
          <w:rFonts w:eastAsia="黑体"/>
          <w:b/>
          <w:bCs/>
          <w:sz w:val="28"/>
        </w:rPr>
        <w:br w:type="page"/>
      </w:r>
    </w:p>
    <w:p w14:paraId="77F23887">
      <w:pPr>
        <w:rPr>
          <w:rFonts w:eastAsia="黑体"/>
          <w:b/>
          <w:bCs/>
          <w:sz w:val="28"/>
        </w:rPr>
      </w:pPr>
      <w:r>
        <w:rPr>
          <w:rFonts w:hint="eastAsia" w:eastAsia="黑体"/>
          <w:b/>
          <w:bCs/>
          <w:sz w:val="28"/>
        </w:rPr>
        <w:t>格式7</w:t>
      </w:r>
    </w:p>
    <w:p w14:paraId="738F941F">
      <w:pPr>
        <w:rPr>
          <w:rFonts w:ascii="宋体" w:hAnsi="宋体"/>
        </w:rPr>
      </w:pPr>
      <w:r>
        <w:rPr>
          <w:rFonts w:hint="eastAsia" w:ascii="宋体" w:hAnsi="宋体"/>
        </w:rPr>
        <w:t>项目名称：</w:t>
      </w:r>
      <w:r>
        <w:rPr>
          <w:rFonts w:ascii="宋体" w:hAnsi="宋体"/>
        </w:rPr>
        <w:t xml:space="preserve"> </w:t>
      </w:r>
    </w:p>
    <w:p w14:paraId="1B7C19CA">
      <w:pPr>
        <w:rPr>
          <w:rFonts w:ascii="宋体" w:hAnsi="宋体"/>
        </w:rPr>
      </w:pPr>
    </w:p>
    <w:p w14:paraId="4F75A1AD">
      <w:pPr>
        <w:pStyle w:val="14"/>
        <w:spacing w:line="360" w:lineRule="auto"/>
        <w:rPr>
          <w:rFonts w:hAnsi="宋体"/>
          <w:szCs w:val="21"/>
        </w:rPr>
      </w:pPr>
      <w:r>
        <w:rPr>
          <w:rFonts w:hint="eastAsia" w:hAnsi="宋体"/>
          <w:szCs w:val="21"/>
        </w:rPr>
        <w:t>日期：  年   月   日</w:t>
      </w:r>
    </w:p>
    <w:p w14:paraId="520059B8">
      <w:pPr>
        <w:jc w:val="center"/>
        <w:rPr>
          <w:rFonts w:eastAsia="黑体"/>
          <w:b/>
          <w:bCs/>
          <w:sz w:val="28"/>
        </w:rPr>
      </w:pPr>
      <w:r>
        <w:rPr>
          <w:rFonts w:hint="eastAsia" w:eastAsia="黑体"/>
          <w:b/>
          <w:bCs/>
          <w:sz w:val="28"/>
        </w:rPr>
        <w:t>法人授权委托书</w:t>
      </w:r>
    </w:p>
    <w:p w14:paraId="5B71A578">
      <w:pPr>
        <w:rPr>
          <w:rFonts w:ascii="宋体" w:hAnsi="宋体"/>
          <w:u w:val="single"/>
        </w:rPr>
      </w:pPr>
      <w:r>
        <w:rPr>
          <w:rFonts w:hint="eastAsia" w:ascii="宋体" w:hAnsi="宋体"/>
        </w:rPr>
        <w:t>致</w:t>
      </w:r>
      <w:r>
        <w:rPr>
          <w:rFonts w:hint="eastAsia" w:ascii="宋体" w:hAnsi="宋体"/>
          <w:u w:val="single"/>
        </w:rPr>
        <w:t>（招标人名称）                            ：</w:t>
      </w:r>
    </w:p>
    <w:p w14:paraId="394B90BA">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9E990B5">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01A4FD65">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55BCE3F4">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DF589F7">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411F508E">
      <w:pPr>
        <w:spacing w:line="360" w:lineRule="auto"/>
        <w:ind w:firstLine="420" w:firstLineChars="200"/>
        <w:rPr>
          <w:rFonts w:ascii="宋体"/>
          <w:kern w:val="0"/>
          <w:szCs w:val="21"/>
        </w:rPr>
      </w:pPr>
      <w:r>
        <w:rPr>
          <w:rFonts w:hint="eastAsia" w:ascii="宋体" w:hAnsi="宋体"/>
          <w:kern w:val="0"/>
          <w:szCs w:val="21"/>
        </w:rPr>
        <w:t>投标人名称：（盖单位公章）</w:t>
      </w:r>
    </w:p>
    <w:p w14:paraId="304A69AF">
      <w:pPr>
        <w:spacing w:line="360" w:lineRule="auto"/>
        <w:ind w:firstLine="420" w:firstLineChars="200"/>
        <w:rPr>
          <w:rFonts w:ascii="宋体"/>
          <w:kern w:val="0"/>
          <w:szCs w:val="21"/>
        </w:rPr>
      </w:pPr>
      <w:r>
        <w:rPr>
          <w:rFonts w:hint="eastAsia" w:ascii="宋体" w:hAnsi="宋体"/>
          <w:kern w:val="0"/>
          <w:szCs w:val="21"/>
        </w:rPr>
        <w:t>法定代表人：（签字）</w:t>
      </w:r>
    </w:p>
    <w:p w14:paraId="58F8358F">
      <w:pPr>
        <w:spacing w:line="360" w:lineRule="auto"/>
        <w:ind w:firstLine="420" w:firstLineChars="200"/>
        <w:rPr>
          <w:rFonts w:ascii="宋体"/>
          <w:kern w:val="0"/>
          <w:szCs w:val="21"/>
        </w:rPr>
      </w:pPr>
    </w:p>
    <w:p w14:paraId="7E2771FB">
      <w:pPr>
        <w:spacing w:line="360" w:lineRule="auto"/>
        <w:ind w:firstLine="420" w:firstLineChars="200"/>
        <w:rPr>
          <w:rFonts w:ascii="宋体"/>
          <w:kern w:val="0"/>
          <w:szCs w:val="21"/>
        </w:rPr>
      </w:pPr>
    </w:p>
    <w:p w14:paraId="043E0846">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58E8C054">
      <w:pPr>
        <w:spacing w:line="360" w:lineRule="auto"/>
        <w:rPr>
          <w:rFonts w:ascii="宋体"/>
          <w:kern w:val="0"/>
          <w:szCs w:val="21"/>
        </w:rPr>
      </w:pPr>
    </w:p>
    <w:p w14:paraId="6AFDC201">
      <w:pPr>
        <w:spacing w:line="360" w:lineRule="auto"/>
        <w:rPr>
          <w:rFonts w:ascii="宋体"/>
          <w:kern w:val="0"/>
          <w:szCs w:val="21"/>
        </w:rPr>
      </w:pPr>
    </w:p>
    <w:p w14:paraId="4B34D44A">
      <w:pPr>
        <w:spacing w:line="360" w:lineRule="auto"/>
        <w:rPr>
          <w:rFonts w:ascii="宋体"/>
          <w:kern w:val="0"/>
          <w:szCs w:val="21"/>
        </w:rPr>
      </w:pPr>
    </w:p>
    <w:p w14:paraId="3D887707">
      <w:pPr>
        <w:spacing w:line="360" w:lineRule="auto"/>
        <w:rPr>
          <w:rFonts w:ascii="宋体"/>
          <w:kern w:val="0"/>
          <w:szCs w:val="21"/>
        </w:rPr>
      </w:pPr>
    </w:p>
    <w:p w14:paraId="76B38CD8">
      <w:pPr>
        <w:spacing w:line="360" w:lineRule="auto"/>
        <w:ind w:right="560" w:firstLine="420" w:firstLineChars="200"/>
        <w:rPr>
          <w:rFonts w:ascii="宋体"/>
          <w:kern w:val="0"/>
          <w:szCs w:val="21"/>
        </w:rPr>
      </w:pPr>
    </w:p>
    <w:p w14:paraId="19BBACEF">
      <w:pPr>
        <w:pStyle w:val="14"/>
        <w:spacing w:line="360" w:lineRule="auto"/>
        <w:rPr>
          <w:rFonts w:hAnsi="宋体"/>
          <w:b/>
          <w:sz w:val="24"/>
          <w:szCs w:val="24"/>
        </w:rPr>
      </w:pPr>
    </w:p>
    <w:p w14:paraId="28E8E8FC">
      <w:pPr>
        <w:pStyle w:val="14"/>
        <w:spacing w:line="360" w:lineRule="auto"/>
        <w:rPr>
          <w:rFonts w:hAnsi="宋体"/>
          <w:b/>
          <w:sz w:val="24"/>
          <w:szCs w:val="24"/>
        </w:rPr>
      </w:pPr>
    </w:p>
    <w:p w14:paraId="40C2AA37">
      <w:pPr>
        <w:pStyle w:val="14"/>
        <w:spacing w:line="360" w:lineRule="auto"/>
        <w:rPr>
          <w:rFonts w:hAnsi="宋体"/>
          <w:b/>
          <w:sz w:val="24"/>
          <w:szCs w:val="24"/>
        </w:rPr>
      </w:pPr>
    </w:p>
    <w:p w14:paraId="7A56A98F">
      <w:pPr>
        <w:pStyle w:val="14"/>
        <w:spacing w:line="360" w:lineRule="auto"/>
        <w:rPr>
          <w:rFonts w:hAnsi="宋体"/>
          <w:b/>
          <w:sz w:val="24"/>
          <w:szCs w:val="24"/>
        </w:rPr>
      </w:pPr>
    </w:p>
    <w:p w14:paraId="0A986F70">
      <w:pPr>
        <w:pStyle w:val="14"/>
        <w:spacing w:line="360" w:lineRule="auto"/>
        <w:rPr>
          <w:rFonts w:hAnsi="宋体"/>
          <w:b/>
          <w:sz w:val="24"/>
          <w:szCs w:val="24"/>
        </w:rPr>
      </w:pPr>
    </w:p>
    <w:p w14:paraId="6F74634C">
      <w:pPr>
        <w:rPr>
          <w:rFonts w:eastAsia="黑体"/>
          <w:b/>
          <w:bCs/>
          <w:sz w:val="28"/>
        </w:rPr>
      </w:pPr>
      <w:r>
        <w:rPr>
          <w:rFonts w:hint="eastAsia" w:eastAsia="黑体"/>
          <w:b/>
          <w:bCs/>
          <w:sz w:val="28"/>
        </w:rPr>
        <w:t>格式8</w:t>
      </w:r>
    </w:p>
    <w:p w14:paraId="4098FEAE">
      <w:pPr>
        <w:rPr>
          <w:rFonts w:ascii="宋体" w:hAnsi="宋体"/>
        </w:rPr>
      </w:pPr>
      <w:r>
        <w:rPr>
          <w:rFonts w:hint="eastAsia" w:ascii="宋体" w:hAnsi="宋体"/>
        </w:rPr>
        <w:t>项目名称：</w:t>
      </w:r>
      <w:r>
        <w:rPr>
          <w:rFonts w:ascii="宋体" w:hAnsi="宋体"/>
        </w:rPr>
        <w:t xml:space="preserve"> </w:t>
      </w:r>
    </w:p>
    <w:p w14:paraId="4591D26B">
      <w:pPr>
        <w:rPr>
          <w:rFonts w:ascii="宋体" w:hAnsi="宋体"/>
        </w:rPr>
      </w:pPr>
    </w:p>
    <w:p w14:paraId="2A95545D">
      <w:pPr>
        <w:pStyle w:val="14"/>
        <w:spacing w:line="360" w:lineRule="auto"/>
        <w:ind w:left="885" w:leftChars="-6" w:hanging="898" w:hangingChars="428"/>
        <w:rPr>
          <w:rFonts w:hAnsi="宋体"/>
          <w:szCs w:val="21"/>
        </w:rPr>
      </w:pPr>
      <w:r>
        <w:rPr>
          <w:rFonts w:hint="eastAsia" w:hAnsi="宋体"/>
          <w:szCs w:val="21"/>
        </w:rPr>
        <w:t>日期：  年   月   日</w:t>
      </w:r>
    </w:p>
    <w:p w14:paraId="069074EE">
      <w:pPr>
        <w:jc w:val="center"/>
        <w:rPr>
          <w:rFonts w:eastAsia="黑体"/>
          <w:b/>
          <w:bCs/>
          <w:sz w:val="28"/>
        </w:rPr>
      </w:pPr>
      <w:r>
        <w:rPr>
          <w:rFonts w:hint="eastAsia" w:eastAsia="黑体"/>
          <w:b/>
          <w:bCs/>
          <w:sz w:val="28"/>
        </w:rPr>
        <w:t>投标保证金退付表</w:t>
      </w:r>
    </w:p>
    <w:tbl>
      <w:tblPr>
        <w:tblStyle w:val="30"/>
        <w:tblW w:w="8287"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D795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590AC61">
            <w:pPr>
              <w:pStyle w:val="14"/>
              <w:spacing w:line="360" w:lineRule="auto"/>
            </w:pPr>
            <w:r>
              <w:rPr>
                <w:rFonts w:hint="eastAsia"/>
              </w:rPr>
              <w:t>投标人单位名称：</w:t>
            </w:r>
          </w:p>
        </w:tc>
      </w:tr>
      <w:tr w14:paraId="0029C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A375097">
            <w:pPr>
              <w:pStyle w:val="14"/>
              <w:spacing w:line="360" w:lineRule="auto"/>
            </w:pPr>
            <w:r>
              <w:rPr>
                <w:rFonts w:hint="eastAsia"/>
              </w:rPr>
              <w:t>开户银行：</w:t>
            </w:r>
          </w:p>
        </w:tc>
      </w:tr>
      <w:tr w14:paraId="06BB4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27B182">
            <w:pPr>
              <w:pStyle w:val="14"/>
              <w:spacing w:line="360" w:lineRule="auto"/>
            </w:pPr>
            <w:r>
              <w:rPr>
                <w:rFonts w:hint="eastAsia"/>
              </w:rPr>
              <w:t>开户行行号：</w:t>
            </w:r>
          </w:p>
        </w:tc>
      </w:tr>
      <w:tr w14:paraId="7E4F8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8B9FBCF">
            <w:pPr>
              <w:pStyle w:val="14"/>
              <w:spacing w:line="360" w:lineRule="auto"/>
            </w:pPr>
            <w:r>
              <w:rPr>
                <w:rFonts w:hint="eastAsia"/>
              </w:rPr>
              <w:t>户名：</w:t>
            </w:r>
          </w:p>
        </w:tc>
      </w:tr>
      <w:tr w14:paraId="10154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E0743B5">
            <w:pPr>
              <w:pStyle w:val="14"/>
              <w:spacing w:line="360" w:lineRule="auto"/>
            </w:pPr>
            <w:r>
              <w:rPr>
                <w:rFonts w:hint="eastAsia"/>
              </w:rPr>
              <w:t>账号：</w:t>
            </w:r>
          </w:p>
        </w:tc>
      </w:tr>
      <w:tr w14:paraId="2D879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356C6EF">
            <w:pPr>
              <w:pStyle w:val="14"/>
              <w:spacing w:line="360" w:lineRule="auto"/>
            </w:pPr>
            <w:r>
              <w:rPr>
                <w:rFonts w:hint="eastAsia"/>
              </w:rPr>
              <w:t>纳税人识别号：</w:t>
            </w:r>
          </w:p>
        </w:tc>
      </w:tr>
    </w:tbl>
    <w:p w14:paraId="0BC8D790">
      <w:pPr>
        <w:pStyle w:val="14"/>
        <w:spacing w:line="360" w:lineRule="auto"/>
        <w:ind w:firstLine="240" w:firstLineChars="100"/>
        <w:rPr>
          <w:rFonts w:ascii="仿宋_GB2312" w:hAnsi="宋体" w:eastAsia="仿宋_GB2312"/>
          <w:color w:val="000000"/>
          <w:sz w:val="24"/>
        </w:rPr>
      </w:pPr>
    </w:p>
    <w:p w14:paraId="2FD79FB3">
      <w:pPr>
        <w:pStyle w:val="14"/>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283BFD6D">
      <w:pPr>
        <w:pStyle w:val="14"/>
        <w:spacing w:line="360" w:lineRule="auto"/>
        <w:rPr>
          <w:rFonts w:hAnsi="宋体"/>
          <w:b/>
          <w:sz w:val="24"/>
          <w:szCs w:val="24"/>
        </w:rPr>
      </w:pPr>
    </w:p>
    <w:p w14:paraId="3876A06B">
      <w:pPr>
        <w:pStyle w:val="14"/>
        <w:spacing w:line="360" w:lineRule="auto"/>
        <w:jc w:val="center"/>
        <w:rPr>
          <w:rFonts w:ascii="黑体" w:eastAsia="黑体"/>
          <w:b/>
          <w:bCs/>
          <w:sz w:val="36"/>
          <w:szCs w:val="36"/>
        </w:rPr>
      </w:pPr>
    </w:p>
    <w:p w14:paraId="1F43BD92">
      <w:pPr>
        <w:rPr>
          <w:rFonts w:eastAsia="黑体"/>
          <w:b/>
          <w:bCs/>
          <w:sz w:val="28"/>
        </w:rPr>
      </w:pPr>
      <w:r>
        <w:rPr>
          <w:rFonts w:hint="eastAsia" w:eastAsia="黑体"/>
          <w:b/>
          <w:bCs/>
          <w:sz w:val="28"/>
        </w:rPr>
        <w:br w:type="page"/>
      </w:r>
    </w:p>
    <w:p w14:paraId="2C870E1D">
      <w:pPr>
        <w:pStyle w:val="76"/>
      </w:pPr>
    </w:p>
    <w:p w14:paraId="5D35037D">
      <w:pPr>
        <w:pStyle w:val="71"/>
      </w:pPr>
      <w:r>
        <w:rPr>
          <w:rFonts w:hint="eastAsia"/>
        </w:rPr>
        <w:t>第五部分　</w:t>
      </w:r>
      <w:r>
        <w:rPr>
          <w:rFonts w:hint="eastAsia"/>
          <w:lang w:val="en-US" w:eastAsia="zh-CN"/>
        </w:rPr>
        <w:t>重汽e采通供应商使用说明</w:t>
      </w:r>
    </w:p>
    <w:p w14:paraId="2B160738">
      <w:pPr>
        <w:pStyle w:val="14"/>
        <w:outlineLvl w:val="2"/>
        <w:rPr>
          <w:rFonts w:hAnsi="宋体" w:cs="宋体"/>
          <w:b/>
          <w:bCs/>
          <w:color w:val="000000"/>
          <w:sz w:val="24"/>
          <w:szCs w:val="24"/>
        </w:rPr>
      </w:pPr>
      <w:r>
        <w:rPr>
          <w:rFonts w:hint="eastAsia" w:hAnsi="宋体" w:cs="宋体"/>
          <w:b/>
          <w:bCs/>
          <w:color w:val="000000"/>
          <w:sz w:val="24"/>
          <w:szCs w:val="24"/>
          <w:highlight w:val="green"/>
        </w:rPr>
        <w:t>附件</w:t>
      </w:r>
      <w:r>
        <w:rPr>
          <w:rFonts w:hint="eastAsia" w:hAnsi="宋体" w:cs="宋体"/>
          <w:b/>
          <w:bCs/>
          <w:color w:val="000000"/>
          <w:sz w:val="24"/>
          <w:szCs w:val="24"/>
        </w:rPr>
        <w:t xml:space="preserve"> SRM非生产供应商注册操作手册</w:t>
      </w:r>
    </w:p>
    <w:p w14:paraId="4A972B5F">
      <w:pPr>
        <w:adjustRightInd w:val="0"/>
        <w:snapToGrid w:val="0"/>
        <w:jc w:val="left"/>
        <w:rPr>
          <w:rFonts w:ascii="宋体" w:hAnsi="宋体" w:cs="宋体"/>
          <w:sz w:val="24"/>
          <w:szCs w:val="24"/>
        </w:rPr>
      </w:pPr>
    </w:p>
    <w:p w14:paraId="3EE18D01">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4A1C30C9">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0076C7CF">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1AA257">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0" cstate="print"/>
                    <a:srcRect/>
                    <a:stretch>
                      <a:fillRect/>
                    </a:stretch>
                  </pic:blipFill>
                  <pic:spPr>
                    <a:xfrm>
                      <a:off x="0" y="0"/>
                      <a:ext cx="5760085" cy="2933065"/>
                    </a:xfrm>
                    <a:prstGeom prst="rect">
                      <a:avLst/>
                    </a:prstGeom>
                  </pic:spPr>
                </pic:pic>
              </a:graphicData>
            </a:graphic>
          </wp:inline>
        </w:drawing>
      </w:r>
    </w:p>
    <w:p w14:paraId="44A8501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50EBC92">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1" cstate="print"/>
                    <a:srcRect/>
                    <a:stretch>
                      <a:fillRect/>
                    </a:stretch>
                  </pic:blipFill>
                  <pic:spPr>
                    <a:xfrm>
                      <a:off x="0" y="0"/>
                      <a:ext cx="5760085" cy="2766695"/>
                    </a:xfrm>
                    <a:prstGeom prst="rect">
                      <a:avLst/>
                    </a:prstGeom>
                  </pic:spPr>
                </pic:pic>
              </a:graphicData>
            </a:graphic>
          </wp:inline>
        </w:drawing>
      </w:r>
    </w:p>
    <w:p w14:paraId="74BBFDB5">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66A50FA7">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2" cstate="print"/>
                    <a:srcRect/>
                    <a:stretch>
                      <a:fillRect/>
                    </a:stretch>
                  </pic:blipFill>
                  <pic:spPr>
                    <a:xfrm>
                      <a:off x="0" y="0"/>
                      <a:ext cx="5760085" cy="2869565"/>
                    </a:xfrm>
                    <a:prstGeom prst="rect">
                      <a:avLst/>
                    </a:prstGeom>
                  </pic:spPr>
                </pic:pic>
              </a:graphicData>
            </a:graphic>
          </wp:inline>
        </w:drawing>
      </w:r>
    </w:p>
    <w:p w14:paraId="57A78685">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B6993E2">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3" cstate="print"/>
                    <a:srcRect/>
                    <a:stretch>
                      <a:fillRect/>
                    </a:stretch>
                  </pic:blipFill>
                  <pic:spPr>
                    <a:xfrm>
                      <a:off x="0" y="0"/>
                      <a:ext cx="5760085" cy="2853055"/>
                    </a:xfrm>
                    <a:prstGeom prst="rect">
                      <a:avLst/>
                    </a:prstGeom>
                  </pic:spPr>
                </pic:pic>
              </a:graphicData>
            </a:graphic>
          </wp:inline>
        </w:drawing>
      </w:r>
    </w:p>
    <w:p w14:paraId="7F90BF48">
      <w:pPr>
        <w:numPr>
          <w:ilvl w:val="0"/>
          <w:numId w:val="29"/>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51BE73C7">
      <w:pPr>
        <w:pStyle w:val="14"/>
      </w:pPr>
    </w:p>
    <w:p w14:paraId="7A0BDCEE">
      <w:pPr>
        <w:rPr>
          <w:rFonts w:ascii="宋体" w:hAnsi="宋体" w:cs="宋体"/>
          <w:color w:val="000000"/>
        </w:rPr>
      </w:pPr>
    </w:p>
    <w:p w14:paraId="37CB915B">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63EECCF8">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5" cstate="print"/>
                    <a:srcRect/>
                    <a:stretch>
                      <a:fillRect/>
                    </a:stretch>
                  </pic:blipFill>
                  <pic:spPr>
                    <a:xfrm>
                      <a:off x="0" y="0"/>
                      <a:ext cx="5760085" cy="2820035"/>
                    </a:xfrm>
                    <a:prstGeom prst="rect">
                      <a:avLst/>
                    </a:prstGeom>
                  </pic:spPr>
                </pic:pic>
              </a:graphicData>
            </a:graphic>
          </wp:inline>
        </w:drawing>
      </w:r>
    </w:p>
    <w:p w14:paraId="2635F1D5">
      <w:pPr>
        <w:pStyle w:val="14"/>
      </w:pPr>
    </w:p>
    <w:p w14:paraId="11152A11">
      <w:pPr>
        <w:pStyle w:val="14"/>
      </w:pPr>
    </w:p>
    <w:p w14:paraId="50901CBB">
      <w:pPr>
        <w:rPr>
          <w:rFonts w:ascii="宋体" w:hAnsi="宋体" w:cs="宋体"/>
          <w:b/>
          <w:bCs/>
          <w:color w:val="000000"/>
          <w:sz w:val="24"/>
          <w:szCs w:val="28"/>
        </w:rPr>
      </w:pPr>
      <w:r>
        <w:rPr>
          <w:rFonts w:hint="eastAsia" w:ascii="宋体" w:hAnsi="宋体" w:cs="宋体"/>
          <w:b/>
          <w:bCs/>
          <w:color w:val="000000"/>
          <w:sz w:val="24"/>
          <w:szCs w:val="28"/>
        </w:rPr>
        <w:t>注：</w:t>
      </w:r>
    </w:p>
    <w:p w14:paraId="697968FA">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1.“项目名称”和“采购形式编号”见招标文件内容；</w:t>
      </w:r>
    </w:p>
    <w:p w14:paraId="6448FE07">
      <w:pPr>
        <w:pStyle w:val="14"/>
      </w:pPr>
      <w:r>
        <w:rPr>
          <w:rFonts w:hint="eastAsia" w:hAnsi="宋体" w:cs="宋体"/>
          <w:b/>
          <w:bCs/>
          <w:color w:val="000000"/>
          <w:sz w:val="24"/>
          <w:szCs w:val="28"/>
        </w:rPr>
        <w:t>2.配套能力“供货类别”填“</w:t>
      </w:r>
      <w:r>
        <w:rPr>
          <w:rFonts w:hint="eastAsia" w:hAnsi="宋体" w:cs="宋体"/>
          <w:b/>
          <w:bCs/>
          <w:color w:val="000000"/>
          <w:sz w:val="24"/>
          <w:szCs w:val="28"/>
          <w:highlight w:val="cyan"/>
        </w:rPr>
        <w:t>直管单位非生产招标 / 服务 / 安全消防</w:t>
      </w:r>
      <w:r>
        <w:rPr>
          <w:rFonts w:hint="eastAsia" w:hAnsi="宋体" w:cs="宋体"/>
          <w:b/>
          <w:bCs/>
          <w:color w:val="000000"/>
          <w:sz w:val="24"/>
          <w:szCs w:val="28"/>
        </w:rPr>
        <w:t>”，业务主管部门选择“</w:t>
      </w:r>
      <w:r>
        <w:rPr>
          <w:rFonts w:hint="eastAsia" w:hAnsi="宋体" w:cs="宋体"/>
          <w:b/>
          <w:bCs/>
          <w:color w:val="000000"/>
          <w:sz w:val="24"/>
          <w:szCs w:val="28"/>
          <w:highlight w:val="cyan"/>
          <w:lang w:val="en-US" w:eastAsia="zh-CN"/>
        </w:rPr>
        <w:t>安全环保</w:t>
      </w:r>
      <w:r>
        <w:rPr>
          <w:rFonts w:hint="eastAsia" w:hAnsi="宋体" w:cs="宋体"/>
          <w:b/>
          <w:bCs/>
          <w:color w:val="000000"/>
          <w:sz w:val="24"/>
          <w:szCs w:val="28"/>
          <w:highlight w:val="cyan"/>
        </w:rPr>
        <w:t>部</w:t>
      </w:r>
      <w:r>
        <w:rPr>
          <w:rFonts w:hint="eastAsia" w:hAnsi="宋体" w:cs="宋体"/>
          <w:b/>
          <w:bCs/>
          <w:color w:val="000000"/>
          <w:sz w:val="24"/>
          <w:szCs w:val="28"/>
        </w:rPr>
        <w:t>”。</w:t>
      </w:r>
    </w:p>
    <w:p w14:paraId="0BB4F8B8">
      <w:pPr>
        <w:pStyle w:val="14"/>
        <w:sectPr>
          <w:headerReference r:id="rId9" w:type="default"/>
          <w:footerReference r:id="rId10" w:type="default"/>
          <w:pgSz w:w="11906" w:h="16838"/>
          <w:pgMar w:top="1588" w:right="1418" w:bottom="1134" w:left="1418" w:header="851" w:footer="992" w:gutter="0"/>
          <w:cols w:space="720" w:num="1"/>
          <w:titlePg/>
          <w:docGrid w:type="lines" w:linePitch="312" w:charSpace="0"/>
        </w:sectPr>
      </w:pPr>
    </w:p>
    <w:p w14:paraId="7312B151">
      <w:pPr>
        <w:pStyle w:val="14"/>
        <w:outlineLvl w:val="2"/>
        <w:rPr>
          <w:rFonts w:hAnsi="宋体"/>
          <w:b/>
          <w:color w:val="000000"/>
          <w:sz w:val="24"/>
          <w:szCs w:val="24"/>
        </w:rPr>
      </w:pPr>
      <w:r>
        <w:rPr>
          <w:rFonts w:hint="eastAsia" w:hAnsi="宋体" w:cs="宋体"/>
          <w:b/>
          <w:bCs/>
          <w:color w:val="000000"/>
          <w:sz w:val="24"/>
          <w:szCs w:val="24"/>
        </w:rPr>
        <w:t xml:space="preserve">附件15 </w:t>
      </w:r>
      <w:r>
        <w:rPr>
          <w:rFonts w:hint="eastAsia" w:hAnsi="宋体"/>
          <w:b/>
          <w:color w:val="000000"/>
          <w:sz w:val="24"/>
          <w:szCs w:val="24"/>
        </w:rPr>
        <w:t>SRM系统供应商用户手册</w:t>
      </w:r>
    </w:p>
    <w:p w14:paraId="0B441A33">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141EC7FE">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1945A7C">
      <w:pPr>
        <w:spacing w:line="360" w:lineRule="auto"/>
        <w:rPr>
          <w:rFonts w:ascii="宋体" w:hAnsi="宋体" w:cs="宋体"/>
          <w:sz w:val="24"/>
          <w:szCs w:val="24"/>
        </w:rPr>
      </w:pPr>
      <w:r>
        <w:rPr>
          <w:rFonts w:hint="eastAsia" w:ascii="宋体" w:hAnsi="宋体" w:cs="宋体"/>
          <w:color w:val="000000"/>
          <w:sz w:val="24"/>
          <w:szCs w:val="24"/>
        </w:rPr>
        <w:t>初始密码：scm@2022</w:t>
      </w:r>
    </w:p>
    <w:p w14:paraId="54144BFB">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74AD43A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5F08DF32">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79FFAD63">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3BAA061D"/>
    <w:p w14:paraId="01AD6D67">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3C8173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1A346DD">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7" cstate="print"/>
                    <a:srcRect/>
                    <a:stretch>
                      <a:fillRect/>
                    </a:stretch>
                  </pic:blipFill>
                  <pic:spPr>
                    <a:xfrm>
                      <a:off x="0" y="0"/>
                      <a:ext cx="5760085" cy="2125345"/>
                    </a:xfrm>
                    <a:prstGeom prst="rect">
                      <a:avLst/>
                    </a:prstGeom>
                  </pic:spPr>
                </pic:pic>
              </a:graphicData>
            </a:graphic>
          </wp:inline>
        </w:drawing>
      </w:r>
    </w:p>
    <w:p w14:paraId="1B44F10E">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645CFE7C">
      <w:pPr>
        <w:pStyle w:val="14"/>
      </w:pPr>
      <w:r>
        <w:rPr>
          <w:rFonts w:hint="eastAsia" w:hAnsi="宋体" w:cs="宋体"/>
          <w:b/>
          <w:bCs/>
          <w:color w:val="000000"/>
          <w:sz w:val="24"/>
          <w:szCs w:val="28"/>
          <w:highlight w:val="yellow"/>
        </w:rPr>
        <w:t>注意：系统内的投标报价单位为“万元”，如开标现场发现填错报价，即直接淘汰。</w:t>
      </w:r>
    </w:p>
    <w:p w14:paraId="379457FB">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8" cstate="print"/>
                    <a:srcRect/>
                    <a:stretch>
                      <a:fillRect/>
                    </a:stretch>
                  </pic:blipFill>
                  <pic:spPr>
                    <a:xfrm>
                      <a:off x="0" y="0"/>
                      <a:ext cx="5490210" cy="2668905"/>
                    </a:xfrm>
                    <a:prstGeom prst="rect">
                      <a:avLst/>
                    </a:prstGeom>
                  </pic:spPr>
                </pic:pic>
              </a:graphicData>
            </a:graphic>
          </wp:inline>
        </w:drawing>
      </w:r>
    </w:p>
    <w:p w14:paraId="7C193454">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7D26EB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00D2D44D">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51DF8AC7">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9" cstate="print"/>
                    <a:srcRect/>
                    <a:stretch>
                      <a:fillRect/>
                    </a:stretch>
                  </pic:blipFill>
                  <pic:spPr>
                    <a:xfrm>
                      <a:off x="0" y="0"/>
                      <a:ext cx="5490210" cy="1992629"/>
                    </a:xfrm>
                    <a:prstGeom prst="rect">
                      <a:avLst/>
                    </a:prstGeom>
                  </pic:spPr>
                </pic:pic>
              </a:graphicData>
            </a:graphic>
          </wp:inline>
        </w:drawing>
      </w:r>
    </w:p>
    <w:p w14:paraId="74325963">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0B3F7FBE">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108929F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604847BC">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64480B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5B4BCAC9">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2719BEDD">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0" cstate="print"/>
                    <a:srcRect/>
                    <a:stretch>
                      <a:fillRect/>
                    </a:stretch>
                  </pic:blipFill>
                  <pic:spPr>
                    <a:xfrm>
                      <a:off x="0" y="0"/>
                      <a:ext cx="5490210" cy="2544445"/>
                    </a:xfrm>
                    <a:prstGeom prst="rect">
                      <a:avLst/>
                    </a:prstGeom>
                  </pic:spPr>
                </pic:pic>
              </a:graphicData>
            </a:graphic>
          </wp:inline>
        </w:drawing>
      </w:r>
    </w:p>
    <w:p w14:paraId="7AF6BCD4">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47EC2D2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9DC482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EC8BC39">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1" cstate="print"/>
                    <a:srcRect/>
                    <a:stretch>
                      <a:fillRect/>
                    </a:stretch>
                  </pic:blipFill>
                  <pic:spPr>
                    <a:xfrm>
                      <a:off x="0" y="0"/>
                      <a:ext cx="5760085" cy="1956435"/>
                    </a:xfrm>
                    <a:prstGeom prst="rect">
                      <a:avLst/>
                    </a:prstGeom>
                  </pic:spPr>
                </pic:pic>
              </a:graphicData>
            </a:graphic>
          </wp:inline>
        </w:drawing>
      </w:r>
    </w:p>
    <w:p w14:paraId="719CDE6A">
      <w:pPr>
        <w:pStyle w:val="14"/>
        <w:rPr>
          <w:rFonts w:hAnsi="宋体"/>
          <w:b/>
          <w:color w:val="000000"/>
          <w:sz w:val="24"/>
          <w:szCs w:val="24"/>
        </w:rPr>
      </w:pPr>
    </w:p>
    <w:p w14:paraId="5CA7CAEF">
      <w:pPr>
        <w:pStyle w:val="14"/>
        <w:rPr>
          <w:rFonts w:hAnsi="宋体"/>
          <w:b/>
          <w:color w:val="000000"/>
          <w:sz w:val="24"/>
          <w:szCs w:val="24"/>
        </w:rPr>
      </w:pPr>
    </w:p>
    <w:p w14:paraId="085FB2E7">
      <w:pPr>
        <w:pStyle w:val="76"/>
        <w:rPr>
          <w:rFonts w:hAnsi="宋体"/>
          <w:sz w:val="24"/>
        </w:rPr>
      </w:pPr>
    </w:p>
    <w:p w14:paraId="5ECEAAC2">
      <w:pPr>
        <w:pStyle w:val="76"/>
        <w:rPr>
          <w:rFonts w:hAnsi="宋体"/>
          <w:sz w:val="24"/>
        </w:rPr>
      </w:pPr>
    </w:p>
    <w:p w14:paraId="028B8E52">
      <w:pPr>
        <w:pStyle w:val="71"/>
        <w:jc w:val="center"/>
        <w:rPr>
          <w:rFonts w:hint="default" w:eastAsia="黑体"/>
          <w:lang w:val="en-US" w:eastAsia="zh-CN"/>
        </w:rPr>
      </w:pPr>
    </w:p>
    <w:p w14:paraId="52772E40">
      <w:pPr>
        <w:pStyle w:val="76"/>
        <w:rPr>
          <w:b/>
          <w:bCs/>
        </w:rPr>
      </w:pPr>
    </w:p>
    <w:p w14:paraId="41362990">
      <w:pPr>
        <w:pStyle w:val="76"/>
        <w:rPr>
          <w:b/>
          <w:bCs/>
        </w:rPr>
      </w:pPr>
    </w:p>
    <w:p w14:paraId="654EBC09">
      <w:pPr>
        <w:pStyle w:val="76"/>
        <w:rPr>
          <w:b/>
          <w:bCs/>
        </w:rPr>
      </w:pPr>
    </w:p>
    <w:p w14:paraId="03A4D662">
      <w:pPr>
        <w:pStyle w:val="76"/>
        <w:rPr>
          <w:b/>
          <w:bCs/>
        </w:rPr>
      </w:pPr>
    </w:p>
    <w:p w14:paraId="548B73A4">
      <w:pPr>
        <w:pStyle w:val="76"/>
        <w:rPr>
          <w:b/>
          <w:bCs/>
        </w:rPr>
      </w:pPr>
    </w:p>
    <w:p w14:paraId="23E75332">
      <w:pPr>
        <w:pStyle w:val="76"/>
        <w:rPr>
          <w:rFonts w:hint="default" w:hAnsi="宋体"/>
          <w:sz w:val="24"/>
          <w:lang w:val="en-US"/>
        </w:rPr>
      </w:pPr>
    </w:p>
    <w:sectPr>
      <w:headerReference r:id="rId11" w:type="first"/>
      <w:footerReference r:id="rId12"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DA8E2D">
    <w:pPr>
      <w:pStyle w:val="18"/>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D9035">
    <w:pPr>
      <w:pStyle w:val="18"/>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255A5C">
    <w:pPr>
      <w:pStyle w:val="18"/>
      <w:jc w:val="righ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DE078">
    <w:pPr>
      <w:pStyle w:val="19"/>
      <w:pBdr>
        <w:bottom w:val="single" w:color="auto" w:sz="12" w:space="9"/>
      </w:pBdr>
      <w:jc w:val="both"/>
    </w:pPr>
    <w:r>
      <w:drawing>
        <wp:inline distT="0" distB="0" distL="114300" distR="114300">
          <wp:extent cx="1428750" cy="342900"/>
          <wp:effectExtent l="0" t="0" r="6350" b="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r>
      <w:rPr>
        <w:rFonts w:hint="eastAsia" w:ascii="黑体" w:eastAsia="黑体" w:cs="黑体"/>
        <w:sz w:val="24"/>
        <w:szCs w:val="24"/>
      </w:rPr>
      <w:t>成套货物</w:t>
    </w:r>
    <w:r>
      <w:rPr>
        <w:rFonts w:ascii="黑体" w:eastAsia="黑体" w:cs="黑体"/>
        <w:sz w:val="24"/>
        <w:szCs w:val="24"/>
      </w:rPr>
      <w:t>/</w:t>
    </w:r>
    <w:r>
      <w:rPr>
        <w:rFonts w:hint="eastAsia" w:ascii="黑体" w:eastAsia="黑体" w:cs="黑体"/>
        <w:sz w:val="24"/>
        <w:szCs w:val="24"/>
      </w:rPr>
      <w:t>生产线招标文件技术标书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63E634">
    <w:pPr>
      <w:pStyle w:val="19"/>
      <w:pBdr>
        <w:bottom w:val="single" w:color="auto" w:sz="12" w:space="9"/>
      </w:pBdr>
      <w:jc w:val="both"/>
      <w:rPr>
        <w:rFonts w:hint="eastAsia" w:ascii="黑体" w:eastAsia="黑体" w:cs="黑体"/>
        <w:sz w:val="24"/>
        <w:szCs w:val="24"/>
      </w:rPr>
    </w:pPr>
    <w:r>
      <w:drawing>
        <wp:inline distT="0" distB="0" distL="114300" distR="114300">
          <wp:extent cx="1428750" cy="342900"/>
          <wp:effectExtent l="0" t="0" r="6350" b="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
                  <a:stretch>
                    <a:fillRect/>
                  </a:stretch>
                </pic:blipFill>
                <pic:spPr>
                  <a:xfrm>
                    <a:off x="0" y="0"/>
                    <a:ext cx="1428750" cy="342900"/>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93852671"/>
    <w:multiLevelType w:val="singleLevel"/>
    <w:tmpl w:val="93852671"/>
    <w:lvl w:ilvl="0" w:tentative="0">
      <w:start w:val="1"/>
      <w:numFmt w:val="decimal"/>
      <w:lvlText w:val="%1."/>
      <w:lvlJc w:val="left"/>
      <w:pPr>
        <w:ind w:left="425" w:hanging="425"/>
      </w:pPr>
      <w:rPr>
        <w:rFonts w:hint="default"/>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A344C351"/>
    <w:multiLevelType w:val="singleLevel"/>
    <w:tmpl w:val="A344C351"/>
    <w:lvl w:ilvl="0" w:tentative="0">
      <w:start w:val="1"/>
      <w:numFmt w:val="decimal"/>
      <w:lvlText w:val="%1."/>
      <w:lvlJc w:val="left"/>
      <w:pPr>
        <w:tabs>
          <w:tab w:val="left" w:pos="312"/>
        </w:tabs>
      </w:p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D9A4530E"/>
    <w:multiLevelType w:val="singleLevel"/>
    <w:tmpl w:val="D9A4530E"/>
    <w:lvl w:ilvl="0" w:tentative="0">
      <w:start w:val="1"/>
      <w:numFmt w:val="decimal"/>
      <w:lvlText w:val="(%1)"/>
      <w:lvlJc w:val="left"/>
      <w:pPr>
        <w:ind w:left="425" w:hanging="425"/>
      </w:pPr>
      <w:rPr>
        <w:rFonts w:hint="default"/>
      </w:rPr>
    </w:lvl>
  </w:abstractNum>
  <w:abstractNum w:abstractNumId="8">
    <w:nsid w:val="DC3F8C8B"/>
    <w:multiLevelType w:val="singleLevel"/>
    <w:tmpl w:val="DC3F8C8B"/>
    <w:lvl w:ilvl="0" w:tentative="0">
      <w:start w:val="1"/>
      <w:numFmt w:val="decimal"/>
      <w:lvlText w:val="%1."/>
      <w:lvlJc w:val="left"/>
      <w:pPr>
        <w:ind w:left="425" w:hanging="425"/>
      </w:pPr>
      <w:rPr>
        <w:rFonts w:hint="default"/>
      </w:rPr>
    </w:lvl>
  </w:abstractNum>
  <w:abstractNum w:abstractNumId="9">
    <w:nsid w:val="00000003"/>
    <w:multiLevelType w:val="singleLevel"/>
    <w:tmpl w:val="00000003"/>
    <w:lvl w:ilvl="0" w:tentative="0">
      <w:start w:val="5"/>
      <w:numFmt w:val="decimal"/>
      <w:lvlText w:val="%1."/>
      <w:lvlJc w:val="left"/>
      <w:pPr>
        <w:tabs>
          <w:tab w:val="left" w:pos="312"/>
        </w:tabs>
      </w:pPr>
    </w:lvl>
  </w:abstractNum>
  <w:abstractNum w:abstractNumId="10">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1">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2">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3">
    <w:nsid w:val="3954A2AD"/>
    <w:multiLevelType w:val="singleLevel"/>
    <w:tmpl w:val="3954A2AD"/>
    <w:lvl w:ilvl="0" w:tentative="0">
      <w:start w:val="1"/>
      <w:numFmt w:val="decimal"/>
      <w:suff w:val="nothing"/>
      <w:lvlText w:val="（%1）"/>
      <w:lvlJc w:val="left"/>
    </w:lvl>
  </w:abstractNum>
  <w:abstractNum w:abstractNumId="14">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5">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7">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8">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9">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0">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1">
    <w:nsid w:val="7CE20C09"/>
    <w:multiLevelType w:val="singleLevel"/>
    <w:tmpl w:val="7CE20C09"/>
    <w:lvl w:ilvl="0" w:tentative="0">
      <w:start w:val="1"/>
      <w:numFmt w:val="decimal"/>
      <w:lvlText w:val="%1."/>
      <w:lvlJc w:val="left"/>
      <w:pPr>
        <w:tabs>
          <w:tab w:val="left" w:pos="312"/>
        </w:tabs>
      </w:pPr>
    </w:lvl>
  </w:abstractNum>
  <w:num w:numId="1">
    <w:abstractNumId w:val="15"/>
  </w:num>
  <w:num w:numId="2">
    <w:abstractNumId w:val="19"/>
  </w:num>
  <w:num w:numId="3">
    <w:abstractNumId w:val="18"/>
  </w:num>
  <w:num w:numId="4">
    <w:abstractNumId w:val="16"/>
  </w:num>
  <w:num w:numId="5">
    <w:abstractNumId w:val="10"/>
  </w:num>
  <w:num w:numId="6">
    <w:abstractNumId w:val="11"/>
  </w:num>
  <w:num w:numId="7">
    <w:abstractNumId w:val="12"/>
  </w:num>
  <w:num w:numId="8">
    <w:abstractNumId w:val="17"/>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4"/>
  </w:num>
  <w:num w:numId="18">
    <w:abstractNumId w:val="0"/>
  </w:num>
  <w:num w:numId="19">
    <w:abstractNumId w:val="1"/>
  </w:num>
  <w:num w:numId="20">
    <w:abstractNumId w:val="13"/>
  </w:num>
  <w:num w:numId="21">
    <w:abstractNumId w:val="20"/>
  </w:num>
  <w:num w:numId="22">
    <w:abstractNumId w:val="7"/>
  </w:num>
  <w:num w:numId="23">
    <w:abstractNumId w:val="21"/>
  </w:num>
  <w:num w:numId="24">
    <w:abstractNumId w:val="2"/>
  </w:num>
  <w:num w:numId="25">
    <w:abstractNumId w:val="3"/>
  </w:num>
  <w:num w:numId="26">
    <w:abstractNumId w:val="5"/>
  </w:num>
  <w:num w:numId="27">
    <w:abstractNumId w:val="8"/>
  </w:num>
  <w:num w:numId="28">
    <w:abstractNumId w:val="14"/>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0F7"/>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3C6C9C"/>
    <w:rsid w:val="02447828"/>
    <w:rsid w:val="02522110"/>
    <w:rsid w:val="0256755B"/>
    <w:rsid w:val="02C464F6"/>
    <w:rsid w:val="02CC3DCA"/>
    <w:rsid w:val="02FB2420"/>
    <w:rsid w:val="02FE76EF"/>
    <w:rsid w:val="03343D40"/>
    <w:rsid w:val="035241C7"/>
    <w:rsid w:val="03BA1683"/>
    <w:rsid w:val="03E72B61"/>
    <w:rsid w:val="03F033B0"/>
    <w:rsid w:val="04446205"/>
    <w:rsid w:val="046917C8"/>
    <w:rsid w:val="04E62E18"/>
    <w:rsid w:val="0543236E"/>
    <w:rsid w:val="057C1D39"/>
    <w:rsid w:val="05891259"/>
    <w:rsid w:val="05E76E48"/>
    <w:rsid w:val="068F128E"/>
    <w:rsid w:val="08633479"/>
    <w:rsid w:val="089E76AC"/>
    <w:rsid w:val="0A28069F"/>
    <w:rsid w:val="0B0A2C8B"/>
    <w:rsid w:val="0B765E47"/>
    <w:rsid w:val="0BBA4FFF"/>
    <w:rsid w:val="0C525237"/>
    <w:rsid w:val="0CB51572"/>
    <w:rsid w:val="0CFB1178"/>
    <w:rsid w:val="0E1E2B65"/>
    <w:rsid w:val="0E4D31E3"/>
    <w:rsid w:val="0E76345F"/>
    <w:rsid w:val="0F7200CA"/>
    <w:rsid w:val="0FFF6FF0"/>
    <w:rsid w:val="10DC2AA3"/>
    <w:rsid w:val="10FA7C8C"/>
    <w:rsid w:val="12EA7F78"/>
    <w:rsid w:val="130B198F"/>
    <w:rsid w:val="135A334F"/>
    <w:rsid w:val="137C646B"/>
    <w:rsid w:val="145205A8"/>
    <w:rsid w:val="16406649"/>
    <w:rsid w:val="16A918E4"/>
    <w:rsid w:val="17D966D6"/>
    <w:rsid w:val="181B06E1"/>
    <w:rsid w:val="18952734"/>
    <w:rsid w:val="189C1D14"/>
    <w:rsid w:val="18F659B5"/>
    <w:rsid w:val="198C1722"/>
    <w:rsid w:val="1A11228E"/>
    <w:rsid w:val="1A381F10"/>
    <w:rsid w:val="1ABF7F3C"/>
    <w:rsid w:val="1B3E669F"/>
    <w:rsid w:val="1B6603B7"/>
    <w:rsid w:val="1B6739C6"/>
    <w:rsid w:val="1B824429"/>
    <w:rsid w:val="1BC71D3B"/>
    <w:rsid w:val="1C59115B"/>
    <w:rsid w:val="1C8C02F2"/>
    <w:rsid w:val="1CD00D9F"/>
    <w:rsid w:val="1F5E5F75"/>
    <w:rsid w:val="1F672950"/>
    <w:rsid w:val="1FB23E60"/>
    <w:rsid w:val="20E64474"/>
    <w:rsid w:val="21A6441F"/>
    <w:rsid w:val="21E73D66"/>
    <w:rsid w:val="21F91F85"/>
    <w:rsid w:val="22A7378F"/>
    <w:rsid w:val="22C5630B"/>
    <w:rsid w:val="23EC0BA6"/>
    <w:rsid w:val="24701A48"/>
    <w:rsid w:val="252E1F46"/>
    <w:rsid w:val="25B508B9"/>
    <w:rsid w:val="25DC2738"/>
    <w:rsid w:val="268B0052"/>
    <w:rsid w:val="26FE1DEC"/>
    <w:rsid w:val="27743C90"/>
    <w:rsid w:val="27CC3FD4"/>
    <w:rsid w:val="28A864B3"/>
    <w:rsid w:val="28F214DC"/>
    <w:rsid w:val="292673D8"/>
    <w:rsid w:val="29611ACA"/>
    <w:rsid w:val="29B844D4"/>
    <w:rsid w:val="29CA2459"/>
    <w:rsid w:val="2ACD0453"/>
    <w:rsid w:val="2B0F6376"/>
    <w:rsid w:val="2B271A58"/>
    <w:rsid w:val="2B6304A7"/>
    <w:rsid w:val="2B8A0ED3"/>
    <w:rsid w:val="2BB138D1"/>
    <w:rsid w:val="2BFD7C12"/>
    <w:rsid w:val="2CA63F77"/>
    <w:rsid w:val="2CF6734C"/>
    <w:rsid w:val="2D2E5EBF"/>
    <w:rsid w:val="2D663463"/>
    <w:rsid w:val="2E1212F1"/>
    <w:rsid w:val="2E204D3E"/>
    <w:rsid w:val="2E4E18AB"/>
    <w:rsid w:val="2EF96EE4"/>
    <w:rsid w:val="30006BD5"/>
    <w:rsid w:val="30971A1F"/>
    <w:rsid w:val="30A151CF"/>
    <w:rsid w:val="30B31E99"/>
    <w:rsid w:val="310778B5"/>
    <w:rsid w:val="32146967"/>
    <w:rsid w:val="32C06917"/>
    <w:rsid w:val="33304827"/>
    <w:rsid w:val="337E22EA"/>
    <w:rsid w:val="34572B3B"/>
    <w:rsid w:val="35CF7EC5"/>
    <w:rsid w:val="36254FE4"/>
    <w:rsid w:val="36A55DE0"/>
    <w:rsid w:val="372F61E0"/>
    <w:rsid w:val="389B56ED"/>
    <w:rsid w:val="39322FCA"/>
    <w:rsid w:val="39DC4F34"/>
    <w:rsid w:val="3AB90991"/>
    <w:rsid w:val="3ABB02C8"/>
    <w:rsid w:val="3B585B17"/>
    <w:rsid w:val="3B706131"/>
    <w:rsid w:val="3BA93AD1"/>
    <w:rsid w:val="3BCA1B24"/>
    <w:rsid w:val="3C681D8A"/>
    <w:rsid w:val="3D2008B6"/>
    <w:rsid w:val="3D29776B"/>
    <w:rsid w:val="3DFB03D8"/>
    <w:rsid w:val="3E6F041E"/>
    <w:rsid w:val="3FBB6674"/>
    <w:rsid w:val="3FCC6AD3"/>
    <w:rsid w:val="405D597D"/>
    <w:rsid w:val="4081341A"/>
    <w:rsid w:val="40D8240F"/>
    <w:rsid w:val="411C3143"/>
    <w:rsid w:val="41582A5C"/>
    <w:rsid w:val="41CC2DBB"/>
    <w:rsid w:val="4275481E"/>
    <w:rsid w:val="428B617A"/>
    <w:rsid w:val="433D7BDC"/>
    <w:rsid w:val="437E1813"/>
    <w:rsid w:val="43EF0FE2"/>
    <w:rsid w:val="43F20826"/>
    <w:rsid w:val="44CA7C7F"/>
    <w:rsid w:val="45BD47FC"/>
    <w:rsid w:val="45CC5FB2"/>
    <w:rsid w:val="464529FA"/>
    <w:rsid w:val="46B75BA8"/>
    <w:rsid w:val="46C53BA3"/>
    <w:rsid w:val="46DC75FC"/>
    <w:rsid w:val="487970CD"/>
    <w:rsid w:val="48BC6665"/>
    <w:rsid w:val="48C97955"/>
    <w:rsid w:val="48CA6646"/>
    <w:rsid w:val="48E24BBA"/>
    <w:rsid w:val="49184B37"/>
    <w:rsid w:val="494F67AB"/>
    <w:rsid w:val="49880C8F"/>
    <w:rsid w:val="4A8561FD"/>
    <w:rsid w:val="4A8835F7"/>
    <w:rsid w:val="4B592E71"/>
    <w:rsid w:val="4BE60F1D"/>
    <w:rsid w:val="4CE74F4D"/>
    <w:rsid w:val="4CF539DF"/>
    <w:rsid w:val="4D2E0486"/>
    <w:rsid w:val="4D371A30"/>
    <w:rsid w:val="4DD45540"/>
    <w:rsid w:val="4DDA060D"/>
    <w:rsid w:val="4F195165"/>
    <w:rsid w:val="50615016"/>
    <w:rsid w:val="52650D16"/>
    <w:rsid w:val="526B3F2A"/>
    <w:rsid w:val="52B9239A"/>
    <w:rsid w:val="53193986"/>
    <w:rsid w:val="53422EDD"/>
    <w:rsid w:val="539D6365"/>
    <w:rsid w:val="53C34BA7"/>
    <w:rsid w:val="54BD78FD"/>
    <w:rsid w:val="552D196B"/>
    <w:rsid w:val="572A3CDF"/>
    <w:rsid w:val="580C557C"/>
    <w:rsid w:val="58A86DDE"/>
    <w:rsid w:val="58C6010C"/>
    <w:rsid w:val="59154AD7"/>
    <w:rsid w:val="593D49CE"/>
    <w:rsid w:val="59CF4D9E"/>
    <w:rsid w:val="5A9A35FE"/>
    <w:rsid w:val="5AC71F19"/>
    <w:rsid w:val="5ADF548D"/>
    <w:rsid w:val="5C68504C"/>
    <w:rsid w:val="5C814A76"/>
    <w:rsid w:val="5CC42BB4"/>
    <w:rsid w:val="5D5C60B4"/>
    <w:rsid w:val="5E08087F"/>
    <w:rsid w:val="5E135BA1"/>
    <w:rsid w:val="5F6E12AA"/>
    <w:rsid w:val="5FD316B9"/>
    <w:rsid w:val="60031C46"/>
    <w:rsid w:val="60DD58EC"/>
    <w:rsid w:val="60F577E0"/>
    <w:rsid w:val="61C94742"/>
    <w:rsid w:val="639826A5"/>
    <w:rsid w:val="63E1229E"/>
    <w:rsid w:val="63F04A69"/>
    <w:rsid w:val="642B176B"/>
    <w:rsid w:val="652561BA"/>
    <w:rsid w:val="652811A1"/>
    <w:rsid w:val="663E5786"/>
    <w:rsid w:val="66A50B1E"/>
    <w:rsid w:val="676C6322"/>
    <w:rsid w:val="67B2063C"/>
    <w:rsid w:val="67C97AC3"/>
    <w:rsid w:val="67E30EC1"/>
    <w:rsid w:val="68534DEC"/>
    <w:rsid w:val="68CA77A4"/>
    <w:rsid w:val="68F3328F"/>
    <w:rsid w:val="695F613F"/>
    <w:rsid w:val="69620955"/>
    <w:rsid w:val="69747710"/>
    <w:rsid w:val="6A06480C"/>
    <w:rsid w:val="6A4E3B2B"/>
    <w:rsid w:val="6B481C3B"/>
    <w:rsid w:val="6B8E2D0B"/>
    <w:rsid w:val="6B99345E"/>
    <w:rsid w:val="6BF1329A"/>
    <w:rsid w:val="6C1331A3"/>
    <w:rsid w:val="6CA84BC1"/>
    <w:rsid w:val="6D0E1A3E"/>
    <w:rsid w:val="6D3E4756"/>
    <w:rsid w:val="6D940381"/>
    <w:rsid w:val="6F0E5A30"/>
    <w:rsid w:val="6FC523EB"/>
    <w:rsid w:val="700532A9"/>
    <w:rsid w:val="714D0F73"/>
    <w:rsid w:val="72895F2E"/>
    <w:rsid w:val="72B55613"/>
    <w:rsid w:val="72C02EBE"/>
    <w:rsid w:val="72C507AD"/>
    <w:rsid w:val="72D028D8"/>
    <w:rsid w:val="73100ED3"/>
    <w:rsid w:val="732E0930"/>
    <w:rsid w:val="745D47C3"/>
    <w:rsid w:val="76AC3757"/>
    <w:rsid w:val="775F37AE"/>
    <w:rsid w:val="77E84083"/>
    <w:rsid w:val="78A51694"/>
    <w:rsid w:val="78E73A5B"/>
    <w:rsid w:val="79676168"/>
    <w:rsid w:val="79E36624"/>
    <w:rsid w:val="7BB51BEE"/>
    <w:rsid w:val="7C2428D0"/>
    <w:rsid w:val="7CB93F8E"/>
    <w:rsid w:val="7CF66B46"/>
    <w:rsid w:val="7D1E1A15"/>
    <w:rsid w:val="7D276B1C"/>
    <w:rsid w:val="7D9341B1"/>
    <w:rsid w:val="7DBD28BA"/>
    <w:rsid w:val="7E755665"/>
    <w:rsid w:val="7F5F07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semiHidden="0"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4"/>
    <w:semiHidden/>
    <w:qFormat/>
    <w:uiPriority w:val="0"/>
    <w:pPr>
      <w:keepNext/>
      <w:keepLines/>
      <w:spacing w:line="416" w:lineRule="auto"/>
      <w:outlineLvl w:val="2"/>
    </w:pPr>
    <w:rPr>
      <w:b/>
      <w:bCs/>
      <w:sz w:val="32"/>
      <w:szCs w:val="32"/>
    </w:rPr>
  </w:style>
  <w:style w:type="paragraph" w:styleId="7">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2"/>
    <w:qFormat/>
    <w:uiPriority w:val="98"/>
    <w:rPr>
      <w:rFonts w:ascii="仿宋_GB2312" w:eastAsia="仿宋_GB2312"/>
      <w:sz w:val="32"/>
    </w:rPr>
  </w:style>
  <w:style w:type="paragraph" w:styleId="3">
    <w:name w:val="Body Text Indent"/>
    <w:basedOn w:val="1"/>
    <w:link w:val="49"/>
    <w:semiHidden/>
    <w:qFormat/>
    <w:uiPriority w:val="0"/>
    <w:pPr>
      <w:spacing w:after="120"/>
      <w:ind w:left="420" w:leftChars="200"/>
    </w:pPr>
    <w:rPr>
      <w:rFonts w:ascii="Calibri" w:hAnsi="Calibri"/>
      <w:szCs w:val="22"/>
    </w:rPr>
  </w:style>
  <w:style w:type="paragraph" w:styleId="9">
    <w:name w:val="E-mail Signature"/>
    <w:basedOn w:val="1"/>
    <w:link w:val="104"/>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6"/>
    <w:qFormat/>
    <w:uiPriority w:val="99"/>
    <w:pPr>
      <w:jc w:val="left"/>
    </w:p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1"/>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8"/>
    <w:semiHidden/>
    <w:qFormat/>
    <w:uiPriority w:val="0"/>
    <w:rPr>
      <w:sz w:val="18"/>
      <w:szCs w:val="18"/>
    </w:rPr>
  </w:style>
  <w:style w:type="paragraph" w:styleId="18">
    <w:name w:val="footer"/>
    <w:basedOn w:val="1"/>
    <w:link w:val="43"/>
    <w:semiHidden/>
    <w:qFormat/>
    <w:uiPriority w:val="0"/>
    <w:pPr>
      <w:tabs>
        <w:tab w:val="center" w:pos="4153"/>
        <w:tab w:val="right" w:pos="8306"/>
      </w:tabs>
      <w:snapToGrid w:val="0"/>
      <w:jc w:val="left"/>
    </w:pPr>
    <w:rPr>
      <w:sz w:val="18"/>
      <w:szCs w:val="18"/>
    </w:rPr>
  </w:style>
  <w:style w:type="paragraph" w:styleId="19">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2"/>
    <w:next w:val="12"/>
    <w:link w:val="54"/>
    <w:semiHidden/>
    <w:qFormat/>
    <w:uiPriority w:val="98"/>
    <w:rPr>
      <w:b/>
      <w:bCs/>
    </w:rPr>
  </w:style>
  <w:style w:type="paragraph" w:styleId="29">
    <w:name w:val="Body Text First Indent 2"/>
    <w:basedOn w:val="3"/>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paragraph" w:customStyle="1" w:styleId="39">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2"/>
    <w:semiHidden/>
    <w:qFormat/>
    <w:uiPriority w:val="98"/>
    <w:rPr>
      <w:rFonts w:ascii="仿宋_GB2312" w:eastAsia="仿宋_GB2312"/>
      <w:kern w:val="2"/>
      <w:sz w:val="32"/>
    </w:rPr>
  </w:style>
  <w:style w:type="character" w:customStyle="1" w:styleId="43">
    <w:name w:val="页脚 字符"/>
    <w:link w:val="18"/>
    <w:semiHidden/>
    <w:qFormat/>
    <w:uiPriority w:val="0"/>
    <w:rPr>
      <w:kern w:val="2"/>
      <w:sz w:val="18"/>
      <w:szCs w:val="18"/>
    </w:rPr>
  </w:style>
  <w:style w:type="character" w:customStyle="1" w:styleId="44">
    <w:name w:val="标题 3 字符"/>
    <w:link w:val="6"/>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2"/>
    <w:qFormat/>
    <w:uiPriority w:val="99"/>
    <w:rPr>
      <w:kern w:val="2"/>
      <w:sz w:val="21"/>
    </w:rPr>
  </w:style>
  <w:style w:type="character" w:customStyle="1" w:styleId="47">
    <w:name w:val="apple-converted-space"/>
    <w:basedOn w:val="32"/>
    <w:semiHidden/>
    <w:qFormat/>
    <w:uiPriority w:val="98"/>
  </w:style>
  <w:style w:type="character" w:customStyle="1" w:styleId="48">
    <w:name w:val="批注框文本 字符"/>
    <w:link w:val="17"/>
    <w:semiHidden/>
    <w:qFormat/>
    <w:uiPriority w:val="98"/>
    <w:rPr>
      <w:kern w:val="2"/>
      <w:sz w:val="18"/>
      <w:szCs w:val="18"/>
    </w:rPr>
  </w:style>
  <w:style w:type="character" w:customStyle="1" w:styleId="49">
    <w:name w:val="正文文本缩进 字符"/>
    <w:link w:val="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4"/>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19"/>
    <w:semiHidden/>
    <w:qFormat/>
    <w:uiPriority w:val="0"/>
    <w:rPr>
      <w:kern w:val="2"/>
      <w:sz w:val="18"/>
      <w:szCs w:val="18"/>
    </w:rPr>
  </w:style>
  <w:style w:type="character" w:customStyle="1" w:styleId="54">
    <w:name w:val="批注主题 字符"/>
    <w:link w:val="28"/>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2"/>
    <w:link w:val="4"/>
    <w:semiHidden/>
    <w:qFormat/>
    <w:uiPriority w:val="0"/>
    <w:rPr>
      <w:b/>
      <w:bCs/>
      <w:kern w:val="44"/>
      <w:sz w:val="44"/>
      <w:szCs w:val="44"/>
    </w:rPr>
  </w:style>
  <w:style w:type="paragraph" w:customStyle="1" w:styleId="68">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5"/>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7"/>
    <w:semiHidden/>
    <w:qFormat/>
    <w:uiPriority w:val="0"/>
    <w:rPr>
      <w:rFonts w:ascii="Arial" w:hAnsi="Arial"/>
      <w:b/>
      <w:bCs/>
      <w:kern w:val="2"/>
      <w:sz w:val="21"/>
      <w:szCs w:val="28"/>
    </w:rPr>
  </w:style>
  <w:style w:type="character" w:customStyle="1" w:styleId="78">
    <w:name w:val="标题 5 字符"/>
    <w:basedOn w:val="32"/>
    <w:link w:val="8"/>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1"/>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9"/>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首行缩进"/>
    <w:basedOn w:val="1"/>
    <w:qFormat/>
    <w:uiPriority w:val="0"/>
    <w:pPr>
      <w:spacing w:line="360" w:lineRule="auto"/>
      <w:ind w:firstLine="480" w:firstLineChars="200"/>
    </w:pPr>
    <w:rPr>
      <w:rFonts w:ascii="宋体" w:hAnsi="宋体" w:cs="宋体"/>
      <w:kern w:val="0"/>
      <w:sz w:val="24"/>
    </w:rPr>
  </w:style>
  <w:style w:type="character" w:customStyle="1" w:styleId="112">
    <w:name w:val="font11"/>
    <w:basedOn w:val="32"/>
    <w:qFormat/>
    <w:uiPriority w:val="0"/>
    <w:rPr>
      <w:rFonts w:hint="eastAsia" w:ascii="宋体" w:hAnsi="宋体" w:eastAsia="宋体" w:cs="宋体"/>
      <w:color w:val="000000"/>
      <w:sz w:val="24"/>
      <w:szCs w:val="24"/>
      <w:u w:val="single"/>
    </w:rPr>
  </w:style>
  <w:style w:type="character" w:customStyle="1" w:styleId="113">
    <w:name w:val="font21"/>
    <w:basedOn w:val="32"/>
    <w:qFormat/>
    <w:uiPriority w:val="0"/>
    <w:rPr>
      <w:rFonts w:hint="eastAsia" w:ascii="宋体" w:hAnsi="宋体" w:eastAsia="宋体" w:cs="宋体"/>
      <w:color w:val="000000"/>
      <w:sz w:val="24"/>
      <w:szCs w:val="24"/>
      <w:u w:val="none"/>
    </w:rPr>
  </w:style>
  <w:style w:type="paragraph" w:customStyle="1" w:styleId="114">
    <w:name w:val="标书三级标题"/>
    <w:basedOn w:val="6"/>
    <w:qFormat/>
    <w:uiPriority w:val="0"/>
    <w:pPr>
      <w:spacing w:line="240" w:lineRule="auto"/>
      <w:ind w:firstLine="482" w:firstLineChars="200"/>
    </w:pPr>
    <w:rPr>
      <w:color w:val="000000"/>
      <w:kern w:val="0"/>
      <w:sz w:val="24"/>
      <w:szCs w:val="24"/>
    </w:rPr>
  </w:style>
  <w:style w:type="paragraph" w:customStyle="1" w:styleId="115">
    <w:name w:val="标书正文格式"/>
    <w:basedOn w:val="14"/>
    <w:qFormat/>
    <w:uiPriority w:val="0"/>
    <w:pPr>
      <w:spacing w:line="360" w:lineRule="auto"/>
      <w:ind w:firstLine="200" w:firstLineChars="200"/>
    </w:pPr>
    <w:rPr>
      <w:rFonts w:hAnsi="宋体"/>
      <w:color w:val="000000"/>
      <w:kern w:val="0"/>
      <w:sz w:val="24"/>
      <w:szCs w:val="24"/>
    </w:rPr>
  </w:style>
  <w:style w:type="paragraph" w:customStyle="1" w:styleId="116">
    <w:name w:val="Fließtext"/>
    <w:basedOn w:val="1"/>
    <w:qFormat/>
    <w:uiPriority w:val="99"/>
    <w:pPr>
      <w:widowControl/>
      <w:ind w:left="1134"/>
      <w:jc w:val="left"/>
    </w:pPr>
    <w:rPr>
      <w:rFonts w:ascii="Arial" w:hAnsi="Arial"/>
      <w:kern w:val="0"/>
      <w:szCs w:val="20"/>
      <w:lang w:val="de-DE" w:eastAsia="de-DE"/>
    </w:rPr>
  </w:style>
  <w:style w:type="paragraph" w:customStyle="1" w:styleId="117">
    <w:name w:val="WPSOffice手动目录 1"/>
    <w:qFormat/>
    <w:uiPriority w:val="0"/>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image" Target="media/image19.png"/><Relationship Id="rId30" Type="http://schemas.openxmlformats.org/officeDocument/2006/relationships/image" Target="media/image18.png"/><Relationship Id="rId3" Type="http://schemas.openxmlformats.org/officeDocument/2006/relationships/footer" Target="footer1.xml"/><Relationship Id="rId29" Type="http://schemas.openxmlformats.org/officeDocument/2006/relationships/image" Target="media/image17.png"/><Relationship Id="rId28" Type="http://schemas.openxmlformats.org/officeDocument/2006/relationships/image" Target="media/image16.png"/><Relationship Id="rId27" Type="http://schemas.openxmlformats.org/officeDocument/2006/relationships/image" Target="media/image15.png"/><Relationship Id="rId26" Type="http://schemas.openxmlformats.org/officeDocument/2006/relationships/image" Target="media/image14.png"/><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jpeg"/><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53</Pages>
  <Words>25244</Words>
  <Characters>27421</Characters>
  <Lines>127</Lines>
  <Paragraphs>35</Paragraphs>
  <TotalTime>11</TotalTime>
  <ScaleCrop>false</ScaleCrop>
  <LinksUpToDate>false</LinksUpToDate>
  <CharactersWithSpaces>28182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0174L</cp:lastModifiedBy>
  <cp:lastPrinted>2020-06-28T02:28:00Z</cp:lastPrinted>
  <dcterms:modified xsi:type="dcterms:W3CDTF">2025-12-15T07:11:47Z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0B2CDFCD8D774ECB822BE341606E809C_13</vt:lpwstr>
  </property>
  <property fmtid="{D5CDD505-2E9C-101B-9397-08002B2CF9AE}" pid="4" name="KSOTemplateDocerSaveRecord">
    <vt:lpwstr>eyJoZGlkIjoiZDZiY2E3MTk3OWVkMDZmNDgwYmUwNDViMmIxMTA0OGYiLCJ1c2VySWQiOiIxMTQwNDY2NTAwIn0=</vt:lpwstr>
  </property>
</Properties>
</file>