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0B9B168">
      <w:pPr>
        <w:pStyle w:val="5"/>
        <w:widowControl/>
        <w:jc w:val="center"/>
        <w:rPr>
          <w:i w:val="0"/>
          <w:iCs/>
          <w:sz w:val="32"/>
          <w:szCs w:val="32"/>
          <w:lang w:val="en-US"/>
        </w:rPr>
      </w:pPr>
      <w:bookmarkStart w:id="0" w:name="_Toc12866"/>
      <w:r>
        <w:rPr>
          <w:rFonts w:hint="eastAsia" w:cs="宋体"/>
          <w:i w:val="0"/>
          <w:iCs/>
          <w:sz w:val="32"/>
          <w:szCs w:val="32"/>
          <w:lang w:val="en-US" w:eastAsia="zh-CN"/>
        </w:rPr>
        <w:t>机械手抛丸机项修项目招标公告</w:t>
      </w:r>
      <w:bookmarkEnd w:id="0"/>
    </w:p>
    <w:p w14:paraId="2538CB01">
      <w:pPr>
        <w:pStyle w:val="5"/>
        <w:widowControl/>
        <w:jc w:val="center"/>
        <w:rPr>
          <w:rFonts w:hint="eastAsia" w:ascii="Cambria" w:hAnsi="Cambria" w:eastAsia="宋体" w:cs="宋体"/>
          <w:b/>
          <w:bCs/>
          <w:i w:val="0"/>
          <w:iCs/>
          <w:sz w:val="22"/>
          <w:szCs w:val="22"/>
          <w:highlight w:val="none"/>
          <w:lang w:eastAsia="zh-CN"/>
        </w:rPr>
      </w:pPr>
      <w:bookmarkStart w:id="1" w:name="_Toc27465"/>
      <w:r>
        <w:rPr>
          <w:rFonts w:hint="eastAsia" w:ascii="Cambria" w:hAnsi="Cambria" w:eastAsia="宋体" w:cs="宋体"/>
          <w:b/>
          <w:bCs/>
          <w:i w:val="0"/>
          <w:iCs/>
          <w:sz w:val="22"/>
          <w:szCs w:val="22"/>
          <w:highlight w:val="none"/>
          <w:lang w:eastAsia="zh-CN"/>
        </w:rPr>
        <w:t>招标编号：（</w:t>
      </w:r>
      <w:r>
        <w:rPr>
          <w:rFonts w:hint="eastAsia" w:cs="宋体"/>
          <w:b/>
          <w:bCs/>
          <w:i w:val="0"/>
          <w:iCs/>
          <w:sz w:val="22"/>
          <w:szCs w:val="22"/>
          <w:highlight w:val="yellow"/>
          <w:lang w:val="en-US" w:eastAsia="zh-CN"/>
        </w:rPr>
        <w:t>ZBGL2026060109</w:t>
      </w:r>
      <w:r>
        <w:rPr>
          <w:rFonts w:hint="eastAsia" w:ascii="Cambria" w:hAnsi="Cambria" w:eastAsia="宋体" w:cs="宋体"/>
          <w:b/>
          <w:bCs/>
          <w:i w:val="0"/>
          <w:iCs/>
          <w:sz w:val="22"/>
          <w:szCs w:val="22"/>
          <w:highlight w:val="none"/>
          <w:lang w:eastAsia="zh-CN"/>
        </w:rPr>
        <w:t>）</w:t>
      </w:r>
      <w:bookmarkEnd w:id="1"/>
    </w:p>
    <w:p w14:paraId="24774EDC">
      <w:pPr>
        <w:rPr>
          <w:rFonts w:hint="eastAsia" w:asciiTheme="majorEastAsia" w:hAnsiTheme="majorEastAsia" w:eastAsiaTheme="majorEastAsia" w:cstheme="majorEastAsia"/>
          <w:b/>
          <w:bCs/>
          <w:sz w:val="24"/>
          <w:szCs w:val="24"/>
        </w:rPr>
      </w:pPr>
    </w:p>
    <w:p w14:paraId="38C4E671">
      <w:pPr>
        <w:rPr>
          <w:rFonts w:hint="eastAsia" w:asciiTheme="majorEastAsia" w:hAnsiTheme="majorEastAsia" w:eastAsiaTheme="majorEastAsia" w:cstheme="majorEastAsia"/>
          <w:b/>
          <w:bCs/>
          <w:sz w:val="24"/>
          <w:szCs w:val="24"/>
        </w:rPr>
      </w:pPr>
    </w:p>
    <w:tbl>
      <w:tblPr>
        <w:tblStyle w:val="10"/>
        <w:tblW w:w="9287" w:type="dxa"/>
        <w:jc w:val="center"/>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2199"/>
        <w:gridCol w:w="2444"/>
        <w:gridCol w:w="2200"/>
        <w:gridCol w:w="2444"/>
      </w:tblGrid>
      <w:tr w14:paraId="7CDB0DA4">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0" w:hRule="atLeast"/>
          <w:jc w:val="center"/>
        </w:trPr>
        <w:tc>
          <w:tcPr>
            <w:tcW w:w="2199" w:type="dxa"/>
            <w:shd w:val="clear" w:color="auto" w:fill="DEDEDE"/>
            <w:vAlign w:val="center"/>
          </w:tcPr>
          <w:p w14:paraId="52EADA8B">
            <w:pPr>
              <w:keepNext w:val="0"/>
              <w:keepLines w:val="0"/>
              <w:widowControl/>
              <w:suppressLineNumbers w:val="0"/>
              <w:snapToGrid w:val="0"/>
              <w:spacing w:before="0" w:beforeAutospacing="0" w:after="0" w:afterAutospacing="0" w:line="300" w:lineRule="atLeast"/>
              <w:ind w:left="0" w:right="0"/>
              <w:jc w:val="center"/>
              <w:rPr>
                <w:rFonts w:ascii="微软雅黑" w:hAnsi="微软雅黑" w:eastAsia="微软雅黑" w:cs="微软雅黑"/>
                <w:color w:val="333333"/>
                <w:sz w:val="24"/>
                <w:szCs w:val="24"/>
              </w:rPr>
            </w:pPr>
            <w:r>
              <w:rPr>
                <w:rFonts w:hint="eastAsia" w:ascii="微软雅黑" w:hAnsi="微软雅黑" w:eastAsia="微软雅黑" w:cs="微软雅黑"/>
                <w:color w:val="333333"/>
                <w:kern w:val="0"/>
                <w:sz w:val="24"/>
                <w:szCs w:val="24"/>
                <w:lang w:val="en-US" w:eastAsia="zh-CN" w:bidi="ar"/>
              </w:rPr>
              <w:t xml:space="preserve">有效起始日期 </w:t>
            </w:r>
          </w:p>
        </w:tc>
        <w:tc>
          <w:tcPr>
            <w:tcW w:w="2444" w:type="dxa"/>
            <w:shd w:val="clear" w:color="auto" w:fill="auto"/>
            <w:tcMar>
              <w:top w:w="150" w:type="dxa"/>
              <w:left w:w="150" w:type="dxa"/>
              <w:bottom w:w="150" w:type="dxa"/>
              <w:right w:w="150" w:type="dxa"/>
            </w:tcMar>
            <w:vAlign w:val="center"/>
          </w:tcPr>
          <w:p w14:paraId="74BA8EA9">
            <w:pPr>
              <w:keepNext w:val="0"/>
              <w:keepLines w:val="0"/>
              <w:widowControl/>
              <w:suppressLineNumbers w:val="0"/>
              <w:spacing w:before="0" w:beforeAutospacing="0" w:after="0" w:afterAutospacing="0" w:line="300" w:lineRule="atLeast"/>
              <w:ind w:left="0" w:right="0"/>
              <w:jc w:val="left"/>
              <w:rPr>
                <w:rFonts w:hint="default" w:ascii="微软雅黑" w:hAnsi="微软雅黑" w:eastAsia="微软雅黑" w:cs="微软雅黑"/>
                <w:color w:val="333333"/>
                <w:sz w:val="24"/>
                <w:szCs w:val="24"/>
                <w:lang w:val="en-US"/>
              </w:rPr>
            </w:pPr>
            <w:r>
              <w:rPr>
                <w:rFonts w:hint="eastAsia" w:ascii="微软雅黑" w:hAnsi="微软雅黑" w:eastAsia="微软雅黑" w:cs="微软雅黑"/>
                <w:color w:val="333333"/>
                <w:kern w:val="0"/>
                <w:sz w:val="24"/>
                <w:szCs w:val="24"/>
                <w:lang w:val="en-US" w:eastAsia="zh-CN" w:bidi="ar"/>
              </w:rPr>
              <w:t>2026-6-24</w:t>
            </w:r>
          </w:p>
        </w:tc>
        <w:tc>
          <w:tcPr>
            <w:tcW w:w="2200" w:type="dxa"/>
            <w:shd w:val="clear" w:color="auto" w:fill="DEDEDE"/>
            <w:vAlign w:val="center"/>
          </w:tcPr>
          <w:p w14:paraId="79C8B3E5">
            <w:pPr>
              <w:keepNext w:val="0"/>
              <w:keepLines w:val="0"/>
              <w:widowControl/>
              <w:suppressLineNumbers w:val="0"/>
              <w:spacing w:before="0" w:beforeAutospacing="0" w:after="0" w:afterAutospacing="0" w:line="300" w:lineRule="atLeast"/>
              <w:ind w:left="0" w:right="0"/>
              <w:jc w:val="center"/>
              <w:rPr>
                <w:rFonts w:hint="eastAsia" w:ascii="微软雅黑" w:hAnsi="微软雅黑" w:eastAsia="微软雅黑" w:cs="微软雅黑"/>
                <w:color w:val="333333"/>
                <w:sz w:val="24"/>
                <w:szCs w:val="24"/>
              </w:rPr>
            </w:pPr>
            <w:r>
              <w:rPr>
                <w:rFonts w:hint="eastAsia" w:ascii="微软雅黑" w:hAnsi="微软雅黑" w:eastAsia="微软雅黑" w:cs="微软雅黑"/>
                <w:color w:val="333333"/>
                <w:kern w:val="0"/>
                <w:sz w:val="24"/>
                <w:szCs w:val="24"/>
                <w:lang w:val="en-US" w:eastAsia="zh-CN" w:bidi="ar"/>
              </w:rPr>
              <w:t xml:space="preserve">有效截止日期 </w:t>
            </w:r>
          </w:p>
        </w:tc>
        <w:tc>
          <w:tcPr>
            <w:tcW w:w="2444" w:type="dxa"/>
            <w:shd w:val="clear" w:color="auto" w:fill="auto"/>
            <w:tcMar>
              <w:top w:w="150" w:type="dxa"/>
              <w:left w:w="150" w:type="dxa"/>
              <w:bottom w:w="150" w:type="dxa"/>
              <w:right w:w="150" w:type="dxa"/>
            </w:tcMar>
            <w:vAlign w:val="center"/>
          </w:tcPr>
          <w:p w14:paraId="0B5E7584">
            <w:pPr>
              <w:keepNext w:val="0"/>
              <w:keepLines w:val="0"/>
              <w:widowControl/>
              <w:suppressLineNumbers w:val="0"/>
              <w:spacing w:before="0" w:beforeAutospacing="0" w:after="0" w:afterAutospacing="0" w:line="300" w:lineRule="atLeast"/>
              <w:ind w:left="0" w:right="0"/>
              <w:jc w:val="left"/>
              <w:rPr>
                <w:rFonts w:hint="default" w:ascii="微软雅黑" w:hAnsi="微软雅黑" w:eastAsia="微软雅黑" w:cs="微软雅黑"/>
                <w:color w:val="333333"/>
                <w:sz w:val="24"/>
                <w:szCs w:val="24"/>
                <w:lang w:val="en-US"/>
              </w:rPr>
            </w:pPr>
            <w:r>
              <w:rPr>
                <w:rFonts w:hint="eastAsia" w:ascii="微软雅黑" w:hAnsi="微软雅黑" w:eastAsia="微软雅黑" w:cs="微软雅黑"/>
                <w:color w:val="333333"/>
                <w:kern w:val="0"/>
                <w:sz w:val="24"/>
                <w:szCs w:val="24"/>
                <w:lang w:val="en-US" w:eastAsia="zh-CN" w:bidi="ar"/>
              </w:rPr>
              <w:t>2026-6-29</w:t>
            </w:r>
          </w:p>
        </w:tc>
      </w:tr>
    </w:tbl>
    <w:p w14:paraId="40D0D37B">
      <w:pPr>
        <w:rPr>
          <w:rFonts w:hint="eastAsia" w:asciiTheme="majorEastAsia" w:hAnsiTheme="majorEastAsia" w:eastAsiaTheme="majorEastAsia" w:cstheme="majorEastAsia"/>
          <w:b/>
          <w:bCs/>
          <w:sz w:val="24"/>
          <w:szCs w:val="24"/>
        </w:rPr>
      </w:pPr>
    </w:p>
    <w:p w14:paraId="03D08F20">
      <w:pPr>
        <w:ind w:firstLine="48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一、项目概况</w:t>
      </w:r>
    </w:p>
    <w:p w14:paraId="0F65672C">
      <w:pPr>
        <w:ind w:firstLine="48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负责机械手抛丸机维修，确保设备正常运行状态</w:t>
      </w:r>
    </w:p>
    <w:p w14:paraId="65627F86">
      <w:pPr>
        <w:ind w:firstLine="48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二、项目基本情况</w:t>
      </w:r>
    </w:p>
    <w:p w14:paraId="4E31571B">
      <w:pPr>
        <w:ind w:firstLine="48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1、项目名称：机械手抛丸机项修项目</w:t>
      </w:r>
    </w:p>
    <w:p w14:paraId="7651AE9E">
      <w:pPr>
        <w:ind w:firstLine="48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2、项目类别：服务类</w:t>
      </w:r>
    </w:p>
    <w:p w14:paraId="5ED3190E">
      <w:pPr>
        <w:ind w:firstLine="48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3、采购方式：公开招标</w:t>
      </w:r>
    </w:p>
    <w:p w14:paraId="15F88852">
      <w:pPr>
        <w:ind w:firstLine="48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4、采购内容：机械手抛丸机项修项目，具体实施明细以技术标书为准。如需要，由投标人自行勘察现场，进行合理报价。投标总报价应包括设备费、原厂服务费及相关配件、随机资料、保险、税费、运杂、安装调试、与其他专业配合、配合办理政府验收手续（不限质监验收、消防验收、环评及职业卫生评价、安全评价等）及可预见的风险以及其它不可预见等全部费用。</w:t>
      </w:r>
    </w:p>
    <w:p w14:paraId="7D087B2F">
      <w:pPr>
        <w:ind w:firstLine="48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5、预算金额：122.38万元</w:t>
      </w:r>
    </w:p>
    <w:p w14:paraId="318A548C">
      <w:pPr>
        <w:ind w:firstLine="48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三、供应商资格条件</w:t>
      </w:r>
    </w:p>
    <w:p w14:paraId="4AF749C8">
      <w:pPr>
        <w:ind w:firstLine="48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1.投标人须遵守《中华人民共和国招标投标法》、《中华人民共和国民法典》及其它有关的法律和法规；为中华人民共和国境内注册的独立法人机构，具有独立承担民事责任能力；</w:t>
      </w:r>
    </w:p>
    <w:p w14:paraId="2BE0D07A">
      <w:pPr>
        <w:ind w:firstLine="48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2.公司成立五年以上（以营业执照成立日期到开标当日满五年为准）注册资金不能少于500万；经营范围满足招标项目需求；</w:t>
      </w:r>
    </w:p>
    <w:p w14:paraId="44CB89EC">
      <w:pPr>
        <w:ind w:firstLine="48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*3.投标人须提供具有统一社会信用代码的新版营业执照副本原件及复印件（加盖公章）；</w:t>
      </w:r>
    </w:p>
    <w:p w14:paraId="6EC9798B">
      <w:pPr>
        <w:ind w:firstLine="48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4.具有良好的商业信誉，在国家企业信用信息公示系统中无与本项目有关的行政处罚、列入经营异常名录和列入严重违法失信企业名单（黑名单）信息但上述信息已被移除的可参与投标；</w:t>
      </w:r>
    </w:p>
    <w:p w14:paraId="5785C3A5">
      <w:pPr>
        <w:ind w:firstLine="48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5.投标人在近三年内在经营活动中无违法记录。</w:t>
      </w:r>
    </w:p>
    <w:p w14:paraId="069D6ACF">
      <w:pPr>
        <w:ind w:firstLine="48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6.具有健全的财务会计制度，财务状况和市场行为良好。没有处于被有权机关吊销营业执照、吊销资质、停业整顿、取消投标资格以及财产被接管、冻结或进入破产程序等。</w:t>
      </w:r>
    </w:p>
    <w:p w14:paraId="3A4B9CDC">
      <w:pPr>
        <w:ind w:firstLine="48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7.投标人没有被列入招标人处《黑名单》（《黑名单》指投标人与招标人在以往或正在进行的合作中，存在招标人认为的违反合同约定或违反法律法规等的失信行为）的。投标人过往项目（和杭发公司合作项目）存在明显质量问题，经综合判定不合格的，视为不合格投标方。</w:t>
      </w:r>
    </w:p>
    <w:p w14:paraId="5DB5E2A1">
      <w:pPr>
        <w:ind w:firstLine="48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*8.投标人须提供</w:t>
      </w:r>
    </w:p>
    <w:p w14:paraId="65AB2965">
      <w:pPr>
        <w:ind w:firstLine="48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1）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且三年财务报表需要同e采通系统内提供的数据一致。</w:t>
      </w:r>
    </w:p>
    <w:p w14:paraId="0FBB5E16">
      <w:pPr>
        <w:ind w:firstLine="48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（2）企业最近半年完税证明、信用证明材料（银行信用代码证+征信报告） ；</w:t>
      </w:r>
    </w:p>
    <w:p w14:paraId="5408BF65">
      <w:pPr>
        <w:ind w:firstLine="48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（3）年度纳税信用评价信息（可从电子税务局查询截图，需加盖公章）；</w:t>
      </w:r>
    </w:p>
    <w:p w14:paraId="53A26651">
      <w:pPr>
        <w:ind w:firstLine="48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（4）企业对外担保说明（写明贵单位对外有无对外担保和质押业务，需加盖公章）。</w:t>
      </w:r>
    </w:p>
    <w:p w14:paraId="055142B9">
      <w:pPr>
        <w:ind w:firstLine="48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*9.投标人须提供法人授权委托书原件（在投标文件副本中可用复印件）及投标单位的法定代表人或授权代表的身份证原件及复印件（加盖公章）；</w:t>
      </w:r>
    </w:p>
    <w:p w14:paraId="1A8782F7">
      <w:pPr>
        <w:ind w:firstLine="48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10.投标人须具有履行合同所必须的设备、财务、技术、服务等方面的资质和能力；</w:t>
      </w:r>
    </w:p>
    <w:p w14:paraId="2E12746A">
      <w:pPr>
        <w:ind w:firstLine="48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11.投标人须具有完全履行招标文件的所有要求的能力；</w:t>
      </w:r>
    </w:p>
    <w:p w14:paraId="251EFB23">
      <w:pPr>
        <w:ind w:firstLine="48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12.投标人须认可招标人的工作指令，包括节、假日能正常开展工作的要求；</w:t>
      </w:r>
    </w:p>
    <w:p w14:paraId="090FAA23">
      <w:pPr>
        <w:ind w:firstLine="48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13.投标人必须是最终投标、签订合同的单位，不得以任何理由将已中标项目以任何形式转包给其他单位；</w:t>
      </w:r>
    </w:p>
    <w:p w14:paraId="7FA56816">
      <w:pPr>
        <w:ind w:firstLine="48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14.本次招标项目不接受联合体投标；</w:t>
      </w:r>
    </w:p>
    <w:p w14:paraId="6B3AD54D">
      <w:pPr>
        <w:ind w:firstLine="48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*15.投标人在向招标人出示《投标保证金缴纳凭证》后方可进行投标；</w:t>
      </w:r>
    </w:p>
    <w:p w14:paraId="6BD8A0D9">
      <w:pPr>
        <w:ind w:firstLine="48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16.投标文件提供1份正本（详见本招标文件“投标文件编制”），同时必须将正本扫描电子版上传e采通系统。</w:t>
      </w:r>
    </w:p>
    <w:p w14:paraId="341A0803">
      <w:pPr>
        <w:ind w:firstLine="48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17.如为代理商投标，需获得生产厂家正式授权，并提供授权书原件，保证提供原厂售后服务并提供承诺书原件。</w:t>
      </w:r>
    </w:p>
    <w:p w14:paraId="41E5EA20">
      <w:pPr>
        <w:ind w:firstLine="48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*18.投标单位应提供近三年相同项目或类似项目（含非标自动化设备改造、维修项目）的销售业绩（加盖公章）;</w:t>
      </w:r>
    </w:p>
    <w:p w14:paraId="167C197B">
      <w:pPr>
        <w:ind w:firstLine="48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注：上述带“*”项为必备的资格文件，缺项按不响应招标文件或无效投标处理，由专家组评定扣分或废标处理。</w:t>
      </w:r>
    </w:p>
    <w:p w14:paraId="472D4EAC">
      <w:pPr>
        <w:ind w:firstLine="48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 四、采购文件领取</w:t>
      </w:r>
    </w:p>
    <w:p w14:paraId="34C62598">
      <w:pPr>
        <w:ind w:firstLine="48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1、采购文件领取方式：线下</w:t>
      </w:r>
    </w:p>
    <w:p w14:paraId="5692EE59">
      <w:pPr>
        <w:ind w:firstLine="48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2、采购文件领取截止时间：2026-06-</w:t>
      </w:r>
      <w:r>
        <w:rPr>
          <w:rFonts w:hint="eastAsia" w:asciiTheme="majorEastAsia" w:hAnsiTheme="majorEastAsia" w:eastAsiaTheme="majorEastAsia" w:cstheme="majorEastAsia"/>
          <w:sz w:val="24"/>
          <w:szCs w:val="24"/>
          <w:lang w:val="en-US" w:eastAsia="zh-CN"/>
        </w:rPr>
        <w:t>29</w:t>
      </w:r>
      <w:r>
        <w:rPr>
          <w:rFonts w:hint="eastAsia" w:asciiTheme="majorEastAsia" w:hAnsiTheme="majorEastAsia" w:eastAsiaTheme="majorEastAsia" w:cstheme="majorEastAsia"/>
          <w:sz w:val="24"/>
          <w:szCs w:val="24"/>
        </w:rPr>
        <w:t xml:space="preserve"> 17:00:00</w:t>
      </w:r>
    </w:p>
    <w:p w14:paraId="3851B73B">
      <w:pPr>
        <w:ind w:firstLine="48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3、采购文件领取地点：济南市高新区华奥路777号重汽科技大厦</w:t>
      </w:r>
    </w:p>
    <w:p w14:paraId="29C960A6">
      <w:pPr>
        <w:ind w:firstLine="48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 五、响应文件提交</w:t>
      </w:r>
    </w:p>
    <w:p w14:paraId="65B95C59">
      <w:pPr>
        <w:ind w:firstLine="48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1、递交方式：线下</w:t>
      </w:r>
    </w:p>
    <w:p w14:paraId="5C311492">
      <w:pPr>
        <w:ind w:firstLine="48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2、递交截止时间：2026-</w:t>
      </w:r>
      <w:r>
        <w:rPr>
          <w:rFonts w:hint="eastAsia" w:asciiTheme="majorEastAsia" w:hAnsiTheme="majorEastAsia" w:eastAsiaTheme="majorEastAsia" w:cstheme="majorEastAsia"/>
          <w:sz w:val="24"/>
          <w:szCs w:val="24"/>
          <w:lang w:val="en-US" w:eastAsia="zh-CN"/>
        </w:rPr>
        <w:t>07-06</w:t>
      </w:r>
      <w:r>
        <w:rPr>
          <w:rFonts w:hint="eastAsia" w:asciiTheme="majorEastAsia" w:hAnsiTheme="majorEastAsia" w:eastAsiaTheme="majorEastAsia" w:cstheme="majorEastAsia"/>
          <w:sz w:val="24"/>
          <w:szCs w:val="24"/>
        </w:rPr>
        <w:t xml:space="preserve"> 09:30:00</w:t>
      </w:r>
    </w:p>
    <w:p w14:paraId="7E059DDA">
      <w:pPr>
        <w:ind w:firstLine="48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3、递交地点：济南市高新区华奥路777号重汽科技大厦</w:t>
      </w:r>
    </w:p>
    <w:p w14:paraId="3D037C24">
      <w:pPr>
        <w:ind w:firstLine="48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 六、开标时间和地点</w:t>
      </w:r>
    </w:p>
    <w:p w14:paraId="4659A5A4">
      <w:pPr>
        <w:ind w:firstLine="48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1、开标时间：2026-0</w:t>
      </w:r>
      <w:r>
        <w:rPr>
          <w:rFonts w:hint="eastAsia" w:asciiTheme="majorEastAsia" w:hAnsiTheme="majorEastAsia" w:eastAsiaTheme="majorEastAsia" w:cstheme="majorEastAsia"/>
          <w:sz w:val="24"/>
          <w:szCs w:val="24"/>
          <w:lang w:val="en-US" w:eastAsia="zh-CN"/>
        </w:rPr>
        <w:t>7</w:t>
      </w:r>
      <w:r>
        <w:rPr>
          <w:rFonts w:hint="eastAsia" w:asciiTheme="majorEastAsia" w:hAnsiTheme="majorEastAsia" w:eastAsiaTheme="majorEastAsia" w:cstheme="majorEastAsia"/>
          <w:sz w:val="24"/>
          <w:szCs w:val="24"/>
        </w:rPr>
        <w:t>-</w:t>
      </w:r>
      <w:r>
        <w:rPr>
          <w:rFonts w:hint="eastAsia" w:asciiTheme="majorEastAsia" w:hAnsiTheme="majorEastAsia" w:eastAsiaTheme="majorEastAsia" w:cstheme="majorEastAsia"/>
          <w:sz w:val="24"/>
          <w:szCs w:val="24"/>
          <w:lang w:val="en-US" w:eastAsia="zh-CN"/>
        </w:rPr>
        <w:t>06</w:t>
      </w:r>
      <w:r>
        <w:rPr>
          <w:rFonts w:hint="eastAsia" w:asciiTheme="majorEastAsia" w:hAnsiTheme="majorEastAsia" w:eastAsiaTheme="majorEastAsia" w:cstheme="majorEastAsia"/>
          <w:sz w:val="24"/>
          <w:szCs w:val="24"/>
        </w:rPr>
        <w:t xml:space="preserve"> 09:30:00</w:t>
      </w:r>
      <w:bookmarkStart w:id="2" w:name="_GoBack"/>
      <w:bookmarkEnd w:id="2"/>
    </w:p>
    <w:p w14:paraId="3958370E">
      <w:pPr>
        <w:ind w:firstLine="48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2、开标地点：济南市高新区华奥路777号重汽科技大厦三楼会议室</w:t>
      </w:r>
    </w:p>
    <w:p w14:paraId="7A5F5B6E">
      <w:pPr>
        <w:ind w:firstLine="48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 七、发布公告的媒介</w:t>
      </w:r>
    </w:p>
    <w:p w14:paraId="3B3D8C21">
      <w:pPr>
        <w:ind w:firstLine="48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阳光采购服务平台（www.ygcgfw.com）</w:t>
      </w:r>
    </w:p>
    <w:p w14:paraId="558C0827">
      <w:pPr>
        <w:ind w:firstLine="48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 八、联系方式</w:t>
      </w:r>
    </w:p>
    <w:p w14:paraId="189DD2DC">
      <w:pPr>
        <w:ind w:firstLine="48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1、采购人信息：</w:t>
      </w:r>
    </w:p>
    <w:p w14:paraId="536A6E5F">
      <w:pPr>
        <w:ind w:firstLine="48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名称：中国重型汽车集团有限公司</w:t>
      </w:r>
    </w:p>
    <w:p w14:paraId="6DB94075">
      <w:pPr>
        <w:ind w:firstLine="48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地址：中国重型汽车集团有限公司</w:t>
      </w:r>
    </w:p>
    <w:p w14:paraId="2BC8A789">
      <w:pPr>
        <w:ind w:firstLine="48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联系人：王老师</w:t>
      </w:r>
    </w:p>
    <w:p w14:paraId="72C3A1B1">
      <w:pPr>
        <w:ind w:firstLine="48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联系电话：17860600376</w:t>
      </w:r>
    </w:p>
    <w:p w14:paraId="01C29A60">
      <w:pPr>
        <w:ind w:firstLine="48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  九、其他说明</w:t>
      </w:r>
    </w:p>
    <w:p w14:paraId="0A4F32A6">
      <w:pPr>
        <w:ind w:firstLine="48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1.供应商需在阳光采购服务平台进行注册，注册后搜索该项目并进行报名。</w:t>
      </w:r>
    </w:p>
    <w:p w14:paraId="6CFC776E">
      <w:pPr>
        <w:ind w:firstLine="48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2.供应商需在重汽官网搜索本项目招标公告，根据要求准备报名资料。</w:t>
      </w:r>
    </w:p>
    <w:p w14:paraId="3BB268CE">
      <w:pPr>
        <w:ind w:firstLine="480"/>
        <w:rPr>
          <w:rFonts w:hint="eastAsia" w:asciiTheme="majorEastAsia" w:hAnsiTheme="majorEastAsia" w:eastAsiaTheme="majorEastAsia" w:cstheme="majorEastAsia"/>
          <w:sz w:val="24"/>
          <w:szCs w:val="24"/>
        </w:rPr>
      </w:pPr>
    </w:p>
    <w:p w14:paraId="233C8080">
      <w:pPr>
        <w:ind w:firstLine="480"/>
        <w:rPr>
          <w:rFonts w:hint="eastAsia" w:asciiTheme="majorEastAsia" w:hAnsiTheme="majorEastAsia" w:eastAsiaTheme="majorEastAsia" w:cstheme="majorEastAsia"/>
          <w:sz w:val="24"/>
          <w:szCs w:val="24"/>
        </w:rPr>
      </w:pPr>
    </w:p>
    <w:p w14:paraId="1431A22C">
      <w:pPr>
        <w:ind w:firstLine="480"/>
        <w:rPr>
          <w:rFonts w:hint="eastAsia" w:asciiTheme="majorEastAsia" w:hAnsiTheme="majorEastAsia" w:eastAsiaTheme="majorEastAsia" w:cstheme="majorEastAsia"/>
          <w:sz w:val="24"/>
          <w:szCs w:val="24"/>
        </w:rPr>
      </w:pPr>
    </w:p>
    <w:p w14:paraId="167DB504">
      <w:pPr>
        <w:ind w:firstLine="480"/>
        <w:rPr>
          <w:rFonts w:hint="eastAsia" w:asciiTheme="majorEastAsia" w:hAnsiTheme="majorEastAsia" w:eastAsiaTheme="majorEastAsia" w:cstheme="majorEastAsia"/>
          <w:sz w:val="24"/>
          <w:szCs w:val="24"/>
        </w:rPr>
      </w:pPr>
    </w:p>
    <w:p w14:paraId="369D886B">
      <w:pPr>
        <w:ind w:firstLine="480"/>
        <w:rPr>
          <w:rFonts w:hint="eastAsia" w:asciiTheme="majorEastAsia" w:hAnsiTheme="majorEastAsia" w:eastAsiaTheme="majorEastAsia" w:cstheme="majorEastAsia"/>
          <w:sz w:val="24"/>
          <w:szCs w:val="24"/>
        </w:rPr>
      </w:pPr>
    </w:p>
    <w:p w14:paraId="70239CEE">
      <w:pPr>
        <w:ind w:firstLine="480"/>
        <w:rPr>
          <w:rFonts w:hint="eastAsia" w:asciiTheme="majorEastAsia" w:hAnsiTheme="majorEastAsia" w:eastAsiaTheme="majorEastAsia" w:cstheme="majorEastAsia"/>
          <w:sz w:val="24"/>
          <w:szCs w:val="24"/>
        </w:rPr>
      </w:pPr>
    </w:p>
    <w:p w14:paraId="4AB6CD88">
      <w:pPr>
        <w:ind w:firstLine="480"/>
        <w:rPr>
          <w:rFonts w:hint="eastAsia" w:asciiTheme="majorEastAsia" w:hAnsiTheme="majorEastAsia" w:eastAsiaTheme="majorEastAsia" w:cstheme="majorEastAsia"/>
          <w:sz w:val="24"/>
          <w:szCs w:val="24"/>
        </w:rPr>
      </w:pPr>
    </w:p>
    <w:p w14:paraId="139FF02C">
      <w:pPr>
        <w:ind w:firstLine="480"/>
        <w:rPr>
          <w:rFonts w:hint="eastAsia" w:asciiTheme="majorEastAsia" w:hAnsiTheme="majorEastAsia" w:eastAsiaTheme="majorEastAsia" w:cstheme="majorEastAsia"/>
          <w:sz w:val="24"/>
          <w:szCs w:val="24"/>
        </w:rPr>
      </w:pPr>
    </w:p>
    <w:p w14:paraId="686E2AD7">
      <w:pPr>
        <w:ind w:firstLine="480"/>
        <w:rPr>
          <w:rFonts w:hint="eastAsia" w:asciiTheme="majorEastAsia" w:hAnsiTheme="majorEastAsia" w:eastAsiaTheme="majorEastAsia" w:cstheme="majorEastAsia"/>
          <w:sz w:val="24"/>
          <w:szCs w:val="24"/>
        </w:rPr>
      </w:pPr>
    </w:p>
    <w:p w14:paraId="13C6245B">
      <w:pPr>
        <w:ind w:firstLine="480"/>
        <w:rPr>
          <w:rFonts w:hint="eastAsia" w:asciiTheme="majorEastAsia" w:hAnsiTheme="majorEastAsia" w:eastAsiaTheme="majorEastAsia" w:cstheme="majorEastAsia"/>
          <w:sz w:val="24"/>
          <w:szCs w:val="24"/>
        </w:rPr>
      </w:pPr>
    </w:p>
    <w:p w14:paraId="0602F87A">
      <w:pPr>
        <w:ind w:firstLine="480"/>
        <w:rPr>
          <w:rFonts w:hint="eastAsia" w:asciiTheme="majorEastAsia" w:hAnsiTheme="majorEastAsia" w:eastAsiaTheme="majorEastAsia" w:cstheme="majorEastAsia"/>
          <w:sz w:val="24"/>
          <w:szCs w:val="24"/>
        </w:rPr>
      </w:pPr>
    </w:p>
    <w:p w14:paraId="5E350EDD">
      <w:pPr>
        <w:ind w:firstLine="480"/>
        <w:rPr>
          <w:rFonts w:hint="eastAsia" w:asciiTheme="majorEastAsia" w:hAnsiTheme="majorEastAsia" w:eastAsiaTheme="majorEastAsia" w:cstheme="majorEastAsia"/>
          <w:sz w:val="24"/>
          <w:szCs w:val="24"/>
        </w:rPr>
      </w:pPr>
    </w:p>
    <w:p w14:paraId="653807F5">
      <w:pPr>
        <w:ind w:firstLine="480"/>
        <w:rPr>
          <w:rFonts w:hint="eastAsia" w:asciiTheme="majorEastAsia" w:hAnsiTheme="majorEastAsia" w:eastAsiaTheme="majorEastAsia" w:cstheme="majorEastAsia"/>
          <w:sz w:val="24"/>
          <w:szCs w:val="24"/>
        </w:rPr>
      </w:pPr>
    </w:p>
    <w:p w14:paraId="6E8F62EE">
      <w:pPr>
        <w:ind w:firstLine="480"/>
        <w:rPr>
          <w:rFonts w:hint="eastAsia" w:asciiTheme="majorEastAsia" w:hAnsiTheme="majorEastAsia" w:eastAsiaTheme="majorEastAsia" w:cstheme="majorEastAsia"/>
          <w:sz w:val="24"/>
          <w:szCs w:val="24"/>
        </w:rPr>
      </w:pPr>
    </w:p>
    <w:p w14:paraId="2784BD04">
      <w:pPr>
        <w:rPr>
          <w:rFonts w:hint="eastAsia" w:asciiTheme="majorEastAsia" w:hAnsiTheme="majorEastAsia" w:eastAsiaTheme="majorEastAsia" w:cstheme="majorEastAsia"/>
          <w:sz w:val="24"/>
          <w:szCs w:val="24"/>
        </w:rPr>
      </w:pPr>
    </w:p>
    <w:p w14:paraId="00A4F2FD">
      <w:pPr>
        <w:ind w:firstLine="480"/>
        <w:rPr>
          <w:rFonts w:hint="eastAsia" w:asciiTheme="majorEastAsia" w:hAnsiTheme="majorEastAsia" w:eastAsiaTheme="majorEastAsia" w:cstheme="majorEastAsia"/>
          <w:sz w:val="24"/>
          <w:szCs w:val="24"/>
        </w:rPr>
      </w:pPr>
    </w:p>
    <w:p w14:paraId="0DEC3FBD">
      <w:pPr>
        <w:pStyle w:val="7"/>
        <w:outlineLvl w:val="2"/>
        <w:rPr>
          <w:rFonts w:hint="eastAsia" w:hAnsi="宋体" w:eastAsia="宋体" w:cs="宋体"/>
          <w:b/>
          <w:bCs/>
          <w:color w:val="000000"/>
          <w:sz w:val="24"/>
          <w:szCs w:val="24"/>
        </w:rPr>
      </w:pPr>
      <w:r>
        <w:rPr>
          <w:rFonts w:hint="eastAsia" w:hAnsi="宋体" w:eastAsia="宋体" w:cs="宋体"/>
          <w:b/>
          <w:bCs/>
          <w:color w:val="000000"/>
          <w:sz w:val="24"/>
          <w:szCs w:val="24"/>
        </w:rPr>
        <w:t xml:space="preserve"> </w:t>
      </w:r>
      <w:r>
        <w:rPr>
          <w:rFonts w:hint="eastAsia" w:hAnsi="宋体" w:eastAsia="宋体" w:cs="宋体"/>
          <w:b/>
          <w:bCs/>
          <w:color w:val="000000"/>
          <w:sz w:val="24"/>
          <w:szCs w:val="24"/>
          <w:lang w:val="en-US" w:eastAsia="zh-CN"/>
        </w:rPr>
        <w:t>附件1：</w:t>
      </w:r>
      <w:r>
        <w:rPr>
          <w:rFonts w:hint="eastAsia" w:hAnsi="宋体" w:eastAsia="宋体" w:cs="宋体"/>
          <w:b/>
          <w:bCs/>
          <w:color w:val="000000"/>
          <w:sz w:val="24"/>
          <w:szCs w:val="24"/>
        </w:rPr>
        <w:t>SRM非生产供应商注册操作手册</w:t>
      </w:r>
    </w:p>
    <w:p w14:paraId="3B55DB0D">
      <w:pPr>
        <w:pStyle w:val="7"/>
        <w:rPr>
          <w:rFonts w:eastAsia="宋体"/>
        </w:rPr>
      </w:pPr>
    </w:p>
    <w:p w14:paraId="67C14DB3">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浏览器中输入地址;</w:t>
      </w:r>
    </w:p>
    <w:p w14:paraId="7DCEACE8">
      <w:pPr>
        <w:adjustRightInd w:val="0"/>
        <w:snapToGrid w:val="0"/>
        <w:spacing w:line="360" w:lineRule="auto"/>
        <w:jc w:val="left"/>
        <w:rPr>
          <w:rFonts w:hint="eastAsia"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14:paraId="7CCC3B29">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1.点击立即注册</w:t>
      </w:r>
    </w:p>
    <w:p w14:paraId="42068FE7">
      <w:pPr>
        <w:snapToGrid w:val="0"/>
        <w:spacing w:line="312" w:lineRule="auto"/>
        <w:rPr>
          <w:rFonts w:hint="eastAsia"/>
        </w:rPr>
      </w:pPr>
      <w:r>
        <w:drawing>
          <wp:inline distT="0" distB="0" distL="0" distR="0">
            <wp:extent cx="5760085" cy="2933065"/>
            <wp:effectExtent l="0" t="0" r="1206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4"/>
                    <a:stretch>
                      <a:fillRect/>
                    </a:stretch>
                  </pic:blipFill>
                  <pic:spPr>
                    <a:xfrm>
                      <a:off x="0" y="0"/>
                      <a:ext cx="5760085" cy="2933377"/>
                    </a:xfrm>
                    <a:prstGeom prst="rect">
                      <a:avLst/>
                    </a:prstGeom>
                  </pic:spPr>
                </pic:pic>
              </a:graphicData>
            </a:graphic>
          </wp:inline>
        </w:drawing>
      </w:r>
    </w:p>
    <w:p w14:paraId="10CB5C13">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14:paraId="6497FF7F">
      <w:pPr>
        <w:snapToGrid w:val="0"/>
        <w:spacing w:line="312" w:lineRule="auto"/>
        <w:rPr>
          <w:rFonts w:hint="eastAsia"/>
        </w:rPr>
      </w:pPr>
      <w:r>
        <w:drawing>
          <wp:inline distT="0" distB="0" distL="0" distR="0">
            <wp:extent cx="5760085" cy="2766695"/>
            <wp:effectExtent l="0" t="0" r="12065" b="14605"/>
            <wp:docPr id="2" name="picture" descr="descript"/>
            <wp:cNvGraphicFramePr/>
            <a:graphic xmlns:a="http://schemas.openxmlformats.org/drawingml/2006/main">
              <a:graphicData uri="http://schemas.openxmlformats.org/drawingml/2006/picture">
                <pic:pic xmlns:pic="http://schemas.openxmlformats.org/drawingml/2006/picture">
                  <pic:nvPicPr>
                    <pic:cNvPr id="2" name="picture" descr="descript"/>
                    <pic:cNvPicPr/>
                  </pic:nvPicPr>
                  <pic:blipFill>
                    <a:blip r:embed="rId5"/>
                    <a:stretch>
                      <a:fillRect/>
                    </a:stretch>
                  </pic:blipFill>
                  <pic:spPr>
                    <a:xfrm>
                      <a:off x="0" y="0"/>
                      <a:ext cx="5760085" cy="2766707"/>
                    </a:xfrm>
                    <a:prstGeom prst="rect">
                      <a:avLst/>
                    </a:prstGeom>
                  </pic:spPr>
                </pic:pic>
              </a:graphicData>
            </a:graphic>
          </wp:inline>
        </w:drawing>
      </w:r>
    </w:p>
    <w:p w14:paraId="363186A0">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250679A6">
      <w:pPr>
        <w:snapToGrid w:val="0"/>
        <w:spacing w:line="312" w:lineRule="auto"/>
        <w:rPr>
          <w:rFonts w:hint="eastAsia"/>
        </w:rPr>
      </w:pPr>
      <w:r>
        <w:drawing>
          <wp:inline distT="0" distB="0" distL="0" distR="0">
            <wp:extent cx="5760085" cy="2869565"/>
            <wp:effectExtent l="0" t="0" r="12065" b="6985"/>
            <wp:docPr id="6" name="picture" descr="descript"/>
            <wp:cNvGraphicFramePr/>
            <a:graphic xmlns:a="http://schemas.openxmlformats.org/drawingml/2006/main">
              <a:graphicData uri="http://schemas.openxmlformats.org/drawingml/2006/picture">
                <pic:pic xmlns:pic="http://schemas.openxmlformats.org/drawingml/2006/picture">
                  <pic:nvPicPr>
                    <pic:cNvPr id="6" name="picture" descr="descript"/>
                    <pic:cNvPicPr/>
                  </pic:nvPicPr>
                  <pic:blipFill>
                    <a:blip r:embed="rId6"/>
                    <a:stretch>
                      <a:fillRect/>
                    </a:stretch>
                  </pic:blipFill>
                  <pic:spPr>
                    <a:xfrm>
                      <a:off x="0" y="0"/>
                      <a:ext cx="5760085" cy="2870054"/>
                    </a:xfrm>
                    <a:prstGeom prst="rect">
                      <a:avLst/>
                    </a:prstGeom>
                  </pic:spPr>
                </pic:pic>
              </a:graphicData>
            </a:graphic>
          </wp:inline>
        </w:drawing>
      </w:r>
    </w:p>
    <w:p w14:paraId="0475A0C3">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2FA508F2">
      <w:pPr>
        <w:snapToGrid w:val="0"/>
        <w:spacing w:line="312" w:lineRule="auto"/>
        <w:rPr>
          <w:rFonts w:hint="eastAsia"/>
        </w:rPr>
      </w:pPr>
      <w:r>
        <w:drawing>
          <wp:inline distT="0" distB="0" distL="0" distR="0">
            <wp:extent cx="5760085" cy="2853055"/>
            <wp:effectExtent l="0" t="0" r="12065" b="4445"/>
            <wp:docPr id="7" name="picture" descr="descript"/>
            <wp:cNvGraphicFramePr/>
            <a:graphic xmlns:a="http://schemas.openxmlformats.org/drawingml/2006/main">
              <a:graphicData uri="http://schemas.openxmlformats.org/drawingml/2006/picture">
                <pic:pic xmlns:pic="http://schemas.openxmlformats.org/drawingml/2006/picture">
                  <pic:nvPicPr>
                    <pic:cNvPr id="7" name="picture" descr="descript"/>
                    <pic:cNvPicPr/>
                  </pic:nvPicPr>
                  <pic:blipFill>
                    <a:blip r:embed="rId7"/>
                    <a:stretch>
                      <a:fillRect/>
                    </a:stretch>
                  </pic:blipFill>
                  <pic:spPr>
                    <a:xfrm>
                      <a:off x="0" y="0"/>
                      <a:ext cx="5760085" cy="2853375"/>
                    </a:xfrm>
                    <a:prstGeom prst="rect">
                      <a:avLst/>
                    </a:prstGeom>
                  </pic:spPr>
                </pic:pic>
              </a:graphicData>
            </a:graphic>
          </wp:inline>
        </w:drawing>
      </w:r>
    </w:p>
    <w:p w14:paraId="6954F6EA">
      <w:pPr>
        <w:spacing w:line="360" w:lineRule="auto"/>
        <w:rPr>
          <w:rFonts w:hint="eastAsia"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color w:val="000000"/>
          <w:sz w:val="24"/>
          <w:szCs w:val="28"/>
        </w:rPr>
        <w:t>.</w:t>
      </w:r>
      <w:r>
        <w:rPr>
          <w:rFonts w:ascii="宋体" w:hAnsi="宋体" w:eastAsia="宋体" w:cs="宋体"/>
          <w:color w:val="000000"/>
          <w:sz w:val="24"/>
          <w:szCs w:val="28"/>
        </w:rPr>
        <w:t>按要求填写所有信息，注意非生产类要填写合作单位，最后提交审批</w:t>
      </w:r>
    </w:p>
    <w:p w14:paraId="7B916863">
      <w:pPr>
        <w:pStyle w:val="7"/>
      </w:pPr>
    </w:p>
    <w:p w14:paraId="145EA810">
      <w:pPr>
        <w:rPr>
          <w:rFonts w:hint="eastAsia"/>
        </w:rPr>
      </w:pPr>
      <w:r>
        <w:drawing>
          <wp:inline distT="0" distB="0" distL="0" distR="0">
            <wp:extent cx="5760085" cy="2809875"/>
            <wp:effectExtent l="0" t="0" r="12065" b="9525"/>
            <wp:docPr id="12" name="picture" descr="descript"/>
            <wp:cNvGraphicFramePr/>
            <a:graphic xmlns:a="http://schemas.openxmlformats.org/drawingml/2006/main">
              <a:graphicData uri="http://schemas.openxmlformats.org/drawingml/2006/picture">
                <pic:pic xmlns:pic="http://schemas.openxmlformats.org/drawingml/2006/picture">
                  <pic:nvPicPr>
                    <pic:cNvPr id="12" name="picture" descr="descript"/>
                    <pic:cNvPicPr/>
                  </pic:nvPicPr>
                  <pic:blipFill>
                    <a:blip r:embed="rId8"/>
                    <a:stretch>
                      <a:fillRect/>
                    </a:stretch>
                  </pic:blipFill>
                  <pic:spPr>
                    <a:xfrm>
                      <a:off x="0" y="0"/>
                      <a:ext cx="5760085" cy="2810122"/>
                    </a:xfrm>
                    <a:prstGeom prst="rect">
                      <a:avLst/>
                    </a:prstGeom>
                  </pic:spPr>
                </pic:pic>
              </a:graphicData>
            </a:graphic>
          </wp:inline>
        </w:drawing>
      </w:r>
    </w:p>
    <w:p w14:paraId="0E62184D">
      <w:pPr>
        <w:pStyle w:val="7"/>
      </w:pPr>
      <w:r>
        <w:drawing>
          <wp:inline distT="0" distB="0" distL="0" distR="0">
            <wp:extent cx="5760085" cy="2820035"/>
            <wp:effectExtent l="0" t="0" r="12065" b="1841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9"/>
                    <a:stretch>
                      <a:fillRect/>
                    </a:stretch>
                  </pic:blipFill>
                  <pic:spPr>
                    <a:xfrm>
                      <a:off x="0" y="0"/>
                      <a:ext cx="5760085" cy="2820042"/>
                    </a:xfrm>
                    <a:prstGeom prst="rect">
                      <a:avLst/>
                    </a:prstGeom>
                  </pic:spPr>
                </pic:pic>
              </a:graphicData>
            </a:graphic>
          </wp:inline>
        </w:drawing>
      </w:r>
    </w:p>
    <w:p w14:paraId="644AF512">
      <w:pPr>
        <w:pStyle w:val="7"/>
      </w:pPr>
    </w:p>
    <w:p w14:paraId="2AA8AF19">
      <w:pPr>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注：</w:t>
      </w:r>
    </w:p>
    <w:p w14:paraId="245219B7">
      <w:pPr>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1.“项目名称”和“采购形式编号”见投标须知前附表1.1；</w:t>
      </w:r>
    </w:p>
    <w:p w14:paraId="7CB14DD4">
      <w:pPr>
        <w:pStyle w:val="7"/>
      </w:pPr>
      <w:r>
        <w:rPr>
          <w:rFonts w:hint="eastAsia" w:hAnsi="宋体" w:eastAsia="宋体" w:cs="宋体"/>
          <w:b/>
          <w:bCs/>
          <w:color w:val="000000"/>
          <w:sz w:val="24"/>
          <w:szCs w:val="28"/>
          <w:highlight w:val="yellow"/>
        </w:rPr>
        <w:t>2.配套能力“供货类别”填“”，业务主管部门选择“”。</w:t>
      </w:r>
    </w:p>
    <w:p w14:paraId="3903C1BE">
      <w:pPr>
        <w:pStyle w:val="7"/>
        <w:sectPr>
          <w:pgSz w:w="11906" w:h="16838"/>
          <w:pgMar w:top="1588" w:right="1418" w:bottom="1134" w:left="1418" w:header="851" w:footer="992" w:gutter="0"/>
          <w:cols w:space="720" w:num="1"/>
          <w:titlePg/>
          <w:docGrid w:type="lines" w:linePitch="312" w:charSpace="0"/>
        </w:sectPr>
      </w:pPr>
    </w:p>
    <w:p w14:paraId="602C5616">
      <w:pPr>
        <w:pStyle w:val="7"/>
        <w:outlineLvl w:val="2"/>
        <w:rPr>
          <w:rFonts w:hint="eastAsia" w:hAnsi="宋体" w:eastAsia="宋体" w:cs="Times New Roman"/>
          <w:b/>
          <w:color w:val="000000"/>
          <w:sz w:val="24"/>
          <w:szCs w:val="24"/>
        </w:rPr>
      </w:pPr>
      <w:r>
        <w:rPr>
          <w:rFonts w:hint="eastAsia" w:hAnsi="宋体" w:eastAsia="宋体" w:cs="宋体"/>
          <w:b/>
          <w:bCs/>
          <w:color w:val="000000"/>
          <w:sz w:val="24"/>
          <w:szCs w:val="24"/>
        </w:rPr>
        <w:t>附件</w:t>
      </w:r>
      <w:r>
        <w:rPr>
          <w:rFonts w:hint="eastAsia" w:hAnsi="宋体" w:eastAsia="宋体" w:cs="宋体"/>
          <w:b/>
          <w:bCs/>
          <w:color w:val="000000"/>
          <w:sz w:val="24"/>
          <w:szCs w:val="24"/>
          <w:lang w:val="en-US" w:eastAsia="zh-CN"/>
        </w:rPr>
        <w:t>7</w:t>
      </w:r>
      <w:r>
        <w:rPr>
          <w:rFonts w:hint="eastAsia" w:hAnsi="宋体" w:eastAsia="宋体" w:cs="宋体"/>
          <w:b/>
          <w:bCs/>
          <w:color w:val="000000"/>
          <w:sz w:val="24"/>
          <w:szCs w:val="24"/>
        </w:rPr>
        <w:t xml:space="preserve"> </w:t>
      </w:r>
      <w:r>
        <w:rPr>
          <w:rFonts w:hint="eastAsia" w:hAnsi="宋体" w:eastAsia="宋体" w:cs="Times New Roman"/>
          <w:b/>
          <w:color w:val="000000"/>
          <w:sz w:val="24"/>
          <w:szCs w:val="24"/>
        </w:rPr>
        <w:t>SRM系统供应商用户手册</w:t>
      </w:r>
    </w:p>
    <w:p w14:paraId="1FEF6F73">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18"/>
          <w:rFonts w:hint="eastAsia" w:ascii="宋体" w:hAnsi="宋体" w:eastAsia="宋体" w:cs="宋体"/>
          <w:sz w:val="24"/>
          <w:szCs w:val="24"/>
        </w:rPr>
        <w:t>https://ecaitong.sinotruk.com:8012/</w:t>
      </w:r>
      <w:r>
        <w:rPr>
          <w:rStyle w:val="18"/>
          <w:rFonts w:hint="eastAsia" w:ascii="宋体" w:hAnsi="宋体" w:eastAsia="宋体" w:cs="宋体"/>
          <w:sz w:val="24"/>
          <w:szCs w:val="24"/>
        </w:rPr>
        <w:fldChar w:fldCharType="end"/>
      </w:r>
    </w:p>
    <w:p w14:paraId="3F934001">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FF0000"/>
          <w:sz w:val="24"/>
          <w:szCs w:val="24"/>
        </w:rPr>
        <w:t>注意：注册完毕后，用户名不要用手机号登录</w:t>
      </w:r>
      <w:r>
        <w:rPr>
          <w:rFonts w:hint="eastAsia" w:ascii="宋体" w:hAnsi="宋体" w:eastAsia="宋体" w:cs="宋体"/>
          <w:color w:val="000000"/>
          <w:sz w:val="24"/>
          <w:szCs w:val="24"/>
        </w:rPr>
        <w:t>）</w:t>
      </w:r>
    </w:p>
    <w:p w14:paraId="0F0B4D2B">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scm@2022</w:t>
      </w:r>
    </w:p>
    <w:p w14:paraId="3F9C2630">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6471E8C9">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00FC4FB3">
      <w:pPr>
        <w:spacing w:line="360" w:lineRule="auto"/>
        <w:rPr>
          <w:rFonts w:hint="eastAsia"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6A8A2FFC">
      <w:pPr>
        <w:rPr>
          <w:rFonts w:hint="eastAsia"/>
        </w:rPr>
      </w:pPr>
      <w:r>
        <w:drawing>
          <wp:inline distT="0" distB="0" distL="0" distR="0">
            <wp:extent cx="5760085" cy="2269490"/>
            <wp:effectExtent l="0" t="0" r="12065" b="165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10"/>
                    <a:stretch>
                      <a:fillRect/>
                    </a:stretch>
                  </pic:blipFill>
                  <pic:spPr>
                    <a:xfrm>
                      <a:off x="0" y="0"/>
                      <a:ext cx="5760085" cy="2269864"/>
                    </a:xfrm>
                    <a:prstGeom prst="rect">
                      <a:avLst/>
                    </a:prstGeom>
                  </pic:spPr>
                </pic:pic>
              </a:graphicData>
            </a:graphic>
          </wp:inline>
        </w:drawing>
      </w:r>
    </w:p>
    <w:p w14:paraId="525FCBF6">
      <w:pPr>
        <w:rPr>
          <w:rFonts w:hint="eastAsia"/>
        </w:rPr>
      </w:pPr>
    </w:p>
    <w:p w14:paraId="40207382">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37FC2595">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14:paraId="5F3A996C">
      <w:pPr>
        <w:rPr>
          <w:rFonts w:hint="eastAsia" w:ascii="宋体" w:hAnsi="宋体" w:eastAsia="宋体" w:cs="宋体"/>
          <w:color w:val="000000"/>
        </w:rPr>
      </w:pPr>
      <w:r>
        <w:rPr>
          <w:rFonts w:ascii="宋体" w:hAnsi="宋体" w:eastAsia="宋体" w:cs="宋体"/>
          <w:color w:val="000000"/>
        </w:rPr>
        <w:drawing>
          <wp:inline distT="0" distB="0" distL="0" distR="0">
            <wp:extent cx="5760085" cy="2125345"/>
            <wp:effectExtent l="0" t="0" r="1206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11"/>
                    <a:stretch>
                      <a:fillRect/>
                    </a:stretch>
                  </pic:blipFill>
                  <pic:spPr>
                    <a:xfrm>
                      <a:off x="0" y="0"/>
                      <a:ext cx="5760085" cy="2125673"/>
                    </a:xfrm>
                    <a:prstGeom prst="rect">
                      <a:avLst/>
                    </a:prstGeom>
                  </pic:spPr>
                </pic:pic>
              </a:graphicData>
            </a:graphic>
          </wp:inline>
        </w:drawing>
      </w:r>
    </w:p>
    <w:p w14:paraId="661CAB55">
      <w:pPr>
        <w:spacing w:line="360" w:lineRule="auto"/>
        <w:rPr>
          <w:rFonts w:hint="eastAsia"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74E5D9AE">
      <w:pPr>
        <w:pStyle w:val="7"/>
      </w:pPr>
      <w:r>
        <w:rPr>
          <w:rFonts w:hint="eastAsia" w:hAnsi="宋体" w:eastAsia="宋体" w:cs="宋体"/>
          <w:color w:val="000000"/>
          <w:sz w:val="24"/>
          <w:szCs w:val="28"/>
          <w:highlight w:val="yellow"/>
        </w:rPr>
        <w:t>注意：系统内的投标报价单位为“万元”，如开标现场发现填错报价，即直接淘汰。</w:t>
      </w:r>
    </w:p>
    <w:p w14:paraId="30DCE771">
      <w:pPr>
        <w:pStyle w:val="6"/>
        <w:ind w:left="425" w:hanging="425"/>
        <w:rPr>
          <w:rFonts w:eastAsia="Arial" w:cs="Arial"/>
          <w:color w:val="000000"/>
        </w:rPr>
      </w:pPr>
      <w:r>
        <w:rPr>
          <w:rFonts w:eastAsia="Arial" w:cs="Arial"/>
          <w:color w:val="000000"/>
        </w:rPr>
        <w:drawing>
          <wp:inline distT="0" distB="0" distL="0" distR="0">
            <wp:extent cx="5490210" cy="2668905"/>
            <wp:effectExtent l="0" t="0" r="15240" b="1714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12"/>
                    <a:stretch>
                      <a:fillRect/>
                    </a:stretch>
                  </pic:blipFill>
                  <pic:spPr>
                    <a:xfrm>
                      <a:off x="0" y="0"/>
                      <a:ext cx="5490210" cy="2669498"/>
                    </a:xfrm>
                    <a:prstGeom prst="rect">
                      <a:avLst/>
                    </a:prstGeom>
                  </pic:spPr>
                </pic:pic>
              </a:graphicData>
            </a:graphic>
          </wp:inline>
        </w:drawing>
      </w:r>
    </w:p>
    <w:p w14:paraId="25A79E03">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2A65A944">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14:paraId="191B56D2">
      <w:pPr>
        <w:spacing w:line="360" w:lineRule="auto"/>
        <w:rPr>
          <w:rFonts w:hint="eastAsia" w:ascii="宋体" w:hAnsi="宋体" w:eastAsia="宋体" w:cs="宋体"/>
          <w:sz w:val="24"/>
          <w:szCs w:val="24"/>
        </w:rPr>
      </w:pPr>
      <w:r>
        <w:rPr>
          <w:rFonts w:ascii="宋体" w:hAnsi="宋体" w:eastAsia="宋体" w:cs="宋体"/>
          <w:color w:val="000000"/>
          <w:sz w:val="24"/>
          <w:szCs w:val="24"/>
        </w:rPr>
        <w:t>点击编辑按钮进入系统，上传技术标澄清函。</w:t>
      </w:r>
    </w:p>
    <w:p w14:paraId="48DE63D8">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15240" b="762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13"/>
                    <a:stretch>
                      <a:fillRect/>
                    </a:stretch>
                  </pic:blipFill>
                  <pic:spPr>
                    <a:xfrm>
                      <a:off x="0" y="0"/>
                      <a:ext cx="5490210" cy="1992743"/>
                    </a:xfrm>
                    <a:prstGeom prst="rect">
                      <a:avLst/>
                    </a:prstGeom>
                  </pic:spPr>
                </pic:pic>
              </a:graphicData>
            </a:graphic>
          </wp:inline>
        </w:drawing>
      </w:r>
    </w:p>
    <w:p w14:paraId="16A94018">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760C9E66">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14:paraId="5D25AC69">
      <w:pPr>
        <w:spacing w:line="360" w:lineRule="auto"/>
        <w:rPr>
          <w:rFonts w:hint="eastAsia"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14:paraId="09540DA4">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789C09B7">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14:paraId="152DBA14">
      <w:pPr>
        <w:spacing w:line="360" w:lineRule="auto"/>
        <w:rPr>
          <w:rFonts w:hint="eastAsia"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164849D7">
      <w:pPr>
        <w:pStyle w:val="6"/>
        <w:ind w:left="425" w:hanging="425"/>
        <w:rPr>
          <w:rFonts w:eastAsia="Arial" w:cs="Arial"/>
          <w:color w:val="000000"/>
        </w:rPr>
      </w:pPr>
      <w:r>
        <w:rPr>
          <w:rFonts w:eastAsia="Arial" w:cs="Arial"/>
          <w:color w:val="000000"/>
        </w:rPr>
        <w:drawing>
          <wp:inline distT="0" distB="0" distL="0" distR="0">
            <wp:extent cx="5490210" cy="2544445"/>
            <wp:effectExtent l="0" t="0" r="1524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14"/>
                    <a:stretch>
                      <a:fillRect/>
                    </a:stretch>
                  </pic:blipFill>
                  <pic:spPr>
                    <a:xfrm>
                      <a:off x="0" y="0"/>
                      <a:ext cx="5490210" cy="2544669"/>
                    </a:xfrm>
                    <a:prstGeom prst="rect">
                      <a:avLst/>
                    </a:prstGeom>
                  </pic:spPr>
                </pic:pic>
              </a:graphicData>
            </a:graphic>
          </wp:inline>
        </w:drawing>
      </w:r>
    </w:p>
    <w:p w14:paraId="6E4575E6">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79C8EC9E">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14:paraId="2C2A512D">
      <w:pPr>
        <w:spacing w:line="360" w:lineRule="auto"/>
        <w:rPr>
          <w:rFonts w:hint="eastAsia" w:ascii="宋体" w:hAnsi="宋体" w:eastAsia="宋体" w:cs="宋体"/>
          <w:sz w:val="24"/>
          <w:szCs w:val="24"/>
        </w:rPr>
      </w:pPr>
      <w:r>
        <w:rPr>
          <w:rFonts w:ascii="宋体" w:hAnsi="宋体" w:eastAsia="宋体" w:cs="宋体"/>
          <w:color w:val="000000"/>
          <w:sz w:val="24"/>
          <w:szCs w:val="24"/>
        </w:rPr>
        <w:t>点击查看进入查看中标项目详情</w:t>
      </w:r>
    </w:p>
    <w:p w14:paraId="6E78F4DA">
      <w:pPr>
        <w:rPr>
          <w:rFonts w:hint="eastAsia"/>
        </w:rPr>
      </w:pPr>
      <w:r>
        <w:drawing>
          <wp:inline distT="0" distB="0" distL="0" distR="0">
            <wp:extent cx="5760085" cy="1956435"/>
            <wp:effectExtent l="0" t="0" r="12065" b="571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15"/>
                    <a:stretch>
                      <a:fillRect/>
                    </a:stretch>
                  </pic:blipFill>
                  <pic:spPr>
                    <a:xfrm>
                      <a:off x="0" y="0"/>
                      <a:ext cx="5760085" cy="1956600"/>
                    </a:xfrm>
                    <a:prstGeom prst="rect">
                      <a:avLst/>
                    </a:prstGeom>
                  </pic:spPr>
                </pic:pic>
              </a:graphicData>
            </a:graphic>
          </wp:inline>
        </w:drawing>
      </w:r>
    </w:p>
    <w:p w14:paraId="3156304E">
      <w:pPr>
        <w:pStyle w:val="7"/>
        <w:rPr>
          <w:rFonts w:hint="eastAsia" w:hAnsi="宋体" w:eastAsia="宋体" w:cs="Times New Roman"/>
          <w:b/>
          <w:color w:val="000000"/>
          <w:sz w:val="24"/>
          <w:szCs w:val="24"/>
        </w:rPr>
      </w:pPr>
    </w:p>
    <w:p w14:paraId="15DACC85">
      <w:pPr>
        <w:pStyle w:val="7"/>
        <w:rPr>
          <w:rFonts w:hint="eastAsia" w:hAnsi="宋体" w:eastAsia="宋体" w:cs="Times New Roman"/>
          <w:b/>
          <w:color w:val="000000"/>
          <w:sz w:val="24"/>
          <w:szCs w:val="24"/>
        </w:rPr>
      </w:pPr>
    </w:p>
    <w:p w14:paraId="33F89EEB">
      <w:pPr>
        <w:pStyle w:val="7"/>
        <w:rPr>
          <w:rFonts w:hint="eastAsia" w:hAnsi="宋体" w:eastAsia="宋体" w:cs="Times New Roman"/>
          <w:b/>
          <w:color w:val="000000"/>
          <w:sz w:val="24"/>
          <w:szCs w:val="24"/>
        </w:rPr>
      </w:pPr>
    </w:p>
    <w:p w14:paraId="2E2A1019">
      <w:pPr>
        <w:jc w:val="both"/>
      </w:pPr>
    </w:p>
    <w:p w14:paraId="1857F2F0">
      <w:pPr>
        <w:ind w:firstLine="48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w:t>
      </w:r>
    </w:p>
    <w:p w14:paraId="5B5F13DD">
      <w:pPr>
        <w:rPr>
          <w:rFonts w:hint="eastAsia" w:asciiTheme="majorEastAsia" w:hAnsiTheme="majorEastAsia" w:eastAsiaTheme="majorEastAsia" w:cstheme="majorEastAsia"/>
          <w:sz w:val="24"/>
          <w:szCs w:val="24"/>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Calibri Light">
    <w:panose1 w:val="020F0302020204030204"/>
    <w:charset w:val="00"/>
    <w:family w:val="auto"/>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monospac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6D20133"/>
    <w:multiLevelType w:val="multilevel"/>
    <w:tmpl w:val="56D20133"/>
    <w:lvl w:ilvl="0" w:tentative="0">
      <w:start w:val="1"/>
      <w:numFmt w:val="chineseCountingThousand"/>
      <w:pStyle w:val="24"/>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1">
    <w:nsid w:val="656A6EAE"/>
    <w:multiLevelType w:val="multilevel"/>
    <w:tmpl w:val="656A6EAE"/>
    <w:lvl w:ilvl="0" w:tentative="0">
      <w:start w:val="1"/>
      <w:numFmt w:val="chineseCountingThousand"/>
      <w:pStyle w:val="25"/>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2694DA8"/>
    <w:rsid w:val="2C953B6C"/>
    <w:rsid w:val="44907102"/>
    <w:rsid w:val="48EF075C"/>
    <w:rsid w:val="4ED22B6D"/>
    <w:rsid w:val="5E9808F6"/>
    <w:rsid w:val="7D60208D"/>
    <w:rsid w:val="7DA44D30"/>
    <w:rsid w:val="7F3955F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98"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iPriority="99"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qFormat="1"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unhideWhenUsed="0" w:uiPriority="0" w:semiHidden="0" w:name="HTML Preformatted"/>
    <w:lsdException w:qFormat="1" w:unhideWhenUsed="0" w:uiPriority="0" w:semiHidden="0" w:name="HTML Sample"/>
    <w:lsdException w:qFormat="1" w:unhideWhenUsed="0" w:uiPriority="0" w:semiHidden="0" w:name="HTML Typewriter"/>
    <w:lsdException w:qFormat="1"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5">
    <w:name w:val="heading 2"/>
    <w:basedOn w:val="1"/>
    <w:next w:val="1"/>
    <w:qFormat/>
    <w:uiPriority w:val="9"/>
    <w:pPr>
      <w:keepNext/>
      <w:spacing w:before="240" w:after="60"/>
      <w:outlineLvl w:val="1"/>
    </w:pPr>
    <w:rPr>
      <w:rFonts w:ascii="Cambria" w:hAnsi="Cambria"/>
      <w:b/>
      <w:bCs/>
      <w:i/>
      <w:iCs/>
      <w:sz w:val="28"/>
      <w:szCs w:val="28"/>
    </w:rPr>
  </w:style>
  <w:style w:type="paragraph" w:styleId="6">
    <w:name w:val="heading 4"/>
    <w:basedOn w:val="1"/>
    <w:next w:val="1"/>
    <w:semiHidden/>
    <w:unhideWhenUsed/>
    <w:qFormat/>
    <w:uiPriority w:val="0"/>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1">
    <w:name w:val="Default Paragraph Font"/>
    <w:semiHidden/>
    <w:qFormat/>
    <w:uiPriority w:val="0"/>
  </w:style>
  <w:style w:type="table" w:default="1" w:styleId="10">
    <w:name w:val="Normal Table"/>
    <w:semiHidden/>
    <w:qFormat/>
    <w:uiPriority w:val="0"/>
    <w:tblPr>
      <w:tblCellMar>
        <w:top w:w="0" w:type="dxa"/>
        <w:left w:w="108" w:type="dxa"/>
        <w:bottom w:w="0" w:type="dxa"/>
        <w:right w:w="108" w:type="dxa"/>
      </w:tblCellMar>
    </w:tblPr>
  </w:style>
  <w:style w:type="paragraph" w:styleId="2">
    <w:name w:val="Body Text First Indent"/>
    <w:basedOn w:val="3"/>
    <w:unhideWhenUsed/>
    <w:qFormat/>
    <w:uiPriority w:val="99"/>
    <w:pPr>
      <w:ind w:firstLine="420" w:firstLineChars="100"/>
    </w:pPr>
  </w:style>
  <w:style w:type="paragraph" w:styleId="3">
    <w:name w:val="Body Text"/>
    <w:basedOn w:val="1"/>
    <w:next w:val="4"/>
    <w:semiHidden/>
    <w:qFormat/>
    <w:uiPriority w:val="98"/>
    <w:rPr>
      <w:rFonts w:ascii="仿宋_GB2312" w:eastAsia="仿宋_GB2312"/>
      <w:sz w:val="32"/>
    </w:rPr>
  </w:style>
  <w:style w:type="paragraph" w:customStyle="1" w:styleId="4">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paragraph" w:styleId="7">
    <w:name w:val="Plain Text"/>
    <w:basedOn w:val="1"/>
    <w:qFormat/>
    <w:uiPriority w:val="0"/>
    <w:rPr>
      <w:rFonts w:ascii="宋体"/>
      <w:szCs w:val="20"/>
    </w:rPr>
  </w:style>
  <w:style w:type="paragraph" w:styleId="8">
    <w:name w:val="footer"/>
    <w:basedOn w:val="1"/>
    <w:unhideWhenUsed/>
    <w:qFormat/>
    <w:uiPriority w:val="99"/>
    <w:pPr>
      <w:tabs>
        <w:tab w:val="center" w:pos="4153"/>
        <w:tab w:val="right" w:pos="8306"/>
      </w:tabs>
      <w:snapToGrid w:val="0"/>
      <w:jc w:val="left"/>
    </w:pPr>
    <w:rPr>
      <w:sz w:val="18"/>
      <w:szCs w:val="18"/>
    </w:rPr>
  </w:style>
  <w:style w:type="paragraph" w:styleId="9">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character" w:styleId="12">
    <w:name w:val="Strong"/>
    <w:basedOn w:val="11"/>
    <w:qFormat/>
    <w:uiPriority w:val="0"/>
    <w:rPr>
      <w:b/>
    </w:rPr>
  </w:style>
  <w:style w:type="character" w:styleId="13">
    <w:name w:val="FollowedHyperlink"/>
    <w:basedOn w:val="11"/>
    <w:qFormat/>
    <w:uiPriority w:val="0"/>
    <w:rPr>
      <w:color w:val="800080"/>
      <w:u w:val="none"/>
    </w:rPr>
  </w:style>
  <w:style w:type="character" w:styleId="14">
    <w:name w:val="HTML Definition"/>
    <w:basedOn w:val="11"/>
    <w:qFormat/>
    <w:uiPriority w:val="0"/>
  </w:style>
  <w:style w:type="character" w:styleId="15">
    <w:name w:val="HTML Typewriter"/>
    <w:basedOn w:val="11"/>
    <w:qFormat/>
    <w:uiPriority w:val="0"/>
    <w:rPr>
      <w:rFonts w:hint="default" w:ascii="monospace" w:hAnsi="monospace" w:eastAsia="monospace" w:cs="monospace"/>
      <w:sz w:val="20"/>
    </w:rPr>
  </w:style>
  <w:style w:type="character" w:styleId="16">
    <w:name w:val="HTML Acronym"/>
    <w:basedOn w:val="11"/>
    <w:qFormat/>
    <w:uiPriority w:val="0"/>
  </w:style>
  <w:style w:type="character" w:styleId="17">
    <w:name w:val="HTML Variable"/>
    <w:basedOn w:val="11"/>
    <w:qFormat/>
    <w:uiPriority w:val="0"/>
  </w:style>
  <w:style w:type="character" w:styleId="18">
    <w:name w:val="Hyperlink"/>
    <w:basedOn w:val="11"/>
    <w:qFormat/>
    <w:uiPriority w:val="0"/>
    <w:rPr>
      <w:color w:val="0000FF"/>
      <w:u w:val="none"/>
    </w:rPr>
  </w:style>
  <w:style w:type="character" w:styleId="19">
    <w:name w:val="HTML Code"/>
    <w:basedOn w:val="11"/>
    <w:qFormat/>
    <w:uiPriority w:val="0"/>
    <w:rPr>
      <w:rFonts w:hint="default" w:ascii="monospace" w:hAnsi="monospace" w:eastAsia="monospace" w:cs="monospace"/>
      <w:sz w:val="20"/>
    </w:rPr>
  </w:style>
  <w:style w:type="character" w:styleId="20">
    <w:name w:val="HTML Cite"/>
    <w:basedOn w:val="11"/>
    <w:qFormat/>
    <w:uiPriority w:val="0"/>
  </w:style>
  <w:style w:type="character" w:styleId="21">
    <w:name w:val="HTML Keyboard"/>
    <w:basedOn w:val="11"/>
    <w:qFormat/>
    <w:uiPriority w:val="0"/>
    <w:rPr>
      <w:rFonts w:ascii="monospace" w:hAnsi="monospace" w:eastAsia="monospace" w:cs="monospace"/>
      <w:sz w:val="20"/>
    </w:rPr>
  </w:style>
  <w:style w:type="character" w:styleId="22">
    <w:name w:val="HTML Sample"/>
    <w:basedOn w:val="11"/>
    <w:qFormat/>
    <w:uiPriority w:val="0"/>
    <w:rPr>
      <w:rFonts w:hint="default" w:ascii="monospace" w:hAnsi="monospace" w:eastAsia="monospace" w:cs="monospace"/>
    </w:rPr>
  </w:style>
  <w:style w:type="paragraph" w:customStyle="1" w:styleId="23">
    <w:name w:val="标书正文"/>
    <w:basedOn w:val="7"/>
    <w:qFormat/>
    <w:uiPriority w:val="9"/>
    <w:pPr>
      <w:spacing w:line="360" w:lineRule="auto"/>
      <w:jc w:val="left"/>
    </w:pPr>
  </w:style>
  <w:style w:type="paragraph" w:customStyle="1" w:styleId="24">
    <w:name w:val="（二）级标题"/>
    <w:basedOn w:val="7"/>
    <w:qFormat/>
    <w:uiPriority w:val="2"/>
    <w:pPr>
      <w:numPr>
        <w:ilvl w:val="0"/>
        <w:numId w:val="1"/>
      </w:numPr>
      <w:spacing w:line="360" w:lineRule="auto"/>
      <w:outlineLvl w:val="2"/>
    </w:pPr>
    <w:rPr>
      <w:b/>
    </w:rPr>
  </w:style>
  <w:style w:type="paragraph" w:customStyle="1" w:styleId="25">
    <w:name w:val="一级标题"/>
    <w:basedOn w:val="7"/>
    <w:qFormat/>
    <w:uiPriority w:val="1"/>
    <w:pPr>
      <w:numPr>
        <w:ilvl w:val="0"/>
        <w:numId w:val="2"/>
      </w:numPr>
      <w:spacing w:line="360" w:lineRule="auto"/>
      <w:ind w:left="420"/>
      <w:outlineLvl w:val="1"/>
    </w:pPr>
    <w:rPr>
      <w:rFonts w:ascii="黑体" w:eastAsia="黑体"/>
      <w:b/>
      <w:bCs/>
      <w:sz w:val="28"/>
    </w:rPr>
  </w:style>
</w:styles>
</file>

<file path=word/_rels/document.xml.rels><?xml version="1.0" encoding="UTF-8" standalone="yes"?>
<Relationships xmlns="http://schemas.openxmlformats.org/package/2006/relationships"><Relationship Id="rId9" Type="http://schemas.openxmlformats.org/officeDocument/2006/relationships/image" Target="media/image6.png"/><Relationship Id="rId8" Type="http://schemas.openxmlformats.org/officeDocument/2006/relationships/image" Target="media/image5.png"/><Relationship Id="rId7" Type="http://schemas.openxmlformats.org/officeDocument/2006/relationships/image" Target="media/image4.png"/><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numbering" Target="numbering.xml"/><Relationship Id="rId15" Type="http://schemas.openxmlformats.org/officeDocument/2006/relationships/image" Target="media/image12.png"/><Relationship Id="rId14" Type="http://schemas.openxmlformats.org/officeDocument/2006/relationships/image" Target="media/image11.png"/><Relationship Id="rId13" Type="http://schemas.openxmlformats.org/officeDocument/2006/relationships/image" Target="media/image10.png"/><Relationship Id="rId12" Type="http://schemas.openxmlformats.org/officeDocument/2006/relationships/image" Target="media/image9.png"/><Relationship Id="rId11" Type="http://schemas.openxmlformats.org/officeDocument/2006/relationships/image" Target="media/image8.png"/><Relationship Id="rId10" Type="http://schemas.openxmlformats.org/officeDocument/2006/relationships/image" Target="media/image7.pn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9</Pages>
  <Words>2468</Words>
  <Characters>2719</Characters>
  <Lines>0</Lines>
  <Paragraphs>0</Paragraphs>
  <TotalTime>29</TotalTime>
  <ScaleCrop>false</ScaleCrop>
  <LinksUpToDate>false</LinksUpToDate>
  <CharactersWithSpaces>2918</CharactersWithSpaces>
  <Application>WPS Office_12.1.0.24655_F1E327BC-269C-435d-A152-05C5408002CA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2025-12-25T08:41:00Z</dcterms:created>
  <dc:creator>Administrator</dc:creator>
  <cp:lastModifiedBy>王会彭</cp:lastModifiedBy>
  <dcterms:modified xsi:type="dcterms:W3CDTF">2026-06-24T01:18:16Z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2052-12.1.0.24655</vt:lpwstr>
  </property>
  <property fmtid="{D5CDD505-2E9C-101B-9397-08002B2CF9AE}" pid="3" name="KSOTemplateDocerSaveRecord">
    <vt:lpwstr>eyJoZGlkIjoiYzM2ZWU1ZWY2N2M5YjZmNWU3NmY3MmJjOTI5NjJiNmQiLCJ1c2VySWQiOiIxNjE5ODgxNjM5In0=</vt:lpwstr>
  </property>
  <property fmtid="{D5CDD505-2E9C-101B-9397-08002B2CF9AE}" pid="4" name="ICV">
    <vt:lpwstr>E4ABD8DB54B24C0AA467A7065209A887_13</vt:lpwstr>
  </property>
</Properties>
</file>