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r>
        <w:rPr>
          <w:rFonts w:hint="eastAsia" w:ascii="宋体" w:hAnsi="宋体" w:cs="宋体"/>
          <w:b/>
          <w:bCs/>
          <w:color w:val="000000"/>
          <w:spacing w:val="-8"/>
          <w:sz w:val="48"/>
          <w:szCs w:val="44"/>
          <w:lang w:eastAsia="zh-CN"/>
        </w:rPr>
        <w:t>、</w:t>
      </w:r>
      <w:r>
        <w:rPr>
          <w:rFonts w:hint="eastAsia" w:ascii="宋体" w:hAnsi="宋体" w:eastAsia="宋体" w:cs="宋体"/>
          <w:b/>
          <w:bCs/>
          <w:color w:val="000000"/>
          <w:spacing w:val="-8"/>
          <w:sz w:val="48"/>
          <w:szCs w:val="44"/>
        </w:rPr>
        <w:t>济南汽车检测中心有限公司三高及全国路试</w:t>
      </w: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试验驾驶员服务招标项目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pStyle w:val="15"/>
        <w:rPr>
          <w:rFonts w:hint="eastAsia"/>
        </w:rPr>
      </w:pPr>
    </w:p>
    <w:p>
      <w:pPr>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招 标 人：</w:t>
      </w:r>
      <w:r>
        <w:rPr>
          <w:rFonts w:hint="eastAsia" w:ascii="宋体" w:hAnsi="宋体" w:cs="宋体"/>
          <w:color w:val="000000"/>
          <w:sz w:val="28"/>
          <w:szCs w:val="28"/>
          <w:lang w:eastAsia="zh-CN"/>
        </w:rPr>
        <w:t>中国重汽集团济南动力有限公司、</w:t>
      </w:r>
      <w:r>
        <w:rPr>
          <w:rFonts w:hint="eastAsia" w:ascii="宋体" w:hAnsi="宋体" w:cs="宋体"/>
          <w:color w:val="000000"/>
          <w:sz w:val="28"/>
          <w:szCs w:val="28"/>
          <w:lang w:val="en-US" w:eastAsia="zh-CN"/>
        </w:rPr>
        <w:tab/>
      </w:r>
      <w:r>
        <w:rPr>
          <w:rFonts w:hint="eastAsia" w:ascii="宋体" w:hAnsi="宋体" w:cs="宋体"/>
          <w:color w:val="000000"/>
          <w:sz w:val="28"/>
          <w:szCs w:val="28"/>
          <w:lang w:eastAsia="zh-CN"/>
        </w:rPr>
        <w:t>济南汽车检测中心有限公司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rPr>
        <w:t>三高及全国路试试验驾驶员服务项目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采购形式编号：CGZX2025040023</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1、招标内容：三高及全国路试试验驾驶员服务项目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1、项目名称：三高及全国路试试验驾驶员服务项目。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p>
    <w:p>
      <w:pPr>
        <w:pStyle w:val="79"/>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中国重汽集团济南动力有限公司/济南汽车检测中心有限公司</w:t>
      </w:r>
      <w:r>
        <w:rPr>
          <w:rFonts w:hint="eastAsia" w:ascii="宋体" w:hAnsi="宋体" w:eastAsia="宋体" w:cs="宋体"/>
        </w:rPr>
        <w:t>签订合同，按表1（具体付款方式）通知开具增值税发票，由</w:t>
      </w:r>
      <w:r>
        <w:rPr>
          <w:rFonts w:hint="eastAsia" w:eastAsia="宋体" w:cs="宋体"/>
          <w:lang w:eastAsia="zh-CN"/>
        </w:rPr>
        <w:t>中国重汽集团济南动力有限公司/济南汽车检测中心有限公司</w:t>
      </w:r>
      <w:r>
        <w:rPr>
          <w:rFonts w:hint="eastAsia" w:ascii="宋体" w:hAnsi="宋体" w:eastAsia="宋体" w:cs="宋体"/>
        </w:rPr>
        <w:t>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三高及全国路试试验驾驶员服务项目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合同签订后按实际使用人数、天数，按月结算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2</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u w:val="single"/>
          <w:lang w:val="en-US" w:eastAsia="zh-CN"/>
        </w:rPr>
        <w:t>两</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Times New Roman" w:hAnsi="宋体"/>
          <w:color w:val="000000"/>
          <w:sz w:val="24"/>
          <w:szCs w:val="24"/>
        </w:rPr>
      </w:pPr>
      <w:r>
        <w:rPr>
          <w:rFonts w:hint="eastAsia"/>
          <w:color w:val="000000"/>
          <w:sz w:val="24"/>
          <w:szCs w:val="24"/>
        </w:rPr>
        <w:t>（8）</w:t>
      </w:r>
      <w:r>
        <w:rPr>
          <w:rFonts w:hint="eastAsia" w:ascii="Times New Roman" w:hAnsi="宋体"/>
          <w:color w:val="000000"/>
          <w:sz w:val="24"/>
          <w:szCs w:val="24"/>
        </w:rPr>
        <w:t>拟</w:t>
      </w:r>
      <w:r>
        <w:rPr>
          <w:rFonts w:hint="default" w:ascii="Times New Roman" w:hAnsi="宋体"/>
          <w:color w:val="000000"/>
          <w:sz w:val="24"/>
          <w:szCs w:val="24"/>
        </w:rPr>
        <w:t>投标人的直接或间接股东、法定代表人、董事、监事、高管非重汽员工及其亲属。</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sz w:val="24"/>
          <w:szCs w:val="24"/>
          <w:lang w:eastAsia="zh-CN"/>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15</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26</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26</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rPr>
      </w:pPr>
      <w:r>
        <w:rPr>
          <w:rFonts w:hint="eastAsia" w:ascii="宋体" w:hAnsi="宋体" w:eastAsia="宋体" w:cs="宋体"/>
        </w:rPr>
        <w:t>联 系 人：赵文凤</w:t>
      </w:r>
    </w:p>
    <w:p>
      <w:pPr>
        <w:pStyle w:val="79"/>
        <w:ind w:firstLine="480"/>
        <w:rPr>
          <w:rFonts w:hint="eastAsia" w:ascii="宋体" w:hAnsi="宋体" w:eastAsia="宋体" w:cs="宋体"/>
        </w:rPr>
      </w:pPr>
      <w:r>
        <w:rPr>
          <w:rFonts w:hint="eastAsia" w:ascii="宋体" w:hAnsi="宋体" w:eastAsia="宋体" w:cs="宋体"/>
        </w:rPr>
        <w:t>电    话：17861402370</w:t>
      </w:r>
    </w:p>
    <w:p>
      <w:pPr>
        <w:pStyle w:val="79"/>
        <w:ind w:firstLine="480"/>
        <w:rPr>
          <w:rFonts w:hint="eastAsia" w:ascii="宋体" w:hAnsi="宋体" w:eastAsia="宋体" w:cs="宋体"/>
        </w:rPr>
      </w:pPr>
      <w:r>
        <w:rPr>
          <w:rFonts w:hint="eastAsia" w:ascii="宋体" w:hAnsi="宋体" w:eastAsia="宋体" w:cs="宋体"/>
        </w:rPr>
        <w:t>邮    箱：zhaowenfeng@sinotruk.com</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ind w:firstLine="480"/>
        <w:rPr>
          <w:rFonts w:hint="eastAsia" w:ascii="宋体" w:hAnsi="宋体" w:eastAsia="宋体" w:cs="宋体"/>
        </w:rPr>
      </w:pPr>
      <w:r>
        <w:rPr>
          <w:rFonts w:hint="eastAsia" w:ascii="宋体" w:hAnsi="宋体" w:eastAsia="宋体" w:cs="宋体"/>
        </w:rPr>
        <w:t>6、投标报名及注意事项</w:t>
      </w:r>
    </w:p>
    <w:p>
      <w:pPr>
        <w:pStyle w:val="81"/>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bookmarkStart w:id="30" w:name="_GoBack"/>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27</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bookmarkEnd w:id="30"/>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ascii="Calibri" w:hAnsi="Calibri" w:eastAsia="宋体" w:cs="Times New Roman"/>
          <w:b/>
          <w:bCs/>
          <w:color w:val="000000"/>
          <w:sz w:val="24"/>
          <w:szCs w:val="24"/>
        </w:rPr>
      </w:pPr>
      <w:r>
        <w:rPr>
          <w:rFonts w:hint="eastAsia" w:ascii="宋体" w:hAnsi="宋体" w:cs="宋体"/>
          <w:b/>
          <w:bCs/>
          <w:sz w:val="24"/>
          <w:szCs w:val="24"/>
          <w:highlight w:val="yellow"/>
        </w:rPr>
        <w:t>本次招标采用</w:t>
      </w:r>
      <w:r>
        <w:rPr>
          <w:rFonts w:hint="eastAsia" w:ascii="宋体" w:hAnsi="宋体" w:cs="宋体"/>
          <w:b/>
          <w:bCs/>
          <w:color w:val="000000"/>
          <w:sz w:val="24"/>
          <w:szCs w:val="24"/>
          <w:highlight w:val="yellow"/>
        </w:rPr>
        <w:t>综合评标（技术标分数占比30%，商务标评分占比70%）。本着公平、公正、公开的原则，在通过技术标综合评审后入围的前提下，通过综合评标法确定中标</w:t>
      </w:r>
      <w:r>
        <w:rPr>
          <w:rFonts w:hint="eastAsia" w:ascii="宋体" w:hAnsi="宋体" w:cs="宋体"/>
          <w:b/>
          <w:bCs/>
          <w:color w:val="000000"/>
          <w:sz w:val="24"/>
          <w:szCs w:val="24"/>
          <w:highlight w:val="yellow"/>
          <w:lang w:eastAsia="zh-CN"/>
        </w:rPr>
        <w:t>。</w:t>
      </w:r>
    </w:p>
    <w:p>
      <w:pPr>
        <w:pStyle w:val="79"/>
        <w:ind w:firstLine="482"/>
        <w:rPr>
          <w:rFonts w:hint="eastAsia" w:ascii="宋体" w:hAnsi="宋体" w:eastAsia="宋体" w:cs="宋体"/>
          <w:b/>
          <w:bCs/>
          <w:highlight w:val="yellow"/>
        </w:rPr>
      </w:pPr>
      <w:r>
        <w:rPr>
          <w:rFonts w:hint="eastAsia" w:ascii="宋体" w:hAnsi="宋体" w:eastAsia="宋体" w:cs="宋体"/>
          <w:b/>
          <w:bCs/>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eastAsia="宋体" w:cs="Times New Roman"/>
          <w:b/>
          <w:bCs/>
        </w:rPr>
        <w:t>按照招标文件</w:t>
      </w:r>
      <w:r>
        <w:rPr>
          <w:rFonts w:hint="eastAsia" w:cs="Times New Roman"/>
          <w:b/>
          <w:bCs/>
          <w:lang w:val="en-US" w:eastAsia="zh-CN"/>
        </w:rPr>
        <w:t>本章 四、投标说明</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w:t>
      </w:r>
      <w:r>
        <w:rPr>
          <w:rFonts w:hint="eastAsia" w:cs="Times New Roman"/>
          <w:b/>
          <w:bCs/>
          <w:lang w:val="en-US" w:eastAsia="zh-CN"/>
        </w:rPr>
        <w:t>1</w:t>
      </w:r>
      <w:r>
        <w:rPr>
          <w:rFonts w:hint="eastAsia" w:eastAsia="宋体" w:cs="Times New Roman"/>
          <w:b/>
          <w:bCs/>
        </w:rPr>
        <w:t>准备资料</w:t>
      </w:r>
      <w:r>
        <w:rPr>
          <w:rFonts w:hint="eastAsia" w:ascii="宋体" w:hAnsi="宋体" w:eastAsia="宋体" w:cs="宋体"/>
          <w:b/>
          <w:bCs/>
          <w:color w:val="000000"/>
          <w:sz w:val="24"/>
          <w:szCs w:val="24"/>
        </w:rPr>
        <w:t>，上传完毕后，等待审核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p>
    <w:p>
      <w:pPr>
        <w:numPr>
          <w:ilvl w:val="0"/>
          <w:numId w:val="6"/>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中标人确定：采用综合评标（技术标分数占比30%，商务标评分占比70%）。在通过技术标综合评审后入围的前提下，通过综合评标法确定中标。</w:t>
      </w:r>
    </w:p>
    <w:p>
      <w:pPr>
        <w:widowControl/>
        <w:spacing w:line="360" w:lineRule="auto"/>
        <w:ind w:right="2" w:firstLine="480" w:firstLineChars="200"/>
        <w:jc w:val="left"/>
        <w:rPr>
          <w:rFonts w:ascii="Calibri" w:hAnsi="Calibri" w:eastAsia="宋体" w:cs="Times New Roman"/>
          <w:i w:val="0"/>
          <w:iCs w:val="0"/>
          <w:color w:val="000000"/>
          <w:sz w:val="24"/>
          <w:szCs w:val="24"/>
        </w:rPr>
      </w:pPr>
      <w:r>
        <w:rPr>
          <w:rFonts w:hint="eastAsia" w:ascii="宋体" w:hAnsi="宋体" w:eastAsia="宋体" w:cs="宋体"/>
          <w:color w:val="000000"/>
          <w:sz w:val="24"/>
          <w:szCs w:val="24"/>
        </w:rPr>
        <w:t>本项目产生</w:t>
      </w:r>
      <w:r>
        <w:rPr>
          <w:rFonts w:hint="eastAsia" w:ascii="宋体" w:hAnsi="宋体" w:cs="宋体"/>
          <w:color w:val="000000"/>
          <w:sz w:val="24"/>
          <w:szCs w:val="24"/>
          <w:lang w:val="en-US" w:eastAsia="zh-CN"/>
        </w:rPr>
        <w:t>1-2</w:t>
      </w:r>
      <w:r>
        <w:rPr>
          <w:rFonts w:hint="eastAsia" w:ascii="宋体" w:hAnsi="宋体" w:eastAsia="宋体" w:cs="宋体"/>
          <w:color w:val="000000"/>
          <w:sz w:val="24"/>
          <w:szCs w:val="24"/>
        </w:rPr>
        <w:t>个中标人。</w:t>
      </w:r>
      <w:r>
        <w:rPr>
          <w:rFonts w:hint="eastAsia" w:ascii="宋体" w:hAnsi="宋体" w:eastAsia="宋体" w:cs="宋体"/>
          <w:color w:val="000000"/>
          <w:sz w:val="24"/>
          <w:szCs w:val="24"/>
          <w:highlight w:val="yellow"/>
        </w:rPr>
        <w:t>若最终两家企业中标，所有价格以两家中标者价格低的为依据统一签订合同。</w:t>
      </w:r>
      <w:r>
        <w:rPr>
          <w:rFonts w:ascii="Calibri" w:hAnsi="Calibri" w:eastAsia="宋体" w:cs="Times New Roman"/>
          <w:i w:val="0"/>
          <w:iCs w:val="0"/>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i w:val="0"/>
          <w:iCs w:val="0"/>
          <w:color w:val="000000"/>
          <w:sz w:val="24"/>
          <w:szCs w:val="24"/>
          <w:lang w:bidi="ar"/>
        </w:rPr>
        <w:t>变更意向中标人</w:t>
      </w:r>
      <w:r>
        <w:rPr>
          <w:rFonts w:hint="eastAsia" w:ascii="Calibri" w:hAnsi="Calibri" w:eastAsia="宋体" w:cs="Times New Roman"/>
          <w:i w:val="0"/>
          <w:iCs w:val="0"/>
          <w:color w:val="000000"/>
          <w:sz w:val="24"/>
          <w:szCs w:val="24"/>
          <w:lang w:bidi="ar"/>
        </w:rPr>
        <w:t>。</w:t>
      </w:r>
    </w:p>
    <w:p>
      <w:pPr>
        <w:pStyle w:val="79"/>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Times New Roman" w:hAnsi="Times New Roman" w:cs="宋体"/>
          <w:color w:val="000000"/>
          <w:sz w:val="24"/>
          <w:szCs w:val="24"/>
        </w:rPr>
      </w:pPr>
      <w:r>
        <w:rPr>
          <w:rFonts w:hint="eastAsia" w:ascii="Times New Roman" w:hAnsi="Times New Roman" w:cs="宋体"/>
          <w:color w:val="000000"/>
          <w:sz w:val="24"/>
          <w:szCs w:val="24"/>
        </w:rPr>
        <w:t>无论基于何种原因，各项本应作为拒绝处理的情形即便未被及时发现而使该中标人通过了资格审核、初评、现场复审、终评或其他所有相关程序，包括</w:t>
      </w:r>
      <w:r>
        <w:rPr>
          <w:rFonts w:hint="default" w:ascii="Times New Roman" w:hAnsi="Times New Roman" w:cs="宋体"/>
          <w:color w:val="000000"/>
          <w:sz w:val="24"/>
          <w:szCs w:val="24"/>
        </w:rPr>
        <w:t>已签订合同的情形，招标人均有权拒绝</w:t>
      </w:r>
      <w:r>
        <w:rPr>
          <w:rFonts w:hint="eastAsia" w:ascii="Times New Roman" w:hAnsi="Times New Roman" w:cs="宋体"/>
          <w:color w:val="000000"/>
          <w:sz w:val="24"/>
          <w:szCs w:val="24"/>
          <w:lang w:eastAsia="zh-CN"/>
        </w:rPr>
        <w:t>、</w:t>
      </w:r>
      <w:r>
        <w:rPr>
          <w:rFonts w:hint="default" w:ascii="Times New Roman" w:hAnsi="Times New Roman" w:cs="宋体"/>
          <w:color w:val="000000"/>
          <w:sz w:val="24"/>
          <w:szCs w:val="24"/>
        </w:rPr>
        <w:t>取消中标人资格，</w:t>
      </w:r>
      <w:r>
        <w:rPr>
          <w:rFonts w:hint="eastAsia" w:ascii="Times New Roman" w:hAnsi="Times New Roman" w:cs="宋体"/>
          <w:color w:val="000000"/>
          <w:sz w:val="24"/>
          <w:szCs w:val="24"/>
        </w:rPr>
        <w:t>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color w:val="000000"/>
          <w:sz w:val="24"/>
          <w:szCs w:val="24"/>
          <w:lang w:eastAsia="zh-CN"/>
        </w:rPr>
        <w:t>中国重汽集团济南动力有限公司/济南汽车检测中心有限公司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中国重汽集团济南动力有限公司/济南汽车检测中心有限公司</w:t>
      </w:r>
      <w:r>
        <w:rPr>
          <w:rFonts w:hint="eastAsia" w:ascii="宋体" w:hAnsi="宋体" w:eastAsia="宋体" w:cs="宋体"/>
        </w:rPr>
        <w:t>：</w:t>
      </w:r>
    </w:p>
    <w:p>
      <w:pPr>
        <w:pStyle w:val="79"/>
        <w:ind w:firstLine="480"/>
        <w:rPr>
          <w:rFonts w:hint="eastAsia" w:ascii="宋体" w:hAnsi="宋体" w:eastAsia="宋体" w:cs="宋体"/>
          <w:b/>
          <w:highlight w:val="yellow"/>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纸质投标文件：商务和技术文件正本    份、副本    份；资质证明文件   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中国重汽集团济南动力有限公司/济南汽车检测中心有限公司</w:t>
      </w:r>
      <w:r>
        <w:rPr>
          <w:rFonts w:hint="eastAsia" w:ascii="宋体" w:hAnsi="宋体" w:eastAsia="宋体" w:cs="宋体"/>
          <w:b/>
          <w:bCs/>
          <w:sz w:val="24"/>
          <w:szCs w:val="20"/>
        </w:rPr>
        <w:t>：</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lang w:val="en-US" w:eastAsia="zh-CN"/>
              </w:rPr>
              <w:t>1</w:t>
            </w:r>
          </w:p>
        </w:tc>
        <w:tc>
          <w:tcPr>
            <w:tcW w:w="3534"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lang w:val="en-US" w:eastAsia="zh-CN"/>
              </w:rPr>
              <w:t>能提供含A2等级的驾驶证件的驾驶人员，且年龄55岁以下，身体素质好，无疾病，适应环境能力强，人数不少于10人。</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lang w:val="en-US" w:eastAsia="zh-CN"/>
              </w:rPr>
              <w:t>2</w:t>
            </w:r>
          </w:p>
        </w:tc>
        <w:tc>
          <w:tcPr>
            <w:tcW w:w="3534"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rPr>
              <w:t>所提供的驾驶人员应具有从事整车可靠性、性能试验及三高试验任务等道路试验驾驶经验</w:t>
            </w:r>
            <w:r>
              <w:rPr>
                <w:rFonts w:hint="eastAsia" w:ascii="宋体" w:hAnsi="宋体" w:eastAsia="宋体" w:cs="宋体"/>
                <w:b w:val="0"/>
                <w:bCs/>
                <w:sz w:val="24"/>
                <w:szCs w:val="24"/>
                <w:lang w:eastAsia="zh-CN"/>
              </w:rPr>
              <w:t>。</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lang w:val="en-US" w:eastAsia="zh-CN"/>
              </w:rPr>
              <w:t>3</w:t>
            </w:r>
          </w:p>
        </w:tc>
        <w:tc>
          <w:tcPr>
            <w:tcW w:w="3534"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rPr>
              <w:t>具有从事试验驾驶服务业绩，并提供相关证明材料。</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exact"/>
        </w:trPr>
        <w:tc>
          <w:tcPr>
            <w:tcW w:w="1625"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lang w:val="en-US" w:eastAsia="zh-CN"/>
              </w:rPr>
              <w:t>4</w:t>
            </w:r>
          </w:p>
        </w:tc>
        <w:tc>
          <w:tcPr>
            <w:tcW w:w="3534"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rPr>
              <w:t>提供的的驾驶员须有3年以上驾驶经验，且近三年无交通责任事故及重大违纪记录，并能够提供相关证明材料</w:t>
            </w:r>
            <w:r>
              <w:rPr>
                <w:rFonts w:hint="eastAsia" w:ascii="宋体" w:hAnsi="宋体" w:eastAsia="宋体" w:cs="宋体"/>
                <w:b w:val="0"/>
                <w:bCs/>
                <w:sz w:val="24"/>
                <w:szCs w:val="24"/>
                <w:lang w:eastAsia="zh-CN"/>
              </w:rPr>
              <w:t>。</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lang w:val="en-US" w:eastAsia="zh-CN"/>
              </w:rPr>
              <w:t>5</w:t>
            </w:r>
          </w:p>
        </w:tc>
        <w:tc>
          <w:tcPr>
            <w:tcW w:w="3534"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highlight w:val="none"/>
              </w:rPr>
              <w:t>根据试验需求，在规定时间内提供驾驶服务及相应驾驶员数量</w:t>
            </w:r>
            <w:r>
              <w:rPr>
                <w:rFonts w:hint="eastAsia" w:ascii="宋体" w:hAnsi="宋体" w:eastAsia="宋体" w:cs="宋体"/>
                <w:b w:val="0"/>
                <w:bCs/>
                <w:sz w:val="24"/>
                <w:szCs w:val="24"/>
                <w:highlight w:val="none"/>
                <w:lang w:eastAsia="zh-CN"/>
              </w:rPr>
              <w:t>。</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lang w:val="en-US" w:eastAsia="zh-CN"/>
              </w:rPr>
              <w:t>6</w:t>
            </w:r>
          </w:p>
        </w:tc>
        <w:tc>
          <w:tcPr>
            <w:tcW w:w="3534" w:type="dxa"/>
            <w:vAlign w:val="top"/>
          </w:tcPr>
          <w:p>
            <w:pPr>
              <w:pStyle w:val="83"/>
              <w:jc w:val="center"/>
              <w:rPr>
                <w:rFonts w:hint="eastAsia" w:ascii="宋体" w:hAnsi="宋体" w:eastAsia="宋体" w:cs="宋体"/>
                <w:sz w:val="24"/>
              </w:rPr>
            </w:pPr>
            <w:r>
              <w:rPr>
                <w:rFonts w:hint="eastAsia" w:ascii="宋体" w:hAnsi="宋体" w:eastAsia="宋体" w:cs="宋体"/>
                <w:b w:val="0"/>
                <w:bCs/>
                <w:sz w:val="24"/>
                <w:szCs w:val="24"/>
                <w:highlight w:val="none"/>
              </w:rPr>
              <w:t>需负责驾驶员的劳动保险、意外保险等商业保险</w:t>
            </w:r>
            <w:r>
              <w:rPr>
                <w:rFonts w:hint="eastAsia" w:ascii="宋体" w:hAnsi="宋体" w:eastAsia="宋体" w:cs="宋体"/>
                <w:b w:val="0"/>
                <w:bCs/>
                <w:sz w:val="24"/>
                <w:szCs w:val="24"/>
                <w:highlight w:val="none"/>
                <w:lang w:val="en-US" w:eastAsia="zh-CN"/>
              </w:rPr>
              <w:t>以及</w:t>
            </w:r>
            <w:r>
              <w:rPr>
                <w:rFonts w:hint="eastAsia" w:ascii="宋体" w:hAnsi="宋体" w:eastAsia="宋体" w:cs="宋体"/>
                <w:b w:val="0"/>
                <w:bCs/>
                <w:sz w:val="24"/>
                <w:szCs w:val="24"/>
                <w:highlight w:val="none"/>
              </w:rPr>
              <w:t>试验期间驾驶人员产生的差旅费用</w:t>
            </w:r>
            <w:r>
              <w:rPr>
                <w:rFonts w:hint="eastAsia" w:ascii="宋体" w:hAnsi="宋体" w:eastAsia="宋体" w:cs="宋体"/>
                <w:b w:val="0"/>
                <w:bCs/>
                <w:sz w:val="24"/>
                <w:szCs w:val="24"/>
                <w:highlight w:val="none"/>
                <w:lang w:eastAsia="zh-CN"/>
              </w:rPr>
              <w:t>。</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vAlign w:val="top"/>
          </w:tcPr>
          <w:p>
            <w:pPr>
              <w:pStyle w:val="83"/>
              <w:jc w:val="center"/>
              <w:rPr>
                <w:rFonts w:hint="eastAsia" w:ascii="宋体" w:hAnsi="宋体" w:eastAsia="宋体" w:cs="宋体"/>
                <w:sz w:val="24"/>
              </w:rPr>
            </w:pPr>
            <w:r>
              <w:rPr>
                <w:rFonts w:hint="eastAsia" w:ascii="宋体" w:hAnsi="宋体" w:eastAsia="宋体" w:cs="宋体"/>
                <w:b w:val="0"/>
                <w:bCs/>
                <w:color w:val="000000"/>
                <w:sz w:val="24"/>
                <w:szCs w:val="24"/>
                <w:highlight w:val="none"/>
                <w:lang w:val="en-US" w:eastAsia="zh-CN"/>
              </w:rPr>
              <w:t>7</w:t>
            </w:r>
          </w:p>
        </w:tc>
        <w:tc>
          <w:tcPr>
            <w:tcW w:w="3534" w:type="dxa"/>
            <w:vAlign w:val="top"/>
          </w:tcPr>
          <w:p>
            <w:pPr>
              <w:pStyle w:val="83"/>
              <w:jc w:val="center"/>
              <w:rPr>
                <w:rFonts w:hint="eastAsia" w:ascii="宋体" w:hAnsi="宋体" w:eastAsia="宋体" w:cs="宋体"/>
                <w:sz w:val="24"/>
              </w:rPr>
            </w:pPr>
            <w:r>
              <w:rPr>
                <w:rFonts w:hint="eastAsia" w:ascii="宋体" w:hAnsi="宋体" w:eastAsia="宋体" w:cs="宋体"/>
                <w:b w:val="0"/>
                <w:bCs/>
                <w:color w:val="000000"/>
                <w:sz w:val="24"/>
                <w:szCs w:val="24"/>
                <w:highlight w:val="none"/>
                <w:lang w:val="en-US" w:eastAsia="zh-CN"/>
              </w:rPr>
              <w:t>试验车外出加油加气</w:t>
            </w:r>
            <w:r>
              <w:rPr>
                <w:rFonts w:hint="eastAsia" w:ascii="宋体" w:hAnsi="宋体" w:eastAsia="宋体" w:cs="宋体"/>
                <w:b w:val="0"/>
                <w:bCs/>
                <w:color w:val="000000"/>
                <w:sz w:val="24"/>
                <w:szCs w:val="24"/>
                <w:highlight w:val="none"/>
              </w:rPr>
              <w:t>需穿行市区，需具备处理试验车外出加油加气的能力，</w:t>
            </w:r>
            <w:r>
              <w:rPr>
                <w:rFonts w:hint="eastAsia" w:ascii="宋体" w:hAnsi="宋体" w:eastAsia="宋体" w:cs="宋体"/>
                <w:b w:val="0"/>
                <w:bCs/>
                <w:color w:val="000000"/>
                <w:sz w:val="24"/>
                <w:szCs w:val="24"/>
                <w:highlight w:val="none"/>
                <w:lang w:val="en-US" w:eastAsia="zh-CN"/>
              </w:rPr>
              <w:t>并</w:t>
            </w:r>
            <w:r>
              <w:rPr>
                <w:rFonts w:hint="eastAsia" w:ascii="宋体" w:hAnsi="宋体" w:eastAsia="宋体" w:cs="宋体"/>
                <w:b w:val="0"/>
                <w:bCs/>
                <w:color w:val="000000"/>
                <w:sz w:val="24"/>
                <w:szCs w:val="24"/>
                <w:highlight w:val="none"/>
              </w:rPr>
              <w:t>协调当地关系。</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vAlign w:val="top"/>
          </w:tcPr>
          <w:p>
            <w:pPr>
              <w:pStyle w:val="83"/>
              <w:jc w:val="center"/>
              <w:rPr>
                <w:rFonts w:hint="eastAsia" w:ascii="宋体" w:hAnsi="宋体" w:eastAsia="宋体" w:cs="宋体"/>
                <w:sz w:val="24"/>
              </w:rPr>
            </w:pPr>
            <w:r>
              <w:rPr>
                <w:rFonts w:hint="eastAsia" w:ascii="宋体" w:hAnsi="宋体" w:eastAsia="宋体" w:cs="宋体"/>
                <w:b w:val="0"/>
                <w:bCs/>
                <w:color w:val="000000"/>
                <w:sz w:val="24"/>
                <w:szCs w:val="24"/>
                <w:highlight w:val="none"/>
                <w:lang w:val="en-US" w:eastAsia="zh-CN"/>
              </w:rPr>
              <w:t>8</w:t>
            </w:r>
          </w:p>
        </w:tc>
        <w:tc>
          <w:tcPr>
            <w:tcW w:w="3534" w:type="dxa"/>
            <w:vAlign w:val="top"/>
          </w:tcPr>
          <w:p>
            <w:pPr>
              <w:pStyle w:val="83"/>
              <w:jc w:val="center"/>
              <w:rPr>
                <w:rFonts w:hint="eastAsia" w:ascii="宋体" w:hAnsi="宋体" w:eastAsia="宋体" w:cs="宋体"/>
                <w:sz w:val="24"/>
              </w:rPr>
            </w:pPr>
            <w:r>
              <w:rPr>
                <w:rFonts w:hint="eastAsia" w:ascii="宋体" w:hAnsi="宋体" w:eastAsia="宋体" w:cs="宋体"/>
                <w:b w:val="0"/>
                <w:bCs/>
                <w:color w:val="000000"/>
                <w:sz w:val="24"/>
                <w:szCs w:val="24"/>
                <w:highlight w:val="none"/>
                <w:lang w:val="en-US" w:eastAsia="zh-CN"/>
              </w:rPr>
              <w:t>具备处理社会道路紧急情况的能力。</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b/>
          <w:bCs/>
          <w:color w:val="000000"/>
          <w:sz w:val="28"/>
        </w:rPr>
      </w:pPr>
      <w:r>
        <w:rPr>
          <w:rFonts w:hint="eastAsia" w:ascii="宋体" w:hAnsi="宋体" w:eastAsia="宋体" w:cs="宋体"/>
          <w:sz w:val="24"/>
        </w:rPr>
        <w:t>法定代表人（委托代理人）：（签字）</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项目名称：整车各驻点试验驾驶服务项目</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486"/>
        <w:gridCol w:w="1050"/>
        <w:gridCol w:w="867"/>
        <w:gridCol w:w="795"/>
        <w:gridCol w:w="1155"/>
        <w:gridCol w:w="1395"/>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default" w:ascii="宋体" w:hAnsi="宋体" w:eastAsiaTheme="minorEastAsia"/>
                <w:highlight w:val="none"/>
                <w:lang w:val="en-US" w:eastAsia="zh-CN"/>
              </w:rPr>
            </w:pPr>
            <w:r>
              <w:rPr>
                <w:rFonts w:hint="eastAsia" w:ascii="Times New Roman"/>
                <w:highlight w:val="none"/>
                <w:lang w:eastAsia="zh-CN"/>
              </w:rPr>
              <w:t>整车各驻点试验驾驶服务</w:t>
            </w:r>
            <w:r>
              <w:rPr>
                <w:rFonts w:hint="eastAsia" w:ascii="宋体" w:hAnsi="宋体"/>
                <w:highlight w:val="none"/>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ascii="宋体" w:hAnsi="宋体"/>
              </w:rPr>
            </w:pPr>
            <w:r>
              <w:rPr>
                <w:rFonts w:ascii="宋体" w:hAnsi="宋体"/>
              </w:rPr>
              <w:t>序号</w:t>
            </w:r>
          </w:p>
        </w:tc>
        <w:tc>
          <w:tcPr>
            <w:tcW w:w="800" w:type="pct"/>
            <w:vAlign w:val="center"/>
          </w:tcPr>
          <w:p>
            <w:pPr>
              <w:pStyle w:val="83"/>
              <w:rPr>
                <w:rFonts w:ascii="宋体" w:hAnsi="宋体"/>
              </w:rPr>
            </w:pPr>
            <w:r>
              <w:rPr>
                <w:rFonts w:ascii="宋体" w:hAnsi="宋体"/>
              </w:rPr>
              <w:t>项目名称</w:t>
            </w:r>
          </w:p>
        </w:tc>
        <w:tc>
          <w:tcPr>
            <w:tcW w:w="565" w:type="pct"/>
            <w:vAlign w:val="center"/>
          </w:tcPr>
          <w:p>
            <w:pPr>
              <w:pStyle w:val="83"/>
              <w:rPr>
                <w:rFonts w:ascii="宋体" w:hAnsi="宋体"/>
              </w:rPr>
            </w:pPr>
            <w:r>
              <w:rPr>
                <w:rFonts w:ascii="宋体" w:hAnsi="宋体"/>
                <w:szCs w:val="21"/>
              </w:rPr>
              <w:t>含税</w:t>
            </w:r>
            <w:r>
              <w:rPr>
                <w:rFonts w:ascii="宋体" w:hAnsi="宋体"/>
              </w:rPr>
              <w:t>投标</w:t>
            </w:r>
            <w:r>
              <w:rPr>
                <w:rFonts w:hint="eastAsia" w:ascii="宋体" w:hAnsi="宋体"/>
                <w:lang w:val="en-US" w:eastAsia="zh-CN"/>
              </w:rPr>
              <w:t>单</w:t>
            </w:r>
            <w:r>
              <w:rPr>
                <w:rFonts w:ascii="宋体" w:hAnsi="宋体"/>
              </w:rPr>
              <w:t>价</w:t>
            </w:r>
          </w:p>
          <w:p>
            <w:pPr>
              <w:pStyle w:val="83"/>
              <w:rPr>
                <w:rFonts w:hint="default" w:ascii="宋体" w:hAnsi="宋体" w:eastAsiaTheme="minorEastAsia"/>
                <w:lang w:val="en-US" w:eastAsia="zh-CN"/>
              </w:rPr>
            </w:pPr>
            <w:r>
              <w:rPr>
                <w:rFonts w:hint="eastAsia" w:ascii="宋体" w:hAnsi="宋体"/>
                <w:szCs w:val="21"/>
                <w:lang w:val="en-US" w:eastAsia="zh-CN"/>
              </w:rPr>
              <w:t>（元/人/天</w:t>
            </w:r>
            <w:r>
              <w:rPr>
                <w:rFonts w:hint="eastAsia" w:ascii="宋体" w:hAnsi="宋体"/>
                <w:lang w:val="en-US" w:eastAsia="zh-CN"/>
              </w:rPr>
              <w:t>)</w:t>
            </w:r>
          </w:p>
        </w:tc>
        <w:tc>
          <w:tcPr>
            <w:tcW w:w="466" w:type="pct"/>
            <w:vAlign w:val="center"/>
          </w:tcPr>
          <w:p>
            <w:pPr>
              <w:pStyle w:val="83"/>
              <w:rPr>
                <w:rFonts w:ascii="宋体" w:hAnsi="宋体"/>
                <w:szCs w:val="21"/>
              </w:rPr>
            </w:pPr>
            <w:r>
              <w:rPr>
                <w:rFonts w:ascii="宋体" w:hAnsi="宋体"/>
                <w:szCs w:val="21"/>
              </w:rPr>
              <w:t>不含税价</w:t>
            </w:r>
            <w:r>
              <w:rPr>
                <w:rFonts w:hint="eastAsia" w:ascii="宋体" w:hAnsi="宋体"/>
                <w:szCs w:val="21"/>
                <w:lang w:val="en-US" w:eastAsia="zh-CN"/>
              </w:rPr>
              <w:t>（元/人/天</w:t>
            </w:r>
            <w:r>
              <w:rPr>
                <w:rFonts w:hint="eastAsia" w:ascii="宋体" w:hAnsi="宋体"/>
                <w:lang w:val="en-US" w:eastAsia="zh-CN"/>
              </w:rPr>
              <w:t>)</w:t>
            </w:r>
          </w:p>
        </w:tc>
        <w:tc>
          <w:tcPr>
            <w:tcW w:w="428" w:type="pct"/>
            <w:vAlign w:val="center"/>
          </w:tcPr>
          <w:p>
            <w:pPr>
              <w:pStyle w:val="83"/>
              <w:rPr>
                <w:rFonts w:ascii="宋体" w:hAnsi="宋体"/>
                <w:szCs w:val="21"/>
              </w:rPr>
            </w:pPr>
            <w:r>
              <w:rPr>
                <w:rFonts w:ascii="宋体" w:hAnsi="宋体"/>
                <w:szCs w:val="21"/>
              </w:rPr>
              <w:t>税率</w:t>
            </w:r>
          </w:p>
        </w:tc>
        <w:tc>
          <w:tcPr>
            <w:tcW w:w="621" w:type="pct"/>
            <w:vAlign w:val="center"/>
          </w:tcPr>
          <w:p>
            <w:pPr>
              <w:pStyle w:val="83"/>
              <w:rPr>
                <w:rFonts w:ascii="宋体" w:hAnsi="宋体"/>
              </w:rPr>
            </w:pPr>
            <w:r>
              <w:rPr>
                <w:rFonts w:hint="eastAsia" w:ascii="宋体" w:hAnsi="宋体"/>
                <w:szCs w:val="21"/>
                <w:lang w:val="en-US" w:eastAsia="zh-CN"/>
              </w:rPr>
              <w:t>预估数量</w:t>
            </w:r>
          </w:p>
        </w:tc>
        <w:tc>
          <w:tcPr>
            <w:tcW w:w="751" w:type="pct"/>
            <w:vAlign w:val="center"/>
          </w:tcPr>
          <w:p>
            <w:pPr>
              <w:pStyle w:val="83"/>
              <w:rPr>
                <w:rFonts w:hint="eastAsia" w:ascii="宋体" w:hAnsi="宋体" w:eastAsiaTheme="minorEastAsia"/>
                <w:lang w:val="en-US" w:eastAsia="zh-CN"/>
              </w:rPr>
            </w:pPr>
            <w:r>
              <w:rPr>
                <w:rFonts w:hint="eastAsia" w:ascii="宋体" w:hAnsi="宋体"/>
                <w:lang w:val="en-US" w:eastAsia="zh-CN"/>
              </w:rPr>
              <w:t>含税总价</w:t>
            </w:r>
          </w:p>
        </w:tc>
        <w:tc>
          <w:tcPr>
            <w:tcW w:w="1069" w:type="pct"/>
            <w:vAlign w:val="center"/>
          </w:tcPr>
          <w:p>
            <w:pPr>
              <w:pStyle w:val="83"/>
              <w:rPr>
                <w:rFonts w:ascii="宋体" w:hAnsi="宋体"/>
              </w:rPr>
            </w:pPr>
            <w:r>
              <w:rPr>
                <w:rFonts w:ascii="宋体" w:hAnsi="宋体"/>
              </w:rPr>
              <w:t>付款方式及比例如何响应</w:t>
            </w:r>
            <w:r>
              <w:rPr>
                <w:rFonts w:hint="eastAsia" w:ascii="宋体" w:hAnsi="宋体"/>
                <w:lang w:val="en-US" w:eastAsia="zh-CN"/>
              </w:rPr>
              <w:t>/</w:t>
            </w:r>
            <w:r>
              <w:rPr>
                <w:rFonts w:ascii="宋体" w:hAnsi="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0" w:hRule="atLeast"/>
        </w:trPr>
        <w:tc>
          <w:tcPr>
            <w:tcW w:w="297" w:type="pct"/>
            <w:vAlign w:val="center"/>
          </w:tcPr>
          <w:p>
            <w:pPr>
              <w:pStyle w:val="83"/>
              <w:rPr>
                <w:rFonts w:ascii="宋体" w:hAnsi="宋体"/>
                <w:highlight w:val="none"/>
              </w:rPr>
            </w:pPr>
            <w:bookmarkStart w:id="10" w:name="OLE_LINK4" w:colFirst="2" w:colLast="3"/>
            <w:r>
              <w:rPr>
                <w:rFonts w:ascii="宋体" w:hAnsi="宋体"/>
                <w:highlight w:val="none"/>
              </w:rPr>
              <w:t>1</w:t>
            </w:r>
          </w:p>
        </w:tc>
        <w:tc>
          <w:tcPr>
            <w:tcW w:w="800" w:type="pct"/>
            <w:vAlign w:val="center"/>
          </w:tcPr>
          <w:p>
            <w:pPr>
              <w:pStyle w:val="83"/>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单人单日驾驶服务费</w:t>
            </w:r>
          </w:p>
        </w:tc>
        <w:tc>
          <w:tcPr>
            <w:tcW w:w="565" w:type="pct"/>
            <w:vAlign w:val="center"/>
          </w:tcPr>
          <w:p>
            <w:pPr>
              <w:pStyle w:val="83"/>
              <w:rPr>
                <w:rFonts w:hint="eastAsia" w:ascii="宋体" w:hAnsi="宋体" w:eastAsia="宋体" w:cs="宋体"/>
                <w:b w:val="0"/>
                <w:bCs/>
                <w:color w:val="auto"/>
                <w:sz w:val="21"/>
                <w:szCs w:val="21"/>
                <w:highlight w:val="none"/>
                <w:lang w:val="en-US" w:eastAsia="zh-CN"/>
              </w:rPr>
            </w:pPr>
          </w:p>
        </w:tc>
        <w:tc>
          <w:tcPr>
            <w:tcW w:w="466" w:type="pct"/>
            <w:vAlign w:val="center"/>
          </w:tcPr>
          <w:p>
            <w:pPr>
              <w:pStyle w:val="83"/>
              <w:rPr>
                <w:rFonts w:hint="default" w:ascii="宋体" w:hAnsi="宋体" w:eastAsia="宋体" w:cs="宋体"/>
                <w:b w:val="0"/>
                <w:bCs/>
                <w:color w:val="auto"/>
                <w:sz w:val="21"/>
                <w:szCs w:val="21"/>
                <w:highlight w:val="none"/>
                <w:lang w:val="en-US" w:eastAsia="zh-CN"/>
              </w:rPr>
            </w:pPr>
          </w:p>
        </w:tc>
        <w:tc>
          <w:tcPr>
            <w:tcW w:w="428" w:type="pct"/>
            <w:vAlign w:val="center"/>
          </w:tcPr>
          <w:p>
            <w:pPr>
              <w:pStyle w:val="83"/>
              <w:rPr>
                <w:rFonts w:hint="default" w:ascii="宋体" w:hAnsi="宋体" w:eastAsia="宋体" w:cs="宋体"/>
                <w:b w:val="0"/>
                <w:bCs/>
                <w:color w:val="auto"/>
                <w:sz w:val="21"/>
                <w:szCs w:val="21"/>
                <w:highlight w:val="none"/>
                <w:lang w:val="en-US" w:eastAsia="zh-CN"/>
              </w:rPr>
            </w:pPr>
          </w:p>
        </w:tc>
        <w:tc>
          <w:tcPr>
            <w:tcW w:w="621" w:type="pct"/>
            <w:vAlign w:val="center"/>
          </w:tcPr>
          <w:p>
            <w:pPr>
              <w:keepNext w:val="0"/>
              <w:keepLines w:val="0"/>
              <w:widowControl/>
              <w:suppressLineNumbers w:val="0"/>
              <w:jc w:val="center"/>
              <w:textAlignment w:val="center"/>
              <w:rPr>
                <w:rFonts w:hint="default" w:ascii="宋体" w:hAnsi="宋体" w:eastAsia="宋体" w:cs="宋体"/>
                <w:b w:val="0"/>
                <w:bCs/>
                <w:color w:val="auto"/>
                <w:sz w:val="21"/>
                <w:szCs w:val="21"/>
                <w:highlight w:val="none"/>
                <w:lang w:val="en-US" w:eastAsia="zh-CN"/>
              </w:rPr>
            </w:pPr>
            <w:r>
              <w:rPr>
                <w:rFonts w:hint="eastAsia" w:ascii="宋体" w:hAnsi="宋体" w:cs="宋体"/>
                <w:i w:val="0"/>
                <w:iCs w:val="0"/>
                <w:color w:val="000000"/>
                <w:kern w:val="0"/>
                <w:sz w:val="22"/>
                <w:szCs w:val="22"/>
                <w:highlight w:val="none"/>
                <w:u w:val="none"/>
                <w:lang w:val="en-US" w:eastAsia="zh-CN" w:bidi="ar"/>
              </w:rPr>
              <w:t>9000</w:t>
            </w:r>
          </w:p>
        </w:tc>
        <w:tc>
          <w:tcPr>
            <w:tcW w:w="751" w:type="pct"/>
            <w:vAlign w:val="center"/>
          </w:tcPr>
          <w:p>
            <w:pPr>
              <w:pStyle w:val="83"/>
              <w:rPr>
                <w:rFonts w:ascii="宋体" w:hAnsi="宋体"/>
                <w:highlight w:val="none"/>
              </w:rPr>
            </w:pPr>
          </w:p>
        </w:tc>
        <w:tc>
          <w:tcPr>
            <w:tcW w:w="1069" w:type="pct"/>
            <w:vAlign w:val="center"/>
          </w:tcPr>
          <w:p>
            <w:pPr>
              <w:pStyle w:val="83"/>
              <w:rPr>
                <w:rFonts w:ascii="宋体" w:hAnsi="宋体"/>
                <w:highlight w:val="none"/>
              </w:rPr>
            </w:pPr>
          </w:p>
        </w:tc>
      </w:tr>
      <w:bookmarkEnd w:id="10"/>
    </w:tbl>
    <w:p>
      <w:pPr>
        <w:pStyle w:val="79"/>
        <w:ind w:firstLine="480"/>
        <w:rPr>
          <w:rFonts w:hint="eastAsia" w:ascii="宋体" w:hAnsi="宋体" w:eastAsia="宋体" w:cs="宋体"/>
        </w:rPr>
      </w:pPr>
    </w:p>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eastAsia" w:ascii="宋体" w:hAnsi="宋体" w:cs="宋体"/>
          <w:b/>
          <w:bCs/>
          <w:szCs w:val="21"/>
          <w:lang w:val="en-US" w:eastAsia="zh-CN"/>
        </w:rPr>
      </w:pPr>
      <w:r>
        <w:rPr>
          <w:rFonts w:hint="eastAsia" w:ascii="宋体" w:hAnsi="宋体" w:cs="宋体"/>
          <w:b/>
          <w:bCs/>
          <w:szCs w:val="21"/>
          <w:lang w:val="en-US" w:eastAsia="zh-CN"/>
        </w:rPr>
        <w:t>4、本项目报价上限为总价：418.50万元（含税）</w:t>
      </w:r>
    </w:p>
    <w:p>
      <w:pPr>
        <w:spacing w:line="300" w:lineRule="auto"/>
        <w:rPr>
          <w:rFonts w:hint="default" w:eastAsia="宋体"/>
          <w:lang w:val="en-US" w:eastAsia="zh-CN"/>
        </w:rPr>
      </w:pPr>
      <w:r>
        <w:rPr>
          <w:rFonts w:hint="default" w:ascii="宋体" w:hAnsi="宋体" w:cs="宋体"/>
          <w:b/>
          <w:bCs/>
          <w:szCs w:val="21"/>
          <w:lang w:eastAsia="zh-CN"/>
          <w:woUserID w:val="1"/>
        </w:rPr>
        <w:t>5、计价单位：元/人/天，其中“天”的工作时长为：</w:t>
      </w:r>
      <w:r>
        <w:rPr>
          <w:rFonts w:hint="eastAsia" w:ascii="宋体" w:hAnsi="宋体" w:eastAsia="宋体" w:cs="宋体"/>
          <w:b/>
          <w:bCs/>
          <w:szCs w:val="21"/>
          <w:woUserID w:val="1"/>
        </w:rPr>
        <w:t>每人每天工作时长不低于8个小时</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1" w:name="_Toc26556"/>
      <w:bookmarkStart w:id="12" w:name="_Toc353881017"/>
      <w:bookmarkStart w:id="13"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1"/>
      <w:bookmarkEnd w:id="12"/>
      <w:bookmarkEnd w:id="13"/>
    </w:p>
    <w:p>
      <w:pPr>
        <w:pStyle w:val="79"/>
        <w:ind w:firstLine="480"/>
        <w:rPr>
          <w:rFonts w:hint="eastAsia" w:ascii="宋体" w:hAnsi="宋体" w:eastAsia="宋体" w:cs="宋体"/>
        </w:rPr>
      </w:pPr>
      <w:r>
        <w:rPr>
          <w:rFonts w:hint="eastAsia" w:ascii="宋体" w:hAnsi="宋体" w:eastAsia="宋体" w:cs="宋体"/>
        </w:rPr>
        <w:t>项目名称：整车各驻点试验驾驶服务项目</w:t>
      </w:r>
    </w:p>
    <w:tbl>
      <w:tblPr>
        <w:tblStyle w:val="33"/>
        <w:tblW w:w="8995" w:type="dxa"/>
        <w:tblInd w:w="0" w:type="dxa"/>
        <w:tblLayout w:type="fixed"/>
        <w:tblCellMar>
          <w:top w:w="0" w:type="dxa"/>
          <w:left w:w="108" w:type="dxa"/>
          <w:bottom w:w="0" w:type="dxa"/>
          <w:right w:w="108" w:type="dxa"/>
        </w:tblCellMar>
      </w:tblPr>
      <w:tblGrid>
        <w:gridCol w:w="644"/>
        <w:gridCol w:w="2613"/>
        <w:gridCol w:w="1125"/>
        <w:gridCol w:w="942"/>
        <w:gridCol w:w="1178"/>
        <w:gridCol w:w="1913"/>
        <w:gridCol w:w="580"/>
      </w:tblGrid>
      <w:tr>
        <w:tblPrEx>
          <w:tblCellMar>
            <w:top w:w="0" w:type="dxa"/>
            <w:left w:w="108" w:type="dxa"/>
            <w:bottom w:w="0" w:type="dxa"/>
            <w:right w:w="108" w:type="dxa"/>
          </w:tblCellMar>
        </w:tblPrEx>
        <w:trPr>
          <w:trHeight w:val="684"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rPr>
            </w:pPr>
            <w:r>
              <w:rPr>
                <w:rFonts w:hint="default" w:ascii="宋体" w:hAnsi="宋体" w:cs="宋体"/>
                <w:kern w:val="0"/>
                <w:sz w:val="18"/>
                <w:szCs w:val="18"/>
              </w:rPr>
              <w:t>项目</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default" w:ascii="宋体" w:hAnsi="宋体" w:cs="宋体"/>
                <w:kern w:val="0"/>
                <w:sz w:val="18"/>
                <w:szCs w:val="18"/>
              </w:rPr>
              <w:t>预估</w:t>
            </w:r>
            <w:r>
              <w:rPr>
                <w:rFonts w:hint="eastAsia" w:ascii="宋体" w:hAnsi="宋体" w:eastAsia="宋体" w:cs="宋体"/>
                <w:kern w:val="0"/>
                <w:sz w:val="18"/>
                <w:szCs w:val="18"/>
              </w:rPr>
              <w:t>数量</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rPr>
            </w:pPr>
            <w:r>
              <w:rPr>
                <w:rFonts w:hint="eastAsia" w:ascii="宋体" w:hAnsi="宋体" w:eastAsia="宋体" w:cs="宋体"/>
                <w:kern w:val="0"/>
                <w:sz w:val="18"/>
                <w:szCs w:val="18"/>
              </w:rPr>
              <w:t>单价</w:t>
            </w:r>
            <w:r>
              <w:rPr>
                <w:rFonts w:hint="default" w:ascii="宋体" w:hAnsi="宋体" w:cs="宋体"/>
                <w:kern w:val="0"/>
                <w:sz w:val="18"/>
                <w:szCs w:val="18"/>
              </w:rPr>
              <w:t>（含税、</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default" w:ascii="宋体" w:hAnsi="宋体" w:cs="宋体"/>
                <w:kern w:val="0"/>
                <w:sz w:val="18"/>
                <w:szCs w:val="18"/>
              </w:rPr>
              <w:t>）</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684"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highlight w:val="none"/>
              </w:rPr>
            </w:pPr>
            <w:r>
              <w:rPr>
                <w:rFonts w:hint="eastAsia" w:ascii="宋体" w:hAnsi="宋体" w:eastAsia="宋体" w:cs="宋体"/>
                <w:szCs w:val="21"/>
              </w:rPr>
              <w:t>单人单日驾驶服务费</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cs="宋体"/>
                <w:kern w:val="0"/>
                <w:sz w:val="18"/>
                <w:szCs w:val="18"/>
                <w:lang w:val="en-US" w:eastAsia="zh-CN"/>
              </w:rPr>
              <w:t>元/人/天</w:t>
            </w: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cs="宋体"/>
                <w:lang w:val="en-US" w:eastAsia="zh-CN"/>
              </w:rPr>
              <w:t>9000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9"/>
        <w:ind w:firstLine="480"/>
        <w:rPr>
          <w:rFonts w:hint="eastAsia" w:ascii="宋体" w:hAnsi="宋体" w:eastAsia="宋体" w:cs="宋体"/>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3018"/>
        <w:gridCol w:w="2886"/>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626"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5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服务时间</w:t>
            </w:r>
          </w:p>
        </w:tc>
        <w:tc>
          <w:tcPr>
            <w:tcW w:w="1626" w:type="pct"/>
            <w:tcBorders>
              <w:top w:val="single" w:color="auto" w:sz="4" w:space="0"/>
              <w:left w:val="single" w:color="auto" w:sz="4" w:space="0"/>
              <w:bottom w:val="single" w:color="auto" w:sz="4" w:space="0"/>
              <w:right w:val="single" w:color="auto" w:sz="4" w:space="0"/>
            </w:tcBorders>
            <w:vAlign w:val="top"/>
          </w:tcPr>
          <w:p>
            <w:pPr>
              <w:pStyle w:val="83"/>
              <w:rPr>
                <w:rFonts w:hint="eastAsia" w:ascii="宋体" w:hAnsi="宋体" w:eastAsia="宋体" w:cs="宋体"/>
              </w:rPr>
            </w:pPr>
            <w:r>
              <w:rPr>
                <w:rFonts w:hint="eastAsia" w:ascii="宋体" w:hAnsi="宋体" w:eastAsia="宋体" w:cs="宋体"/>
              </w:rPr>
              <w:t>按照招标方要求及时提供</w:t>
            </w:r>
          </w:p>
        </w:tc>
        <w:tc>
          <w:tcPr>
            <w:tcW w:w="155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626"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投标方每月度汇总服务费用，招标方对费用进行审核确认；</w:t>
            </w:r>
          </w:p>
          <w:p>
            <w:pPr>
              <w:pStyle w:val="83"/>
              <w:rPr>
                <w:rFonts w:hint="eastAsia" w:ascii="宋体" w:hAnsi="宋体" w:eastAsia="宋体" w:cs="宋体"/>
              </w:rPr>
            </w:pPr>
            <w:r>
              <w:rPr>
                <w:rFonts w:hint="eastAsia" w:ascii="宋体" w:hAnsi="宋体" w:eastAsia="宋体" w:cs="宋体"/>
              </w:rPr>
              <w:t>每月结算；</w:t>
            </w:r>
          </w:p>
        </w:tc>
        <w:tc>
          <w:tcPr>
            <w:tcW w:w="155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626"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根据招标方要求提供相应服务</w:t>
            </w:r>
          </w:p>
        </w:tc>
        <w:tc>
          <w:tcPr>
            <w:tcW w:w="155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4" w:name="_Toc9193"/>
      <w:bookmarkStart w:id="15" w:name="_Toc353881022"/>
      <w:bookmarkStart w:id="16"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4"/>
    <w:bookmarkEnd w:id="15"/>
    <w:bookmarkEnd w:id="16"/>
    <w:p>
      <w:pPr>
        <w:pStyle w:val="85"/>
        <w:ind w:firstLine="480"/>
        <w:rPr>
          <w:rFonts w:hint="eastAsia" w:ascii="宋体" w:hAnsi="宋体" w:eastAsia="宋体" w:cs="宋体"/>
        </w:rPr>
      </w:pPr>
      <w:r>
        <w:rPr>
          <w:rFonts w:hint="eastAsia" w:ascii="宋体" w:hAnsi="宋体" w:eastAsia="宋体" w:cs="宋体"/>
        </w:rPr>
        <w:t>附件1</w:t>
      </w:r>
      <w:bookmarkStart w:id="17" w:name="_Toc92678174"/>
      <w:bookmarkStart w:id="18" w:name="_Toc353881023"/>
      <w:bookmarkStart w:id="19" w:name="_Toc15535"/>
      <w:bookmarkStart w:id="20" w:name="_Toc639014"/>
      <w:bookmarkStart w:id="21"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7"/>
      <w:r>
        <w:rPr>
          <w:rFonts w:hint="eastAsia" w:ascii="宋体" w:hAnsi="宋体" w:eastAsia="宋体" w:cs="宋体"/>
        </w:rPr>
        <w:t>格式</w:t>
      </w:r>
      <w:bookmarkEnd w:id="18"/>
      <w:bookmarkEnd w:id="19"/>
      <w:bookmarkEnd w:id="20"/>
      <w:bookmarkEnd w:id="21"/>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2"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7"/>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8"/>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80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val="en-US" w:eastAsia="zh-CN"/>
              </w:rPr>
              <w:t>能提供含A2等级的驾驶证件的驾驶人员，且年龄55岁以下，身体素质好，无疾病，适应环境能力强，人数不少于10人。打分0-10分。</w:t>
            </w:r>
          </w:p>
          <w:p>
            <w:pPr>
              <w:spacing w:line="360" w:lineRule="auto"/>
              <w:rPr>
                <w:rFonts w:hint="eastAsia" w:ascii="宋体" w:hAnsi="宋体" w:eastAsia="宋体" w:cs="宋体"/>
                <w:szCs w:val="21"/>
                <w:lang w:eastAsia="zh-CN"/>
              </w:rPr>
            </w:pPr>
            <w:r>
              <w:rPr>
                <w:rFonts w:hint="eastAsia" w:ascii="宋体" w:hAnsi="宋体" w:eastAsia="宋体" w:cs="宋体"/>
                <w:szCs w:val="21"/>
              </w:rPr>
              <w:t>（2）</w:t>
            </w:r>
            <w:r>
              <w:rPr>
                <w:rFonts w:hint="eastAsia" w:ascii="宋体" w:hAnsi="宋体" w:cs="宋体"/>
                <w:szCs w:val="21"/>
                <w:lang w:val="en-US" w:eastAsia="zh-CN"/>
              </w:rPr>
              <w:t>驾驶员需对招标方提出的要求积极配合，并接受不定期的驾驶技术评估考试</w:t>
            </w:r>
            <w:r>
              <w:rPr>
                <w:rFonts w:hint="eastAsia" w:ascii="宋体" w:hAnsi="宋体" w:eastAsia="宋体" w:cs="宋体"/>
                <w:szCs w:val="21"/>
              </w:rPr>
              <w:t>。打分0-</w:t>
            </w:r>
            <w:r>
              <w:rPr>
                <w:rFonts w:hint="default" w:ascii="宋体" w:hAnsi="宋体" w:cs="宋体"/>
                <w:szCs w:val="21"/>
              </w:rPr>
              <w:t>10</w:t>
            </w:r>
            <w:r>
              <w:rPr>
                <w:rFonts w:hint="eastAsia" w:ascii="宋体" w:hAnsi="宋体" w:eastAsia="宋体" w:cs="宋体"/>
                <w:szCs w:val="21"/>
              </w:rPr>
              <w:t>分</w:t>
            </w:r>
            <w:r>
              <w:rPr>
                <w:rFonts w:hint="eastAsia" w:ascii="宋体" w:hAnsi="宋体" w:cs="宋体"/>
                <w:szCs w:val="21"/>
                <w:lang w:eastAsia="zh-CN"/>
              </w:rPr>
              <w:t>。</w:t>
            </w:r>
          </w:p>
          <w:p>
            <w:pPr>
              <w:spacing w:line="360" w:lineRule="auto"/>
              <w:rPr>
                <w:rFonts w:hint="eastAsia" w:ascii="宋体" w:hAnsi="宋体" w:eastAsia="宋体" w:cs="宋体"/>
                <w:szCs w:val="21"/>
              </w:rPr>
            </w:pPr>
            <w:r>
              <w:rPr>
                <w:rFonts w:hint="eastAsia" w:ascii="宋体" w:hAnsi="宋体" w:eastAsia="宋体" w:cs="宋体"/>
                <w:szCs w:val="21"/>
              </w:rPr>
              <w:t>（3）投标方所提供的驾驶人员应具有从事整车可靠性、性能试验及三高试验等道路试验驾驶经验，投标方应具有从事试验驾驶服务业绩，并提供相关证明材料。打分0-20分。</w:t>
            </w:r>
          </w:p>
          <w:p>
            <w:pPr>
              <w:spacing w:line="360" w:lineRule="auto"/>
              <w:rPr>
                <w:rFonts w:hint="eastAsia" w:ascii="宋体" w:hAnsi="宋体" w:cs="宋体"/>
                <w:szCs w:val="21"/>
                <w:lang w:val="en-US" w:eastAsia="zh-CN"/>
              </w:rPr>
            </w:pPr>
            <w:r>
              <w:rPr>
                <w:rFonts w:hint="eastAsia" w:ascii="宋体" w:hAnsi="宋体" w:eastAsia="宋体" w:cs="宋体"/>
                <w:szCs w:val="21"/>
              </w:rPr>
              <w:t>（4）投标方所提供的的驾驶员须有3年以上驾驶经验，且近三年无交通责任事故及重大违纪记录，并能够提供相关证明材料</w:t>
            </w:r>
            <w:r>
              <w:rPr>
                <w:rFonts w:hint="eastAsia" w:ascii="宋体" w:hAnsi="宋体" w:cs="宋体"/>
                <w:szCs w:val="21"/>
                <w:lang w:eastAsia="zh-CN"/>
              </w:rPr>
              <w:t>。</w:t>
            </w:r>
            <w:r>
              <w:rPr>
                <w:rFonts w:hint="eastAsia" w:ascii="宋体" w:hAnsi="宋体" w:eastAsia="宋体" w:cs="宋体"/>
                <w:szCs w:val="21"/>
              </w:rPr>
              <w:t>打分0-20分。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5</w:t>
            </w:r>
            <w:r>
              <w:rPr>
                <w:rFonts w:hint="eastAsia" w:ascii="宋体" w:hAnsi="宋体" w:eastAsia="宋体" w:cs="宋体"/>
                <w:szCs w:val="21"/>
              </w:rPr>
              <w:t>）招标方自行提供试验期间驾驶人员的食宿、交通等费用，负责驾驶员的社会保险、意外保险等保险的购买，并响应招标方要求在规定时间内提供驾驶服务及相应驾驶员数量，若投标方因自身原因拒绝提供相应服务及驾驶员数量的（以邮件或书面形式通知</w:t>
            </w:r>
            <w:r>
              <w:rPr>
                <w:rFonts w:hint="eastAsia" w:ascii="宋体" w:hAnsi="宋体" w:cs="宋体"/>
                <w:szCs w:val="21"/>
                <w:lang w:val="en-US" w:eastAsia="zh-CN"/>
              </w:rPr>
              <w:t>招标方</w:t>
            </w:r>
            <w:r>
              <w:rPr>
                <w:rFonts w:hint="eastAsia" w:ascii="宋体" w:hAnsi="宋体" w:eastAsia="宋体" w:cs="宋体"/>
                <w:szCs w:val="21"/>
              </w:rPr>
              <w:t>），超过三次，招标方有权取消该投标方的服务资格，不予结算该投标方当月发生的驾驶服务费，并经招标方商议后列入重汽投标方黑名单。打分0-20分。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投标文件包含招标文件要求的全部内容，得</w:t>
            </w:r>
            <w:r>
              <w:rPr>
                <w:rFonts w:hint="default" w:ascii="宋体" w:hAnsi="宋体" w:cs="宋体"/>
                <w:bCs/>
                <w:szCs w:val="21"/>
              </w:rPr>
              <w:t>20</w:t>
            </w:r>
            <w:r>
              <w:rPr>
                <w:rFonts w:hint="eastAsia" w:ascii="宋体" w:hAnsi="宋体" w:eastAsia="宋体" w:cs="宋体"/>
                <w:bCs/>
                <w:szCs w:val="21"/>
              </w:rPr>
              <w:t>分；未满足全部要求的，缺少一项，扣</w:t>
            </w:r>
            <w:r>
              <w:rPr>
                <w:rFonts w:hint="default" w:ascii="宋体" w:hAnsi="宋体" w:cs="宋体"/>
                <w:bCs/>
                <w:szCs w:val="21"/>
              </w:rPr>
              <w:t>2</w:t>
            </w:r>
            <w:r>
              <w:rPr>
                <w:rFonts w:hint="eastAsia" w:ascii="宋体" w:hAnsi="宋体" w:eastAsia="宋体" w:cs="宋体"/>
                <w:bCs/>
                <w:szCs w:val="21"/>
              </w:rPr>
              <w:t>分；没有缺项但内容不完善的，一项扣</w:t>
            </w:r>
            <w:r>
              <w:rPr>
                <w:rFonts w:hint="default" w:ascii="宋体" w:hAnsi="宋体" w:cs="宋体"/>
                <w:bCs/>
                <w:szCs w:val="21"/>
              </w:rPr>
              <w:t>2</w:t>
            </w:r>
            <w:r>
              <w:rPr>
                <w:rFonts w:hint="eastAsia" w:ascii="宋体" w:hAnsi="宋体" w:eastAsia="宋体" w:cs="宋体"/>
                <w:bCs/>
                <w:szCs w:val="21"/>
              </w:rPr>
              <w:t>分，最低0分</w:t>
            </w:r>
          </w:p>
        </w:tc>
      </w:tr>
    </w:tbl>
    <w:p>
      <w:pPr>
        <w:pStyle w:val="59"/>
        <w:rPr>
          <w:rFonts w:hint="eastAsia" w:ascii="宋体" w:hAnsi="宋体" w:eastAsia="宋体" w:cs="宋体"/>
          <w:highlight w:val="none"/>
        </w:rPr>
      </w:pPr>
      <w:r>
        <w:rPr>
          <w:rFonts w:hint="eastAsia" w:ascii="宋体" w:hAnsi="宋体" w:eastAsia="宋体" w:cs="宋体"/>
        </w:rPr>
        <w:br w:type="page"/>
      </w:r>
      <w:bookmarkEnd w:id="22"/>
      <w:bookmarkStart w:id="23" w:name="_Toc425801541"/>
      <w:r>
        <w:rPr>
          <w:rFonts w:hint="eastAsia" w:ascii="宋体" w:hAnsi="宋体" w:eastAsia="宋体" w:cs="宋体"/>
          <w:highlight w:val="none"/>
        </w:rPr>
        <w:t>第二章技术协议书</w:t>
      </w:r>
    </w:p>
    <w:bookmarkEnd w:id="23"/>
    <w:p>
      <w:pPr>
        <w:pStyle w:val="81"/>
        <w:rPr>
          <w:rFonts w:hint="eastAsia" w:ascii="宋体" w:hAnsi="宋体" w:eastAsia="宋体" w:cs="宋体"/>
          <w:highlight w:val="none"/>
        </w:rPr>
      </w:pPr>
      <w:r>
        <w:rPr>
          <w:rFonts w:hint="eastAsia" w:ascii="宋体" w:hAnsi="宋体" w:eastAsia="宋体" w:cs="宋体"/>
          <w:highlight w:val="none"/>
        </w:rPr>
        <w:t>一、项目说明</w:t>
      </w:r>
    </w:p>
    <w:p>
      <w:pPr>
        <w:spacing w:line="360" w:lineRule="auto"/>
        <w:ind w:right="2"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r>
        <w:rPr>
          <w:rFonts w:hint="eastAsia" w:ascii="宋体" w:hAnsi="宋体" w:eastAsia="宋体" w:cs="宋体"/>
          <w:color w:val="000000"/>
          <w:sz w:val="24"/>
          <w:szCs w:val="24"/>
          <w:u w:val="single"/>
        </w:rPr>
        <w:t>三高及全国路试试验驾驶员服务项目</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项目地点：济南市高新区华奥路777号</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项目概况：</w:t>
      </w:r>
    </w:p>
    <w:p>
      <w:pPr>
        <w:pStyle w:val="81"/>
        <w:keepNext/>
        <w:keepLines/>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sz w:val="24"/>
          <w:szCs w:val="24"/>
        </w:rPr>
      </w:pPr>
      <w:r>
        <w:rPr>
          <w:rFonts w:hint="eastAsia" w:ascii="宋体" w:hAnsi="宋体" w:eastAsia="宋体" w:cs="宋体"/>
          <w:sz w:val="24"/>
          <w:szCs w:val="24"/>
        </w:rPr>
        <w:t>投标方每年需完成中重卡、轻卡、皮卡等试验车的整车三高、全国路试等试验任务，试验地点主要分布在吐鲁番、格尔木、西藏、云南、漠河、海拉尔、黑河等场地，现根据试验需求对上述试验驾驶服务进行招标。</w:t>
      </w:r>
    </w:p>
    <w:p>
      <w:pPr>
        <w:pStyle w:val="81"/>
        <w:rPr>
          <w:rFonts w:hint="eastAsia" w:ascii="宋体" w:hAnsi="宋体" w:eastAsia="宋体" w:cs="宋体"/>
          <w:highlight w:val="none"/>
        </w:rPr>
      </w:pPr>
      <w:r>
        <w:rPr>
          <w:rFonts w:hint="eastAsia" w:ascii="宋体" w:hAnsi="宋体" w:eastAsia="宋体" w:cs="宋体"/>
          <w:highlight w:val="none"/>
        </w:rPr>
        <w:t>二、服务要求</w:t>
      </w:r>
    </w:p>
    <w:p>
      <w:pPr>
        <w:spacing w:line="360" w:lineRule="auto"/>
        <w:ind w:firstLine="480" w:firstLineChars="200"/>
        <w:jc w:val="left"/>
        <w:rPr>
          <w:rFonts w:hint="eastAsia" w:ascii="宋体" w:hAnsi="宋体" w:cs="宋体"/>
          <w:sz w:val="24"/>
          <w:szCs w:val="24"/>
          <w:highlight w:val="none"/>
          <w:lang w:val="en-US" w:eastAsia="zh-CN"/>
        </w:rPr>
      </w:pPr>
      <w:bookmarkStart w:id="24" w:name="_Toc24049"/>
      <w:bookmarkStart w:id="25" w:name="_Toc490750820"/>
      <w:bookmarkStart w:id="26" w:name="_Toc385411768"/>
      <w:bookmarkStart w:id="27" w:name="_Toc10152"/>
      <w:bookmarkStart w:id="28" w:name="_Toc31558"/>
      <w:bookmarkStart w:id="29" w:name="_Toc26699"/>
      <w:r>
        <w:rPr>
          <w:rFonts w:hint="eastAsia" w:ascii="宋体" w:hAnsi="宋体" w:cs="宋体"/>
          <w:sz w:val="24"/>
          <w:szCs w:val="24"/>
          <w:highlight w:val="none"/>
          <w:lang w:val="en-US" w:eastAsia="zh-CN"/>
        </w:rPr>
        <w:t>针对该项目，对所需驾驶服务做如下要求，且每一项均作为标星项，不满足则不予进入商务评标。</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ascii="宋体" w:hAnsi="宋体" w:cs="宋体"/>
          <w:color w:val="000000"/>
          <w:sz w:val="24"/>
          <w:szCs w:val="24"/>
          <w:highlight w:val="none"/>
        </w:rPr>
        <w:t>投标方提供的驾驶员应具有含A2等级的驾驶证件，驾驶员年龄在55岁及以下，驾驶员身体健康，身体素质好，无疾病，适应环境能力强。</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ascii="宋体" w:hAnsi="宋体" w:cs="宋体"/>
          <w:color w:val="000000"/>
          <w:sz w:val="24"/>
          <w:szCs w:val="24"/>
          <w:highlight w:val="none"/>
        </w:rPr>
        <w:t>投标方能提供不少于</w:t>
      </w:r>
      <w:r>
        <w:rPr>
          <w:rFonts w:hint="eastAsia" w:hAnsi="宋体" w:cs="宋体"/>
          <w:color w:val="auto"/>
          <w:sz w:val="24"/>
          <w:szCs w:val="24"/>
          <w:highlight w:val="none"/>
          <w:lang w:val="en-US" w:eastAsia="zh-CN"/>
        </w:rPr>
        <w:t>10</w:t>
      </w:r>
      <w:r>
        <w:rPr>
          <w:rFonts w:hint="eastAsia" w:ascii="宋体" w:hAnsi="宋体" w:cs="宋体"/>
          <w:color w:val="000000"/>
          <w:sz w:val="24"/>
          <w:szCs w:val="24"/>
          <w:highlight w:val="none"/>
        </w:rPr>
        <w:t>名驾驶员资源</w:t>
      </w: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提供出驾驶员身份证及驾驶证复印件。</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sz w:val="24"/>
          <w:szCs w:val="24"/>
          <w:highlight w:val="none"/>
        </w:rPr>
        <w:t>投标方需根据招标方</w:t>
      </w:r>
      <w:r>
        <w:rPr>
          <w:rFonts w:hint="eastAsia"/>
          <w:sz w:val="24"/>
          <w:szCs w:val="24"/>
          <w:highlight w:val="none"/>
          <w:lang w:val="en-US" w:eastAsia="zh-CN"/>
        </w:rPr>
        <w:t>出具的</w:t>
      </w:r>
      <w:r>
        <w:rPr>
          <w:rFonts w:hint="eastAsia"/>
          <w:sz w:val="24"/>
          <w:szCs w:val="24"/>
          <w:highlight w:val="none"/>
        </w:rPr>
        <w:t>试验驾驶员管理办法JNATCB0504A0-2024</w:t>
      </w:r>
      <w:r>
        <w:rPr>
          <w:rFonts w:hint="eastAsia"/>
          <w:sz w:val="24"/>
          <w:szCs w:val="24"/>
          <w:highlight w:val="none"/>
          <w:lang w:val="en-US" w:eastAsia="zh-CN"/>
        </w:rPr>
        <w:t>中</w:t>
      </w:r>
      <w:r>
        <w:rPr>
          <w:rFonts w:hint="eastAsia"/>
          <w:sz w:val="24"/>
          <w:szCs w:val="24"/>
          <w:highlight w:val="none"/>
        </w:rPr>
        <w:t>具体要求提供符合条件的驾驶员，中标方提供的驾驶员需通过招标方组织的</w:t>
      </w:r>
      <w:r>
        <w:rPr>
          <w:rFonts w:hint="eastAsia"/>
          <w:sz w:val="24"/>
          <w:szCs w:val="24"/>
          <w:highlight w:val="none"/>
          <w:lang w:val="en-US" w:eastAsia="zh-CN"/>
        </w:rPr>
        <w:t>含理论测评、实操测评和主观测评在内的场地准驾测评项目</w:t>
      </w:r>
      <w:r>
        <w:rPr>
          <w:rFonts w:hint="eastAsia"/>
          <w:sz w:val="24"/>
          <w:szCs w:val="24"/>
          <w:highlight w:val="none"/>
        </w:rPr>
        <w:t>评定方可上岗，招标方定期对驾驶员进行评估，在试验过程中若发现有不积极配合试验等现象发生，投标方需立刻协调更换符合要求的驾驶员保证招标方试验任务正常进行。</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sz w:val="24"/>
          <w:szCs w:val="24"/>
          <w:highlight w:val="none"/>
        </w:rPr>
        <w:t>投标方中标相应项目后，根据招标方提出的试验需求，在规定时间内提供驾驶服务及相应驾驶员数量，若投标方因自身原因拒绝提供相应服务及驾驶员数量的</w:t>
      </w:r>
      <w:r>
        <w:rPr>
          <w:rFonts w:hint="eastAsia"/>
          <w:sz w:val="24"/>
          <w:szCs w:val="24"/>
          <w:highlight w:val="none"/>
          <w:lang w:eastAsia="zh-CN"/>
        </w:rPr>
        <w:t>（</w:t>
      </w:r>
      <w:r>
        <w:rPr>
          <w:rFonts w:hint="eastAsia"/>
          <w:sz w:val="24"/>
          <w:szCs w:val="24"/>
          <w:highlight w:val="none"/>
          <w:lang w:val="en-US" w:eastAsia="zh-CN"/>
        </w:rPr>
        <w:t>以邮件或书面形式通知招标方</w:t>
      </w:r>
      <w:r>
        <w:rPr>
          <w:rFonts w:hint="eastAsia"/>
          <w:sz w:val="24"/>
          <w:szCs w:val="24"/>
          <w:highlight w:val="none"/>
          <w:lang w:eastAsia="zh-CN"/>
        </w:rPr>
        <w:t>）</w:t>
      </w:r>
      <w:r>
        <w:rPr>
          <w:rFonts w:hint="eastAsia"/>
          <w:sz w:val="24"/>
          <w:szCs w:val="24"/>
          <w:highlight w:val="none"/>
        </w:rPr>
        <w:t>，超过三次，招标方有权取消该投标方的服务资格，不予结算该投标方当月</w:t>
      </w:r>
      <w:r>
        <w:rPr>
          <w:rFonts w:hint="eastAsia"/>
          <w:sz w:val="24"/>
          <w:szCs w:val="24"/>
          <w:highlight w:val="none"/>
          <w:lang w:val="en-US" w:eastAsia="zh-CN"/>
        </w:rPr>
        <w:t>发生</w:t>
      </w:r>
      <w:r>
        <w:rPr>
          <w:rFonts w:hint="eastAsia"/>
          <w:sz w:val="24"/>
          <w:szCs w:val="24"/>
          <w:highlight w:val="none"/>
        </w:rPr>
        <w:t>的驾驶服务费，并经招标方商议后列入重汽投标方黑名单。</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投标方</w:t>
      </w:r>
      <w:r>
        <w:rPr>
          <w:rFonts w:hint="eastAsia" w:ascii="宋体" w:hAnsi="宋体" w:cs="宋体"/>
          <w:color w:val="000000"/>
          <w:sz w:val="24"/>
          <w:szCs w:val="24"/>
          <w:highlight w:val="none"/>
        </w:rPr>
        <w:t>所提供的的驾驶员须有3年以上驾驶经验，并能够提供相关证明材料（包括但不限于驾驶证照片等）；试验驾驶员必须具备良好的职业道德,熟练的汽车驾驶技能和优良的团结合作精神,自觉遵守技术服务协议（或合同）的各项规章制度和汽车试验规范</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身体健康状况良好，</w:t>
      </w:r>
      <w:r>
        <w:rPr>
          <w:rFonts w:hint="eastAsia" w:ascii="宋体" w:hAnsi="宋体" w:cs="宋体"/>
          <w:color w:val="000000"/>
          <w:sz w:val="24"/>
          <w:szCs w:val="24"/>
          <w:highlight w:val="none"/>
        </w:rPr>
        <w:t>无犯罪记录，近三年无交通责任事故及重大违纪记录</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签订合同时需向招标方提供所提供的驾驶员的健康证明材料</w:t>
      </w:r>
      <w:r>
        <w:rPr>
          <w:rFonts w:hint="eastAsia" w:ascii="宋体" w:hAnsi="宋体" w:cs="宋体"/>
          <w:color w:val="000000"/>
          <w:sz w:val="24"/>
          <w:szCs w:val="24"/>
          <w:highlight w:val="none"/>
        </w:rPr>
        <w:t>。</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投标方需负责驾驶员的劳动保险、意外保险等商业保险，切实保障驾驶员合法权益。</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投标方提供的驾驶员应具有从事整车可靠性、性能试验及三高试验任务等道路试验驾驶经验，投标方应具有从事试验驾驶服务业绩，并提供相关证明材料。</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因试验任务需要，驾驶服务主要分布于高海拔、高热、高寒等地，全国路试存在试验周期内频繁更换试验地点的情况，三高及全国路试周期较长，投标方需自行支付驾驶人员的食宿费、交通费等费用。</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试验车外出加油加气</w:t>
      </w:r>
      <w:r>
        <w:rPr>
          <w:rFonts w:hint="eastAsia" w:ascii="宋体" w:hAnsi="宋体" w:cs="宋体"/>
          <w:color w:val="000000"/>
          <w:sz w:val="24"/>
          <w:szCs w:val="24"/>
          <w:highlight w:val="none"/>
        </w:rPr>
        <w:t>需穿行市区，投标方需具备处理试验车外出加油加气的能力，</w:t>
      </w:r>
      <w:r>
        <w:rPr>
          <w:rFonts w:hint="eastAsia" w:hAnsi="宋体" w:cs="宋体"/>
          <w:color w:val="000000"/>
          <w:sz w:val="24"/>
          <w:szCs w:val="24"/>
          <w:highlight w:val="none"/>
          <w:lang w:val="en-US" w:eastAsia="zh-CN"/>
        </w:rPr>
        <w:t>并</w:t>
      </w:r>
      <w:r>
        <w:rPr>
          <w:rFonts w:hint="eastAsia" w:ascii="宋体" w:hAnsi="宋体" w:cs="宋体"/>
          <w:color w:val="000000"/>
          <w:sz w:val="24"/>
          <w:szCs w:val="24"/>
          <w:highlight w:val="none"/>
        </w:rPr>
        <w:t>协调当地关系。</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部分耐久试验需要在社会道路上完成，投标方应具备处理社会道路紧急情况的能力。</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在试验过程中,</w:t>
      </w:r>
      <w:r>
        <w:rPr>
          <w:rFonts w:hint="eastAsia" w:hAnsi="宋体" w:cs="宋体"/>
          <w:color w:val="000000"/>
          <w:sz w:val="24"/>
          <w:szCs w:val="24"/>
          <w:highlight w:val="none"/>
          <w:lang w:val="en-US" w:eastAsia="zh-CN"/>
        </w:rPr>
        <w:t>投标方提供的驾驶人员</w:t>
      </w:r>
      <w:r>
        <w:rPr>
          <w:rFonts w:hint="eastAsia" w:ascii="宋体" w:hAnsi="宋体" w:cs="宋体"/>
          <w:color w:val="000000"/>
          <w:sz w:val="24"/>
          <w:szCs w:val="24"/>
          <w:highlight w:val="none"/>
        </w:rPr>
        <w:t>要自觉遵守道路安全法规,不得强行超车,不得影响其他车辆行驶,要确保试验车辆、仪器设备和人身安全,强化安全意识。</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bCs/>
          <w:color w:val="000000"/>
          <w:sz w:val="24"/>
          <w:szCs w:val="24"/>
          <w:highlight w:val="none"/>
        </w:rPr>
        <w:t>在试验过程中，投标方提供的驾驶人员要保持良好的精神状态，严格执行试验规范的要求，在各种试验路段上要保持相应的车速，不得擅自更改试验路线和变更试验载核，认真填写试验记录，不得弄虚作假，出现违章行为自行负责。</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投标方提供的驾驶人员</w:t>
      </w:r>
      <w:r>
        <w:rPr>
          <w:rFonts w:hint="eastAsia" w:ascii="宋体" w:hAnsi="宋体" w:cs="宋体"/>
          <w:color w:val="000000"/>
          <w:sz w:val="24"/>
          <w:szCs w:val="24"/>
          <w:highlight w:val="none"/>
        </w:rPr>
        <w:t>对试验车辆要严格按照操作规程，进行出车前，收车后的检查，对试验考核的零部件要重点巡检，发现问题要及时通报给试验员。</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投标方提供的驾驶人员参与驾驶服务期间</w:t>
      </w:r>
      <w:r>
        <w:rPr>
          <w:rFonts w:hint="eastAsia" w:ascii="宋体" w:hAnsi="宋体" w:cs="宋体"/>
          <w:color w:val="000000"/>
          <w:sz w:val="24"/>
          <w:szCs w:val="24"/>
          <w:highlight w:val="none"/>
        </w:rPr>
        <w:t>严禁酗酒，打架斗殴，赌博等违纪行为。</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000000"/>
          <w:sz w:val="24"/>
          <w:szCs w:val="24"/>
          <w:highlight w:val="none"/>
        </w:rPr>
      </w:pPr>
      <w:r>
        <w:rPr>
          <w:rFonts w:hint="eastAsia" w:hAnsi="宋体" w:cs="宋体"/>
          <w:color w:val="000000"/>
          <w:sz w:val="24"/>
          <w:szCs w:val="24"/>
          <w:highlight w:val="none"/>
        </w:rPr>
        <w:t>其他未约定项参照试验驾驶员管理办法</w:t>
      </w:r>
      <w:r>
        <w:rPr>
          <w:rFonts w:hint="eastAsia" w:hAnsi="宋体" w:cs="宋体"/>
          <w:color w:val="000000"/>
          <w:sz w:val="24"/>
          <w:szCs w:val="24"/>
          <w:highlight w:val="none"/>
          <w:lang w:val="en-US" w:eastAsia="zh-CN"/>
        </w:rPr>
        <w:t>JNATCB</w:t>
      </w:r>
      <w:r>
        <w:rPr>
          <w:rFonts w:hint="eastAsia" w:hAnsi="宋体" w:cs="宋体"/>
          <w:color w:val="000000"/>
          <w:sz w:val="24"/>
          <w:szCs w:val="24"/>
          <w:highlight w:val="none"/>
        </w:rPr>
        <w:t>0504A0-202</w:t>
      </w:r>
      <w:r>
        <w:rPr>
          <w:rFonts w:hint="eastAsia" w:hAnsi="宋体" w:cs="宋体"/>
          <w:color w:val="000000"/>
          <w:sz w:val="24"/>
          <w:szCs w:val="24"/>
          <w:highlight w:val="none"/>
          <w:lang w:val="en-US" w:eastAsia="zh-CN"/>
        </w:rPr>
        <w:t>4及最终版的合同内容</w:t>
      </w:r>
      <w:r>
        <w:rPr>
          <w:rFonts w:hint="eastAsia" w:hAnsi="宋体" w:cs="宋体"/>
          <w:color w:val="000000"/>
          <w:sz w:val="24"/>
          <w:szCs w:val="24"/>
          <w:highlight w:val="none"/>
        </w:rPr>
        <w:t>执行。</w:t>
      </w:r>
      <w:bookmarkEnd w:id="24"/>
      <w:bookmarkEnd w:id="25"/>
      <w:bookmarkEnd w:id="26"/>
      <w:bookmarkEnd w:id="27"/>
      <w:bookmarkEnd w:id="28"/>
      <w:bookmarkEnd w:id="29"/>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woUserID w:val="1"/>
        </w:rPr>
        <w:t>投标方提供的驾驶人员连续驾驶时间不超过4小时，每天工作时长不低于8小时。</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81"/>
        <w:numPr>
          <w:ilvl w:val="0"/>
          <w:numId w:val="8"/>
        </w:numPr>
        <w:rPr>
          <w:rFonts w:hint="eastAsia" w:ascii="宋体" w:hAnsi="宋体" w:eastAsia="宋体" w:cs="宋体"/>
          <w:highlight w:val="none"/>
        </w:rPr>
      </w:pPr>
      <w:r>
        <w:rPr>
          <w:rFonts w:hint="eastAsia" w:eastAsia="宋体" w:cs="宋体"/>
          <w:highlight w:val="none"/>
          <w:lang w:val="en-US" w:eastAsia="zh-CN"/>
        </w:rPr>
        <w:t>技术</w:t>
      </w:r>
      <w:r>
        <w:rPr>
          <w:rFonts w:hint="eastAsia" w:ascii="宋体" w:hAnsi="宋体" w:eastAsia="宋体" w:cs="宋体"/>
          <w:highlight w:val="none"/>
        </w:rPr>
        <w:t>要求</w:t>
      </w:r>
    </w:p>
    <w:p>
      <w:pPr>
        <w:pStyle w:val="81"/>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投标方中标后需根据招标方出具的试验驾驶员管理办法JNATCB0504A0-2024中具体要求，组织多提供的驾驶员进行理论测评、实操测评和主观测评在内的场地准驾测评项目评定，通过后方可上岗，实操测评办法如下：</w:t>
      </w:r>
    </w:p>
    <w:p>
      <w:pPr>
        <w:pStyle w:val="15"/>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根据可开展试验项目的范围，试验驾驶资格等级划分为Ⅰ、Ⅱ、Ⅲ,共三级，初次报考可直接申请Ⅱ或Ⅰ等级，报考Ⅲ等级准驾需先取得Ⅱ等级准驾资格；人员获取准驾资格后，仅允许驾驶与所持中华人民共和国机动车驾驶证准驾车型相符的试验车辆。</w:t>
      </w:r>
    </w:p>
    <w:p>
      <w:pPr>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试验驾驶资格对应的资格权限如下表：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试验驾驶资格等级对应表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cs="仿宋"/>
                <w:b/>
                <w:bCs/>
                <w:sz w:val="21"/>
                <w:szCs w:val="21"/>
                <w:highlight w:val="none"/>
                <w:vertAlign w:val="baseline"/>
                <w:lang w:val="en-US" w:eastAsia="zh-CN"/>
              </w:rPr>
              <w:t>试验驾驶资格等级</w:t>
            </w:r>
          </w:p>
        </w:tc>
        <w:tc>
          <w:tcPr>
            <w:tcW w:w="2130" w:type="dxa"/>
            <w:vAlign w:val="center"/>
          </w:tcPr>
          <w:p>
            <w:pPr>
              <w:spacing w:line="480" w:lineRule="auto"/>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Ⅰ</w:t>
            </w:r>
          </w:p>
        </w:tc>
        <w:tc>
          <w:tcPr>
            <w:tcW w:w="2131" w:type="dxa"/>
            <w:vAlign w:val="center"/>
          </w:tcPr>
          <w:p>
            <w:pPr>
              <w:spacing w:line="480" w:lineRule="auto"/>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Ⅱ</w:t>
            </w:r>
          </w:p>
        </w:tc>
        <w:tc>
          <w:tcPr>
            <w:tcW w:w="2131" w:type="dxa"/>
            <w:vAlign w:val="center"/>
          </w:tcPr>
          <w:p>
            <w:pPr>
              <w:spacing w:line="480" w:lineRule="auto"/>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场内联络路</w:t>
            </w:r>
          </w:p>
        </w:tc>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可靠性试验（强化路）</w:t>
            </w:r>
          </w:p>
        </w:tc>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可靠性试验（高环）</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耐久性试验</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参数测量试验</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kern w:val="2"/>
                <w:sz w:val="21"/>
                <w:szCs w:val="21"/>
                <w:highlight w:val="none"/>
                <w:vertAlign w:val="baseline"/>
                <w:lang w:val="en-US" w:eastAsia="zh-CN" w:bidi="ar-SA"/>
              </w:rPr>
              <w:t>NVH试验</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动力性</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经济性</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0型制动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Ⅰ型制动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Ⅱ型制动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tabs>
                <w:tab w:val="left" w:pos="920"/>
                <w:tab w:val="center" w:pos="1207"/>
              </w:tabs>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驻车制动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应急制动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kern w:val="2"/>
                <w:sz w:val="21"/>
                <w:szCs w:val="21"/>
                <w:highlight w:val="none"/>
                <w:vertAlign w:val="baseline"/>
                <w:lang w:val="en-US" w:eastAsia="zh-CN" w:bidi="ar-SA"/>
              </w:rPr>
              <w:t>滑行距离测试</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行驶阻力系数测定</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ACC自适应巡航</w:t>
            </w:r>
          </w:p>
        </w:tc>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LDW车道偏离预警</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LKA车道保持</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FCW前碰预警</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AEB自动紧急制动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操稳试验</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ADAS</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ESC</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ABS制动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bl>
    <w:p>
      <w:pPr>
        <w:pStyle w:val="15"/>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szCs w:val="24"/>
          <w:highlight w:val="none"/>
          <w:lang w:val="en-US" w:eastAsia="zh-CN"/>
        </w:rPr>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pPr>
      <w:r>
        <w:rPr>
          <w:rFonts w:hint="eastAsia" w:ascii="宋体" w:hAnsi="宋体" w:cs="宋体"/>
          <w:color w:val="000000"/>
          <w:sz w:val="24"/>
          <w:szCs w:val="24"/>
          <w:highlight w:val="none"/>
        </w:rPr>
        <w:t>领取对应等级准入资格</w:t>
      </w:r>
      <w:r>
        <w:rPr>
          <w:rFonts w:hint="eastAsia" w:hAnsi="宋体" w:cs="宋体"/>
          <w:color w:val="000000"/>
          <w:sz w:val="24"/>
          <w:szCs w:val="24"/>
          <w:highlight w:val="none"/>
          <w:lang w:val="en-US" w:eastAsia="zh-CN"/>
        </w:rPr>
        <w:t>并完成材料初审后进行驾驶能力综合评价考试，</w:t>
      </w:r>
      <w:r>
        <w:rPr>
          <w:rFonts w:hint="eastAsia"/>
          <w:sz w:val="24"/>
          <w:szCs w:val="24"/>
          <w:highlight w:val="none"/>
          <w:lang w:val="en-US" w:eastAsia="zh-CN"/>
        </w:rPr>
        <w:t>包含理论测评、实操测评和主观测评，其中实操测评各测评项目均达到评判标准的即为实操通过，测评项目存在1项或多项未达到评判标准的为实操未通过。</w:t>
      </w:r>
    </w:p>
    <w:p>
      <w:pPr>
        <w:pStyle w:val="15"/>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szCs w:val="24"/>
          <w:highlight w:val="none"/>
          <w:u w:val="none"/>
          <w:lang w:val="en-US" w:eastAsia="zh-CN"/>
        </w:rPr>
      </w:pPr>
      <w:r>
        <w:rPr>
          <w:rFonts w:hint="eastAsia" w:hAnsi="宋体" w:cs="宋体"/>
          <w:color w:val="000000"/>
          <w:sz w:val="24"/>
          <w:szCs w:val="24"/>
          <w:highlight w:val="none"/>
          <w:u w:val="none"/>
          <w:lang w:val="en-US" w:eastAsia="zh-CN"/>
        </w:rPr>
        <w:t>实操测评项目与细则</w:t>
      </w:r>
    </w:p>
    <w:tbl>
      <w:tblPr>
        <w:tblStyle w:val="167"/>
        <w:tblW w:w="147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2"/>
        <w:gridCol w:w="3654"/>
        <w:gridCol w:w="3670"/>
        <w:gridCol w:w="53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207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32"/>
                <w:szCs w:val="32"/>
                <w:highlight w:val="none"/>
                <w:lang w:val="en-US" w:eastAsia="zh-CN"/>
              </w:rPr>
            </w:pPr>
            <w:r>
              <w:rPr>
                <w:rFonts w:ascii="仿宋" w:hAnsi="仿宋" w:eastAsia="仿宋" w:cs="仿宋"/>
                <w:b/>
                <w:bCs/>
                <w:color w:val="000000"/>
                <w:sz w:val="22"/>
                <w:szCs w:val="22"/>
              </w:rPr>
              <w:t>试验驾驶资格等级</w:t>
            </w: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32"/>
                <w:szCs w:val="32"/>
                <w:highlight w:val="none"/>
                <w:lang w:val="en-US"/>
              </w:rPr>
            </w:pPr>
            <w:r>
              <w:rPr>
                <w:rFonts w:hint="eastAsia" w:ascii="仿宋" w:hAnsi="仿宋" w:eastAsia="仿宋" w:cs="仿宋"/>
                <w:b/>
                <w:bCs/>
                <w:color w:val="000000"/>
                <w:sz w:val="22"/>
                <w:szCs w:val="22"/>
              </w:rPr>
              <w:t>测评项目</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32"/>
                <w:szCs w:val="32"/>
                <w:highlight w:val="none"/>
                <w:lang w:val="en-US"/>
              </w:rPr>
            </w:pPr>
            <w:r>
              <w:rPr>
                <w:rFonts w:hint="eastAsia" w:ascii="仿宋" w:hAnsi="仿宋" w:eastAsia="仿宋" w:cs="仿宋"/>
                <w:b/>
                <w:bCs/>
                <w:color w:val="000000"/>
                <w:sz w:val="22"/>
                <w:szCs w:val="22"/>
              </w:rPr>
              <w:t>测评车型</w:t>
            </w:r>
          </w:p>
        </w:tc>
        <w:tc>
          <w:tcPr>
            <w:tcW w:w="5342" w:type="dxa"/>
            <w:vAlign w:val="center"/>
          </w:tcPr>
          <w:p>
            <w:pPr>
              <w:pStyle w:val="29"/>
              <w:keepNext w:val="0"/>
              <w:keepLines w:val="0"/>
              <w:widowControl/>
              <w:suppressLineNumbers w:val="0"/>
              <w:ind w:left="0" w:leftChars="0" w:right="0" w:rightChars="0" w:firstLine="440" w:firstLineChars="200"/>
              <w:jc w:val="center"/>
              <w:rPr>
                <w:rFonts w:hint="default" w:ascii="仿宋" w:hAnsi="仿宋" w:eastAsia="仿宋" w:cs="仿宋"/>
                <w:b/>
                <w:bCs/>
                <w:sz w:val="32"/>
                <w:szCs w:val="32"/>
                <w:highlight w:val="none"/>
                <w:lang w:val="en-US"/>
              </w:rPr>
            </w:pPr>
            <w:r>
              <w:rPr>
                <w:rFonts w:hint="eastAsia" w:ascii="仿宋" w:hAnsi="仿宋" w:eastAsia="仿宋" w:cs="仿宋"/>
                <w:b/>
                <w:bCs/>
                <w:color w:val="000000"/>
                <w:sz w:val="22"/>
                <w:szCs w:val="22"/>
              </w:rPr>
              <w:t>合格判定标准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restart"/>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color w:val="000000"/>
                <w:sz w:val="20"/>
                <w:szCs w:val="20"/>
              </w:rPr>
              <w:t>Ⅰ</w:t>
            </w: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color w:val="000000"/>
                <w:sz w:val="20"/>
                <w:szCs w:val="20"/>
              </w:rPr>
              <w:t>(1)倒车入库（正库）</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(2)15米等距绕桩初级测评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eastAsia="zh-CN"/>
              </w:rPr>
            </w:pPr>
            <w:r>
              <w:rPr>
                <w:rFonts w:hint="eastAsia" w:ascii="仿宋" w:hAnsi="仿宋" w:eastAsia="仿宋" w:cs="仿宋"/>
                <w:color w:val="000000"/>
                <w:sz w:val="20"/>
                <w:szCs w:val="20"/>
              </w:rPr>
              <w:t>设置6个桩，从桩1出发，绕桩行驶至桩6后调头绕桩返回至桩1，转向准确，节奏均匀，不碰桩且时间不高于3</w:t>
            </w:r>
            <w:r>
              <w:rPr>
                <w:rFonts w:hint="eastAsia" w:ascii="仿宋" w:hAnsi="仿宋" w:cs="仿宋"/>
                <w:color w:val="000000"/>
                <w:sz w:val="20"/>
                <w:szCs w:val="20"/>
                <w:lang w:val="en-US" w:eastAsia="zh-CN"/>
              </w:rPr>
              <w:t>5</w:t>
            </w:r>
            <w:r>
              <w:rPr>
                <w:rFonts w:hint="eastAsia" w:ascii="仿宋" w:hAnsi="仿宋" w:eastAsia="仿宋" w:cs="仿宋"/>
                <w:color w:val="000000"/>
                <w:sz w:val="20"/>
                <w:szCs w:val="2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restart"/>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color w:val="000000"/>
                <w:sz w:val="20"/>
                <w:szCs w:val="20"/>
              </w:rPr>
              <w:t>Ⅱ</w:t>
            </w: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(1)倒车入库（反库）</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color w:val="000000"/>
                <w:sz w:val="20"/>
                <w:szCs w:val="20"/>
              </w:rPr>
              <w:t>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eastAsia="zh-CN"/>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(2)有ABS制动避障测评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color w:val="000000"/>
                <w:sz w:val="20"/>
                <w:szCs w:val="20"/>
              </w:rPr>
              <w:t>车辆到达制动点时车速不低于120KPH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(3)无ABS制动避障测评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车辆到达制动点时车速不低于80KPH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(4)15米等距绕桩测评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设置6个桩，从桩1出发，绕桩行驶至桩6，时间不高于50s,且不触碰任何锥桩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(5)60KPH避让测评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车辆避让时速度不低60KPH,且不触碰任何锥桩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(6)高速环道稳速驾驶初级测评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color w:val="000000"/>
                <w:sz w:val="20"/>
                <w:szCs w:val="20"/>
              </w:rPr>
              <w:t>100KPH稳速行驶5Km，稳速偏差不得超过±5KPH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restart"/>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color w:val="000000"/>
                <w:sz w:val="20"/>
                <w:szCs w:val="20"/>
              </w:rPr>
              <w:t>Ⅲ</w:t>
            </w: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color w:val="000000"/>
                <w:sz w:val="20"/>
                <w:szCs w:val="20"/>
              </w:rPr>
              <w:t>(1)倒车绕三桩加倒车入库</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color w:val="000000"/>
                <w:sz w:val="20"/>
                <w:szCs w:val="20"/>
              </w:rPr>
              <w:t>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eastAsia="zh-CN"/>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(2)有ABS制动避障测评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车辆到达制动点时车速不低于120KPH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(3)无ABS制动避障测评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车辆到达制动点时车速不低于80KPH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(4)15米等距绕桩中级测评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设置6个桩，从桩1出发，绕桩行驶至桩6，时间不高于40s,且不触碰任何锥桩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(5)80KPH高速避让测评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车辆避让时速度不低80KPH,且不触碰任何锥桩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(6)低附路面制动测评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车速60KPH,停车位置不超过预设点位，且无明显路径偏移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(7)高速环道稳速驾驶中级测评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100KPH稳速行驶5Km，稳速偏差不得超过士3KPH</w:t>
            </w:r>
          </w:p>
        </w:tc>
      </w:tr>
    </w:tbl>
    <w:p>
      <w:pPr>
        <w:ind w:left="0" w:leftChars="0" w:firstLine="0" w:firstLineChars="0"/>
        <w:rPr>
          <w:rFonts w:hint="eastAsia" w:ascii="Arial"/>
          <w:sz w:val="21"/>
          <w:highlight w:val="none"/>
          <w:lang w:val="en-US" w:eastAsia="zh-CN"/>
        </w:rPr>
      </w:pPr>
      <w:r>
        <w:rPr>
          <w:rFonts w:hint="eastAsia" w:ascii="Arial"/>
          <w:sz w:val="21"/>
          <w:highlight w:val="none"/>
          <w:lang w:val="en-US" w:eastAsia="zh-CN"/>
        </w:rPr>
        <w:t>注：</w:t>
      </w:r>
    </w:p>
    <w:p>
      <w:pPr>
        <w:numPr>
          <w:ilvl w:val="1"/>
          <w:numId w:val="10"/>
        </w:numPr>
        <w:ind w:left="1260" w:leftChars="0" w:hanging="420" w:firstLineChars="0"/>
        <w:rPr>
          <w:rFonts w:hint="eastAsia" w:ascii="Arial"/>
          <w:sz w:val="21"/>
          <w:highlight w:val="none"/>
          <w:lang w:val="en-US" w:eastAsia="zh-CN"/>
        </w:rPr>
      </w:pPr>
      <w:r>
        <w:rPr>
          <w:rFonts w:hint="eastAsia" w:ascii="Arial"/>
          <w:sz w:val="21"/>
          <w:highlight w:val="none"/>
          <w:lang w:val="en-US" w:eastAsia="zh-CN"/>
        </w:rPr>
        <w:t>乘用车需申请考试单位自行准备。商用车根据报考人持有的机动车驾驶证准驾车型确定，如报考人持A2驾驶证，选用中国重汽手动挡牵引汽车，牵引车加挂总长为17m，宽为2.6m，车辆总重为49t，产品试验检测中心提供。</w:t>
      </w:r>
    </w:p>
    <w:p>
      <w:pPr>
        <w:numPr>
          <w:ilvl w:val="1"/>
          <w:numId w:val="10"/>
        </w:numPr>
        <w:ind w:left="1260" w:leftChars="0" w:hanging="420" w:firstLineChars="0"/>
        <w:rPr>
          <w:rFonts w:hint="default" w:ascii="Arial"/>
          <w:sz w:val="21"/>
          <w:highlight w:val="none"/>
          <w:lang w:val="en-US" w:eastAsia="zh-CN"/>
        </w:rPr>
      </w:pPr>
      <w:r>
        <w:rPr>
          <w:rFonts w:hint="eastAsia" w:ascii="Arial"/>
          <w:sz w:val="21"/>
          <w:highlight w:val="none"/>
          <w:lang w:val="en-US" w:eastAsia="zh-CN"/>
        </w:rPr>
        <w:t>实测项目每项共有两次机会，若两次均未通过，则判定为不合格。</w:t>
      </w:r>
    </w:p>
    <w:p>
      <w:pPr>
        <w:numPr>
          <w:ilvl w:val="1"/>
          <w:numId w:val="10"/>
        </w:numPr>
        <w:ind w:left="1260" w:leftChars="0" w:hanging="420" w:firstLineChars="0"/>
        <w:rPr>
          <w:rFonts w:hint="default" w:ascii="Arial"/>
          <w:sz w:val="21"/>
          <w:highlight w:val="none"/>
          <w:lang w:val="en-US" w:eastAsia="zh-CN"/>
        </w:rPr>
      </w:pPr>
      <w:r>
        <w:rPr>
          <w:rFonts w:hint="eastAsia" w:ascii="Arial"/>
          <w:sz w:val="21"/>
          <w:highlight w:val="none"/>
          <w:lang w:val="en-US" w:eastAsia="zh-CN"/>
        </w:rPr>
        <w:t>实测项目若涉及场地费用，需申请单位自行支付。</w:t>
      </w:r>
    </w:p>
    <w:p>
      <w:pPr>
        <w:numPr>
          <w:ilvl w:val="1"/>
          <w:numId w:val="10"/>
        </w:numPr>
        <w:ind w:left="1260" w:leftChars="0" w:hanging="420" w:firstLineChars="0"/>
        <w:rPr>
          <w:rFonts w:hint="eastAsia" w:ascii="宋体" w:hAnsi="宋体" w:eastAsia="宋体" w:cs="宋体"/>
          <w:color w:val="000000"/>
          <w:sz w:val="24"/>
          <w:szCs w:val="24"/>
          <w:highlight w:val="none"/>
          <w:u w:val="none"/>
          <w:lang w:val="en-US" w:eastAsia="zh-CN"/>
        </w:rPr>
        <w:sectPr>
          <w:pgSz w:w="16838" w:h="11906" w:orient="landscape"/>
          <w:pgMar w:top="403" w:right="437" w:bottom="0" w:left="1145" w:header="0" w:footer="0" w:gutter="0"/>
          <w:pgNumType w:fmt="numberInDash"/>
          <w:cols w:space="0" w:num="1"/>
          <w:rtlGutter w:val="0"/>
          <w:docGrid w:type="lines" w:linePitch="312" w:charSpace="0"/>
        </w:sectPr>
      </w:pP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r>
        <w:rPr>
          <w:rFonts w:hint="eastAsia" w:ascii="宋体" w:hAnsi="宋体" w:eastAsia="宋体" w:cs="宋体"/>
          <w:sz w:val="24"/>
          <w:szCs w:val="24"/>
        </w:rPr>
        <w:t>倒车入库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正库）</w:t>
      </w:r>
    </w:p>
    <w:p>
      <w:pPr>
        <w:pStyle w:val="11"/>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倒车入库根据场内空间以及相关驾考规定进行。考察驾驶人在场地操作汽车的能力，即在运动中操纵车辆正确倒入车库。具体考试场地见图1。</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1</w:t>
      </w:r>
      <w:r>
        <w:rPr>
          <w:rFonts w:hint="eastAsia" w:ascii="宋体" w:hAnsi="宋体" w:eastAsia="宋体" w:cs="宋体"/>
          <w:sz w:val="24"/>
          <w:szCs w:val="24"/>
        </w:rPr>
        <w:t>.1考试车辆</w:t>
      </w:r>
    </w:p>
    <w:p>
      <w:pPr>
        <w:pStyle w:val="11"/>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试验驾驶员准入考试车辆为中国重汽手动挡牵引车，牵引车加挂总长为17m，宽为2.6m，车辆总质量为49t。</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3.1.2</w:t>
      </w:r>
      <w:r>
        <w:rPr>
          <w:rFonts w:hint="eastAsia" w:ascii="宋体" w:hAnsi="宋体" w:eastAsia="宋体" w:cs="宋体"/>
          <w:sz w:val="24"/>
          <w:szCs w:val="24"/>
        </w:rPr>
        <w:t>场地布置</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1.考试区域长52m，宽45m；</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2.车库长18m,宽3.4m。</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3考试内容</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从起点A前进到车库B，并停正；</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从车库B倒车到车库A，并停正，考试完成。</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4评判标准</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不按规定路线行驶、压桩碰桩、车身出线、倒车不入，不合格；</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牵引车和半挂车倒车时夹角超过70°，不合格；</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倒车入库期间允许中途停车，但每次不得停车时间超过10秒，只许向前行驶调整一次，否则考试不合格。</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4.总时间限制为210S。</w:t>
      </w:r>
    </w:p>
    <w:p>
      <w:pPr>
        <w:jc w:val="center"/>
        <w:rPr>
          <w:rFonts w:ascii="仿宋" w:hAnsi="仿宋" w:eastAsia="仿宋"/>
          <w:sz w:val="28"/>
          <w:szCs w:val="28"/>
          <w:highlight w:val="yellow"/>
        </w:rPr>
      </w:pPr>
      <w:r>
        <w:rPr>
          <w:highlight w:val="yellow"/>
        </w:rPr>
        <w:drawing>
          <wp:inline distT="0" distB="0" distL="0" distR="0">
            <wp:extent cx="2762250" cy="397256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rot="5400000">
                      <a:off x="0" y="0"/>
                      <a:ext cx="2762250" cy="3972560"/>
                    </a:xfrm>
                    <a:prstGeom prst="rect">
                      <a:avLst/>
                    </a:prstGeom>
                  </pic:spPr>
                </pic:pic>
              </a:graphicData>
            </a:graphic>
          </wp:inline>
        </w:drawing>
      </w:r>
    </w:p>
    <w:p>
      <w:pPr>
        <w:pStyle w:val="11"/>
        <w:shd w:val="clear"/>
        <w:bidi w:val="0"/>
        <w:jc w:val="center"/>
        <w:rPr>
          <w:rFonts w:hint="eastAsia" w:ascii="宋体" w:hAnsi="宋体" w:eastAsia="宋体" w:cs="宋体"/>
          <w:b/>
          <w:bCs/>
          <w:spacing w:val="25"/>
          <w:sz w:val="24"/>
          <w:szCs w:val="24"/>
          <w:highlight w:val="yellow"/>
        </w:rPr>
      </w:pPr>
      <w:r>
        <w:rPr>
          <w:rFonts w:hint="eastAsia" w:ascii="宋体" w:hAnsi="宋体" w:eastAsia="宋体" w:cs="宋体"/>
          <w:sz w:val="24"/>
          <w:szCs w:val="24"/>
        </w:rPr>
        <w:t>图1 倒车入库场地示意图</w:t>
      </w:r>
    </w:p>
    <w:p>
      <w:pPr>
        <w:rPr>
          <w:b/>
          <w:bCs/>
          <w:spacing w:val="25"/>
          <w:sz w:val="27"/>
          <w:szCs w:val="27"/>
          <w:highlight w:val="yellow"/>
        </w:rPr>
      </w:pPr>
      <w:r>
        <w:rPr>
          <w:b/>
          <w:bCs/>
          <w:spacing w:val="25"/>
          <w:sz w:val="27"/>
          <w:szCs w:val="27"/>
          <w:highlight w:val="yellow"/>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kern w:val="2"/>
          <w:sz w:val="24"/>
          <w:szCs w:val="24"/>
          <w:highlight w:val="none"/>
          <w:lang w:val="en-US" w:eastAsia="en-US"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3.2  </w:t>
      </w:r>
      <w:r>
        <w:rPr>
          <w:rFonts w:hint="eastAsia" w:ascii="宋体" w:hAnsi="宋体" w:eastAsia="宋体" w:cs="宋体"/>
          <w:color w:val="000000" w:themeColor="text1"/>
          <w:kern w:val="2"/>
          <w:sz w:val="24"/>
          <w:szCs w:val="24"/>
          <w:highlight w:val="none"/>
          <w:lang w:val="en-US" w:eastAsia="en-US" w:bidi="ar-SA"/>
          <w14:textFill>
            <w14:solidFill>
              <w14:schemeClr w14:val="tx1"/>
            </w14:solidFill>
          </w14:textFill>
        </w:rPr>
        <w:t>15米等距绕桩初级测评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绕桩考试区域设置起步车位、50米加速区、蛇形绕桩区和停止车位。设置考场整体宽不得低于20米，长不得低于150米，如下图所示。本项考试时长共计35秒，超出时长则视为不合格，每位考生2次考试机会。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055" cy="1965325"/>
            <wp:effectExtent l="0" t="0" r="10795" b="15875"/>
            <wp:docPr id="2" name="图片 2" descr="蛇形绕桩考试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蛇形绕桩考试示意图"/>
                    <pic:cNvPicPr>
                      <a:picLocks noChangeAspect="1"/>
                    </pic:cNvPicPr>
                  </pic:nvPicPr>
                  <pic:blipFill>
                    <a:blip r:embed="rId29"/>
                    <a:stretch>
                      <a:fillRect/>
                    </a:stretch>
                  </pic:blipFill>
                  <pic:spPr>
                    <a:xfrm>
                      <a:off x="0" y="0"/>
                      <a:ext cx="5266055" cy="1965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  绕桩考试示意图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起步车位：</w:t>
      </w:r>
      <w:r>
        <w:rPr>
          <w:rFonts w:hint="eastAsia" w:ascii="宋体" w:hAnsi="宋体" w:eastAsia="宋体" w:cs="宋体"/>
          <w:b w:val="0"/>
          <w:bCs w:val="0"/>
          <w:sz w:val="24"/>
          <w:szCs w:val="24"/>
          <w:lang w:val="en-US" w:eastAsia="zh-CN"/>
        </w:rPr>
        <w:t>起步车位仅设置车头起步线，车辆从停止车位行驶至起步车位怠速5秒以上开始考试。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蛇形绕桩区间：</w:t>
      </w:r>
      <w:r>
        <w:rPr>
          <w:rFonts w:hint="eastAsia" w:ascii="宋体" w:hAnsi="宋体" w:eastAsia="宋体" w:cs="宋体"/>
          <w:b w:val="0"/>
          <w:bCs w:val="0"/>
          <w:sz w:val="24"/>
          <w:szCs w:val="24"/>
          <w:lang w:val="en-US" w:eastAsia="zh-CN"/>
        </w:rPr>
        <w:t>共设置6个桩，桩距15米。考生应以适当车速绕桩蛇形行驶，车轮应尽量接近桩基且不碰桩，行驶过最后一个桩基后择机掉头，反向进行，按绿色箭头行驶至停车区间。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加速区间：</w:t>
      </w:r>
      <w:r>
        <w:rPr>
          <w:rFonts w:hint="eastAsia" w:ascii="宋体" w:hAnsi="宋体" w:eastAsia="宋体" w:cs="宋体"/>
          <w:b w:val="0"/>
          <w:bCs w:val="0"/>
          <w:sz w:val="24"/>
          <w:szCs w:val="24"/>
          <w:lang w:val="en-US" w:eastAsia="zh-CN"/>
        </w:rPr>
        <w:t>长50米。加速区间考生应当将车速提至适当车速区间，并按图示蓝色箭头指示位置进入绕桩区域进行蛇形绕桩。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停止车位：</w:t>
      </w:r>
      <w:r>
        <w:rPr>
          <w:rFonts w:hint="eastAsia" w:ascii="宋体" w:hAnsi="宋体" w:eastAsia="宋体" w:cs="宋体"/>
          <w:b w:val="0"/>
          <w:bCs w:val="0"/>
          <w:sz w:val="24"/>
          <w:szCs w:val="24"/>
          <w:lang w:val="en-US" w:eastAsia="zh-CN"/>
        </w:rPr>
        <w:t>宽3米长6米。</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hAnsi="宋体" w:cs="宋体"/>
          <w:color w:val="000000"/>
          <w:sz w:val="24"/>
          <w:szCs w:val="24"/>
          <w:highlight w:val="none"/>
        </w:rPr>
      </w:pPr>
    </w:p>
    <w:sectPr>
      <w:headerReference r:id="rId13" w:type="default"/>
      <w:footerReference r:id="rId14"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LQIAAFk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RC/oYSzRRKfvrx&#10;/fTz4fTrG4mHkKi1fobIe4vY0L0zHcKH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BJHOEm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47CD2A"/>
    <w:multiLevelType w:val="singleLevel"/>
    <w:tmpl w:val="CE47CD2A"/>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F282ECE6"/>
    <w:multiLevelType w:val="singleLevel"/>
    <w:tmpl w:val="F282ECE6"/>
    <w:lvl w:ilvl="0" w:tentative="0">
      <w:start w:val="3"/>
      <w:numFmt w:val="chineseCounting"/>
      <w:suff w:val="nothing"/>
      <w:lvlText w:val="%1、"/>
      <w:lvlJc w:val="left"/>
      <w:rPr>
        <w:rFonts w:hint="eastAsia"/>
      </w:rPr>
    </w:lvl>
  </w:abstractNum>
  <w:abstractNum w:abstractNumId="3">
    <w:nsid w:val="FBA2058E"/>
    <w:multiLevelType w:val="singleLevel"/>
    <w:tmpl w:val="FBA2058E"/>
    <w:lvl w:ilvl="0" w:tentative="0">
      <w:start w:val="1"/>
      <w:numFmt w:val="decimal"/>
      <w:suff w:val="nothing"/>
      <w:lvlText w:val="%1、"/>
      <w:lvlJc w:val="left"/>
      <w:rPr>
        <w:rFonts w:hint="default" w:ascii="Times New Roman" w:hAnsi="Times New Roman" w:cs="Times New Roman"/>
        <w:sz w:val="24"/>
        <w:szCs w:val="24"/>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C2CBA9C"/>
    <w:multiLevelType w:val="multilevel"/>
    <w:tmpl w:val="0C2CBA9C"/>
    <w:lvl w:ilvl="0" w:tentative="0">
      <w:start w:val="1"/>
      <w:numFmt w:val="decimal"/>
      <w:lvlText w:val="%1."/>
      <w:lvlJc w:val="left"/>
      <w:pPr>
        <w:tabs>
          <w:tab w:val="left" w:pos="420"/>
        </w:tabs>
        <w:ind w:left="845" w:hanging="425"/>
      </w:pPr>
      <w:rPr>
        <w:rFonts w:hint="default" w:ascii="宋体" w:hAnsi="宋体" w:eastAsia="宋体" w:cs="宋体"/>
        <w:sz w:val="24"/>
        <w:szCs w:val="24"/>
      </w:rPr>
    </w:lvl>
    <w:lvl w:ilvl="1" w:tentative="0">
      <w:start w:val="1"/>
      <w:numFmt w:val="decimal"/>
      <w:lvlText w:val="(%2)"/>
      <w:lvlJc w:val="left"/>
      <w:pPr>
        <w:tabs>
          <w:tab w:val="left" w:pos="840"/>
        </w:tabs>
        <w:ind w:left="1260" w:leftChars="0" w:hanging="420" w:firstLineChars="0"/>
      </w:pPr>
      <w:rPr>
        <w:rFonts w:hint="default"/>
      </w:rPr>
    </w:lvl>
    <w:lvl w:ilvl="2" w:tentative="0">
      <w:start w:val="1"/>
      <w:numFmt w:val="decimalEnclosedCircleChinese"/>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Letter"/>
      <w:lvlText w:val="%6)"/>
      <w:lvlJc w:val="left"/>
      <w:pPr>
        <w:tabs>
          <w:tab w:val="left" w:pos="2520"/>
        </w:tabs>
        <w:ind w:left="2940" w:leftChars="0" w:hanging="420" w:firstLineChars="0"/>
      </w:pPr>
      <w:rPr>
        <w:rFonts w:hint="default"/>
      </w:rPr>
    </w:lvl>
    <w:lvl w:ilvl="6" w:tentative="0">
      <w:start w:val="1"/>
      <w:numFmt w:val="lowerRoman"/>
      <w:lvlText w:val="%7."/>
      <w:lvlJc w:val="left"/>
      <w:pPr>
        <w:tabs>
          <w:tab w:val="left" w:pos="2940"/>
        </w:tabs>
        <w:ind w:left="3360" w:leftChars="0" w:hanging="420" w:firstLineChars="0"/>
      </w:pPr>
      <w:rPr>
        <w:rFonts w:hint="default"/>
      </w:rPr>
    </w:lvl>
    <w:lvl w:ilvl="7" w:tentative="0">
      <w:start w:val="1"/>
      <w:numFmt w:val="lowerRoman"/>
      <w:lvlText w:val="%8)"/>
      <w:lvlJc w:val="left"/>
      <w:pPr>
        <w:tabs>
          <w:tab w:val="left" w:pos="3360"/>
        </w:tabs>
        <w:ind w:left="3780" w:leftChars="0" w:hanging="420" w:firstLineChars="0"/>
      </w:pPr>
      <w:rPr>
        <w:rFonts w:hint="default"/>
      </w:rPr>
    </w:lvl>
    <w:lvl w:ilvl="8" w:tentative="0">
      <w:start w:val="1"/>
      <w:numFmt w:val="lowerLetter"/>
      <w:lvlText w:val="%9."/>
      <w:lvlJc w:val="left"/>
      <w:pPr>
        <w:tabs>
          <w:tab w:val="left" w:pos="3780"/>
        </w:tabs>
        <w:ind w:left="4200" w:leftChars="0" w:hanging="420" w:firstLineChars="0"/>
      </w:pPr>
      <w:rPr>
        <w:rFonts w:hint="default"/>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9"/>
  </w:num>
  <w:num w:numId="2">
    <w:abstractNumId w:val="5"/>
  </w:num>
  <w:num w:numId="3">
    <w:abstractNumId w:val="4"/>
  </w:num>
  <w:num w:numId="4">
    <w:abstractNumId w:val="8"/>
  </w:num>
  <w:num w:numId="5">
    <w:abstractNumId w:val="1"/>
  </w:num>
  <w:num w:numId="6">
    <w:abstractNumId w:val="7"/>
  </w:num>
  <w:num w:numId="7">
    <w:abstractNumId w:val="3"/>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BE6342"/>
    <w:rsid w:val="07E57C0D"/>
    <w:rsid w:val="08436F08"/>
    <w:rsid w:val="099C5159"/>
    <w:rsid w:val="0C8C56A3"/>
    <w:rsid w:val="118B17C0"/>
    <w:rsid w:val="14A15C19"/>
    <w:rsid w:val="17EC378B"/>
    <w:rsid w:val="20DE619F"/>
    <w:rsid w:val="299407FB"/>
    <w:rsid w:val="2EB771D0"/>
    <w:rsid w:val="347E0C7B"/>
    <w:rsid w:val="34F7633C"/>
    <w:rsid w:val="38ED0110"/>
    <w:rsid w:val="3DC343E7"/>
    <w:rsid w:val="46583401"/>
    <w:rsid w:val="4C3A530E"/>
    <w:rsid w:val="5060129E"/>
    <w:rsid w:val="520D3BC4"/>
    <w:rsid w:val="60AE53F2"/>
    <w:rsid w:val="60EE4022"/>
    <w:rsid w:val="636F4F70"/>
    <w:rsid w:val="64D3442A"/>
    <w:rsid w:val="6585261B"/>
    <w:rsid w:val="65AD6236"/>
    <w:rsid w:val="699A3928"/>
    <w:rsid w:val="720E4873"/>
    <w:rsid w:val="77EF6C01"/>
    <w:rsid w:val="7B1C432C"/>
    <w:rsid w:val="7D4635F6"/>
    <w:rsid w:val="AD77BCAF"/>
    <w:rsid w:val="D7FF5A06"/>
    <w:rsid w:val="FB772A9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table" w:customStyle="1" w:styleId="16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6479</Words>
  <Characters>6706</Characters>
  <Lines>247</Lines>
  <Paragraphs>69</Paragraphs>
  <TotalTime>0</TotalTime>
  <ScaleCrop>false</ScaleCrop>
  <LinksUpToDate>false</LinksUpToDate>
  <CharactersWithSpaces>6819</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2025-05-15T10:20:48Z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BD29C492F2F3447482CC336B1B8B1A81_13</vt:lpwstr>
  </property>
  <property fmtid="{D5CDD505-2E9C-101B-9397-08002B2CF9AE}" pid="4" name="KSOTemplateDocerSaveRecord">
    <vt:lpwstr>eyJoZGlkIjoiN2ZiZjhjZjUxYjg2N2Y1ZjY0NTc5ZGMxYTcwNjRmNWYiLCJ1c2VySWQiOiIzMDg0MzUwNTAifQ==</vt:lpwstr>
  </property>
</Properties>
</file>