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1" w:lineRule="auto"/>
        <w:jc w:val="center"/>
        <w:rPr>
          <w:rFonts w:ascii="仿宋" w:hAnsi="仿宋" w:eastAsia="仿宋"/>
          <w:b/>
          <w:sz w:val="48"/>
          <w:szCs w:val="48"/>
        </w:rPr>
      </w:pPr>
    </w:p>
    <w:p>
      <w:pPr>
        <w:spacing w:line="401" w:lineRule="auto"/>
        <w:jc w:val="center"/>
        <w:rPr>
          <w:rFonts w:ascii="仿宋" w:hAnsi="仿宋" w:eastAsia="仿宋"/>
          <w:b/>
          <w:sz w:val="48"/>
          <w:szCs w:val="48"/>
        </w:rPr>
      </w:pPr>
      <w:r>
        <w:rPr>
          <w:rFonts w:hint="eastAsia" w:ascii="仿宋" w:hAnsi="仿宋" w:eastAsia="仿宋"/>
          <w:b/>
          <w:sz w:val="48"/>
          <w:szCs w:val="48"/>
        </w:rPr>
        <w:t>中国重汽集团大同齿轮有限公司</w:t>
      </w:r>
    </w:p>
    <w:p>
      <w:pPr>
        <w:spacing w:line="401" w:lineRule="auto"/>
        <w:jc w:val="center"/>
        <w:rPr>
          <w:rFonts w:hint="eastAsia" w:ascii="仿宋" w:hAnsi="仿宋" w:eastAsia="仿宋"/>
          <w:b/>
          <w:sz w:val="44"/>
          <w:szCs w:val="44"/>
          <w:lang w:val="en-US" w:eastAsia="zh-CN"/>
        </w:rPr>
      </w:pPr>
      <w:r>
        <w:rPr>
          <w:rFonts w:hint="eastAsia" w:ascii="仿宋" w:hAnsi="仿宋" w:eastAsia="仿宋"/>
          <w:b/>
          <w:sz w:val="48"/>
          <w:szCs w:val="48"/>
        </w:rPr>
        <w:t>安全实训基地</w:t>
      </w:r>
      <w:r>
        <w:rPr>
          <w:rFonts w:hint="eastAsia" w:ascii="仿宋" w:hAnsi="仿宋" w:eastAsia="仿宋"/>
          <w:b/>
          <w:sz w:val="48"/>
          <w:szCs w:val="48"/>
          <w:lang w:val="en-US" w:eastAsia="zh-CN"/>
        </w:rPr>
        <w:t>项目</w:t>
      </w:r>
    </w:p>
    <w:p>
      <w:pPr>
        <w:spacing w:line="400" w:lineRule="auto"/>
        <w:ind w:left="1000"/>
        <w:jc w:val="center"/>
        <w:rPr>
          <w:rFonts w:ascii="仿宋" w:hAnsi="仿宋" w:eastAsia="仿宋"/>
          <w:b/>
          <w:sz w:val="48"/>
          <w:szCs w:val="48"/>
        </w:rPr>
      </w:pPr>
    </w:p>
    <w:p>
      <w:pPr>
        <w:spacing w:line="400" w:lineRule="auto"/>
        <w:ind w:left="1000"/>
        <w:jc w:val="center"/>
        <w:rPr>
          <w:rFonts w:ascii="仿宋" w:hAnsi="仿宋" w:eastAsia="仿宋"/>
          <w:b/>
          <w:sz w:val="48"/>
          <w:szCs w:val="48"/>
        </w:rPr>
      </w:pPr>
    </w:p>
    <w:p>
      <w:pPr>
        <w:spacing w:line="400" w:lineRule="auto"/>
        <w:ind w:left="1000"/>
        <w:jc w:val="center"/>
        <w:rPr>
          <w:rFonts w:ascii="仿宋" w:hAnsi="仿宋" w:eastAsia="仿宋"/>
          <w:b/>
          <w:sz w:val="48"/>
          <w:szCs w:val="48"/>
        </w:rPr>
      </w:pPr>
    </w:p>
    <w:p>
      <w:pPr>
        <w:spacing w:line="400" w:lineRule="auto"/>
        <w:jc w:val="center"/>
        <w:rPr>
          <w:rFonts w:ascii="仿宋" w:hAnsi="仿宋" w:eastAsia="仿宋"/>
          <w:b/>
          <w:sz w:val="48"/>
          <w:szCs w:val="48"/>
        </w:rPr>
      </w:pPr>
      <w:r>
        <w:rPr>
          <w:rFonts w:ascii="仿宋" w:hAnsi="仿宋" w:eastAsia="仿宋"/>
          <w:b/>
          <w:sz w:val="48"/>
          <w:szCs w:val="48"/>
        </w:rPr>
        <w:t>招</w:t>
      </w:r>
    </w:p>
    <w:p>
      <w:pPr>
        <w:spacing w:line="400" w:lineRule="auto"/>
        <w:ind w:left="1000"/>
        <w:jc w:val="center"/>
        <w:rPr>
          <w:rFonts w:ascii="仿宋" w:hAnsi="仿宋" w:eastAsia="仿宋"/>
          <w:b/>
          <w:sz w:val="48"/>
          <w:szCs w:val="48"/>
        </w:rPr>
      </w:pPr>
    </w:p>
    <w:p>
      <w:pPr>
        <w:spacing w:line="400" w:lineRule="auto"/>
        <w:jc w:val="center"/>
        <w:rPr>
          <w:rFonts w:ascii="仿宋" w:hAnsi="仿宋" w:eastAsia="仿宋"/>
          <w:b/>
          <w:sz w:val="48"/>
          <w:szCs w:val="48"/>
        </w:rPr>
      </w:pPr>
      <w:r>
        <w:rPr>
          <w:rFonts w:ascii="仿宋" w:hAnsi="仿宋" w:eastAsia="仿宋"/>
          <w:b/>
          <w:sz w:val="48"/>
          <w:szCs w:val="48"/>
        </w:rPr>
        <w:t>标</w:t>
      </w:r>
    </w:p>
    <w:p>
      <w:pPr>
        <w:spacing w:line="400" w:lineRule="auto"/>
        <w:ind w:left="1000"/>
        <w:jc w:val="center"/>
        <w:rPr>
          <w:rFonts w:ascii="仿宋" w:hAnsi="仿宋" w:eastAsia="仿宋"/>
          <w:b/>
          <w:sz w:val="48"/>
          <w:szCs w:val="48"/>
        </w:rPr>
      </w:pPr>
    </w:p>
    <w:p>
      <w:pPr>
        <w:spacing w:line="400" w:lineRule="auto"/>
        <w:jc w:val="center"/>
        <w:rPr>
          <w:rFonts w:ascii="仿宋" w:hAnsi="仿宋" w:eastAsia="仿宋"/>
          <w:b/>
          <w:sz w:val="48"/>
          <w:szCs w:val="48"/>
        </w:rPr>
      </w:pPr>
      <w:r>
        <w:rPr>
          <w:rFonts w:hint="eastAsia" w:ascii="仿宋" w:hAnsi="仿宋" w:eastAsia="仿宋"/>
          <w:b/>
          <w:sz w:val="48"/>
          <w:szCs w:val="48"/>
        </w:rPr>
        <w:t>文</w:t>
      </w:r>
    </w:p>
    <w:p>
      <w:pPr>
        <w:spacing w:line="400" w:lineRule="auto"/>
        <w:ind w:left="1000"/>
        <w:jc w:val="center"/>
        <w:rPr>
          <w:rFonts w:ascii="仿宋" w:hAnsi="仿宋" w:eastAsia="仿宋"/>
          <w:b/>
          <w:sz w:val="48"/>
          <w:szCs w:val="48"/>
        </w:rPr>
      </w:pPr>
    </w:p>
    <w:p>
      <w:pPr>
        <w:spacing w:line="400" w:lineRule="auto"/>
        <w:jc w:val="center"/>
        <w:rPr>
          <w:rFonts w:ascii="仿宋" w:hAnsi="仿宋" w:eastAsia="仿宋"/>
          <w:b/>
          <w:sz w:val="48"/>
          <w:szCs w:val="48"/>
        </w:rPr>
      </w:pPr>
      <w:r>
        <w:rPr>
          <w:rFonts w:hint="eastAsia" w:ascii="仿宋" w:hAnsi="仿宋" w:eastAsia="仿宋"/>
          <w:b/>
          <w:sz w:val="48"/>
          <w:szCs w:val="48"/>
        </w:rPr>
        <w:t>件</w:t>
      </w:r>
    </w:p>
    <w:p>
      <w:pPr>
        <w:spacing w:line="400" w:lineRule="auto"/>
        <w:ind w:left="1000"/>
        <w:jc w:val="center"/>
        <w:rPr>
          <w:rFonts w:eastAsia="黑体"/>
          <w:b/>
          <w:sz w:val="36"/>
        </w:rPr>
      </w:pPr>
    </w:p>
    <w:p>
      <w:pPr>
        <w:spacing w:line="400" w:lineRule="auto"/>
        <w:jc w:val="center"/>
        <w:rPr>
          <w:rFonts w:eastAsia="黑体"/>
          <w:b/>
          <w:sz w:val="36"/>
        </w:rPr>
      </w:pPr>
    </w:p>
    <w:p>
      <w:pPr>
        <w:spacing w:line="400" w:lineRule="auto"/>
        <w:ind w:left="1000"/>
        <w:jc w:val="center"/>
        <w:rPr>
          <w:rFonts w:eastAsia="黑体"/>
          <w:b/>
          <w:sz w:val="36"/>
        </w:rPr>
      </w:pPr>
    </w:p>
    <w:p>
      <w:pPr>
        <w:spacing w:line="400" w:lineRule="auto"/>
        <w:ind w:left="1000"/>
        <w:jc w:val="center"/>
        <w:rPr>
          <w:rFonts w:eastAsia="黑体"/>
          <w:b/>
          <w:sz w:val="36"/>
        </w:rPr>
      </w:pPr>
    </w:p>
    <w:p>
      <w:pPr>
        <w:spacing w:line="400" w:lineRule="auto"/>
        <w:jc w:val="center"/>
        <w:rPr>
          <w:rFonts w:eastAsia="黑体"/>
          <w:b/>
          <w:sz w:val="36"/>
        </w:rPr>
      </w:pPr>
    </w:p>
    <w:p>
      <w:pPr>
        <w:spacing w:line="400" w:lineRule="auto"/>
        <w:jc w:val="center"/>
        <w:rPr>
          <w:rFonts w:eastAsia="黑体"/>
          <w:b/>
          <w:sz w:val="36"/>
        </w:rPr>
      </w:pPr>
    </w:p>
    <w:p>
      <w:pPr>
        <w:spacing w:line="400" w:lineRule="auto"/>
        <w:jc w:val="center"/>
        <w:rPr>
          <w:rFonts w:ascii="仿宋" w:hAnsi="仿宋" w:eastAsia="仿宋"/>
          <w:b/>
          <w:color w:val="000000"/>
          <w:sz w:val="36"/>
        </w:rPr>
      </w:pPr>
      <w:r>
        <w:rPr>
          <w:rFonts w:hint="eastAsia" w:ascii="仿宋" w:hAnsi="仿宋" w:eastAsia="仿宋"/>
          <w:b/>
          <w:color w:val="000000"/>
          <w:sz w:val="36"/>
        </w:rPr>
        <w:t>招标人：中国重汽集团大同齿轮有限公司</w:t>
      </w:r>
    </w:p>
    <w:p>
      <w:pPr>
        <w:spacing w:line="400" w:lineRule="auto"/>
        <w:jc w:val="center"/>
        <w:rPr>
          <w:rFonts w:ascii="仿宋" w:hAnsi="仿宋" w:eastAsia="仿宋"/>
        </w:rPr>
      </w:pPr>
      <w:r>
        <w:rPr>
          <w:rFonts w:hint="eastAsia" w:ascii="仿宋" w:hAnsi="仿宋" w:eastAsia="仿宋"/>
          <w:b/>
          <w:color w:val="000000"/>
          <w:sz w:val="36"/>
        </w:rPr>
        <w:t>202</w:t>
      </w:r>
      <w:r>
        <w:rPr>
          <w:rFonts w:ascii="仿宋" w:hAnsi="仿宋" w:eastAsia="仿宋"/>
          <w:b/>
          <w:color w:val="000000"/>
          <w:sz w:val="36"/>
        </w:rPr>
        <w:t>5</w:t>
      </w:r>
      <w:r>
        <w:rPr>
          <w:rFonts w:hint="eastAsia" w:ascii="仿宋" w:hAnsi="仿宋" w:eastAsia="仿宋"/>
          <w:b/>
          <w:color w:val="000000"/>
          <w:sz w:val="36"/>
        </w:rPr>
        <w:t>年</w:t>
      </w:r>
      <w:r>
        <w:rPr>
          <w:rFonts w:ascii="仿宋" w:hAnsi="仿宋" w:eastAsia="仿宋"/>
          <w:b/>
          <w:color w:val="000000"/>
          <w:sz w:val="36"/>
        </w:rPr>
        <w:t>4</w:t>
      </w:r>
      <w:r>
        <w:rPr>
          <w:rFonts w:hint="eastAsia" w:ascii="仿宋" w:hAnsi="仿宋" w:eastAsia="仿宋"/>
          <w:b/>
          <w:color w:val="000000"/>
          <w:sz w:val="36"/>
        </w:rPr>
        <w:t>月</w:t>
      </w:r>
    </w:p>
    <w:p>
      <w:pPr>
        <w:sectPr>
          <w:pgSz w:w="11906" w:h="16838"/>
          <w:pgMar w:top="1440" w:right="1800" w:bottom="1440" w:left="1800" w:header="851" w:footer="992" w:gutter="0"/>
          <w:cols w:space="425" w:num="1"/>
          <w:docGrid w:type="lines" w:linePitch="312" w:charSpace="0"/>
        </w:sectPr>
      </w:pPr>
    </w:p>
    <w:sdt>
      <w:sdtPr>
        <w:rPr>
          <w:rFonts w:ascii="宋体" w:hAnsi="宋体"/>
        </w:rPr>
        <w:id w:val="147475676"/>
        <w15:color w:val="DBDBDB"/>
        <w:docPartObj>
          <w:docPartGallery w:val="Table of Contents"/>
          <w:docPartUnique/>
        </w:docPartObj>
      </w:sdtPr>
      <w:sdtEndPr>
        <w:rPr>
          <w:rFonts w:ascii="宋体" w:hAnsi="宋体"/>
        </w:rPr>
      </w:sdtEndPr>
      <w:sdtContent>
        <w:p>
          <w:pPr>
            <w:jc w:val="center"/>
            <w:rPr>
              <w:rFonts w:ascii="宋体" w:hAnsi="宋体"/>
              <w:sz w:val="48"/>
              <w:szCs w:val="48"/>
            </w:rPr>
          </w:pPr>
          <w:r>
            <w:rPr>
              <w:rFonts w:ascii="宋体" w:hAnsi="宋体"/>
              <w:sz w:val="48"/>
              <w:szCs w:val="48"/>
            </w:rPr>
            <w:t>目录</w:t>
          </w:r>
        </w:p>
        <w:p>
          <w:pPr>
            <w:pStyle w:val="8"/>
            <w:ind w:firstLine="960"/>
            <w:rPr>
              <w:rFonts w:hAnsi="宋体"/>
              <w:sz w:val="48"/>
              <w:szCs w:val="48"/>
            </w:rPr>
          </w:pPr>
        </w:p>
        <w:p>
          <w:pPr>
            <w:pStyle w:val="8"/>
            <w:ind w:firstLine="960"/>
            <w:rPr>
              <w:rFonts w:hAnsi="宋体"/>
              <w:sz w:val="48"/>
              <w:szCs w:val="48"/>
            </w:rPr>
          </w:pPr>
        </w:p>
        <w:p>
          <w:pPr>
            <w:pStyle w:val="8"/>
            <w:ind w:firstLine="440"/>
          </w:pPr>
        </w:p>
        <w:p>
          <w:pPr>
            <w:pStyle w:val="25"/>
            <w:tabs>
              <w:tab w:val="right" w:leader="dot" w:pos="8306"/>
            </w:tabs>
            <w:rPr>
              <w:rFonts w:ascii="宋体" w:hAnsi="宋体" w:cs="宋体"/>
              <w:sz w:val="28"/>
              <w:szCs w:val="28"/>
            </w:rPr>
          </w:pPr>
          <w:r>
            <w:fldChar w:fldCharType="begin"/>
          </w:r>
          <w:r>
            <w:instrText xml:space="preserve">TOC \o "1-1" \h \u </w:instrText>
          </w:r>
          <w:r>
            <w:fldChar w:fldCharType="separate"/>
          </w:r>
          <w:r>
            <w:fldChar w:fldCharType="begin"/>
          </w:r>
          <w:r>
            <w:instrText xml:space="preserve"> HYPERLINK \l "_Toc32071" </w:instrText>
          </w:r>
          <w:r>
            <w:fldChar w:fldCharType="separate"/>
          </w:r>
          <w:r>
            <w:rPr>
              <w:rFonts w:hint="eastAsia" w:ascii="宋体" w:hAnsi="宋体" w:cs="宋体"/>
              <w:bCs/>
              <w:sz w:val="28"/>
              <w:szCs w:val="28"/>
              <w:shd w:val="clear" w:color="auto" w:fill="FFFFFF"/>
            </w:rPr>
            <w:t>第一章  招标公告</w:t>
          </w:r>
          <w:r>
            <w:rPr>
              <w:rFonts w:hint="eastAsia" w:ascii="宋体" w:hAnsi="宋体" w:cs="宋体"/>
              <w:sz w:val="28"/>
              <w:szCs w:val="28"/>
            </w:rPr>
            <w:tab/>
          </w:r>
          <w:r>
            <w:rPr>
              <w:rFonts w:hint="eastAsia" w:ascii="宋体" w:hAnsi="宋体" w:cs="宋体"/>
              <w:sz w:val="28"/>
              <w:szCs w:val="28"/>
            </w:rPr>
            <w:t>1</w:t>
          </w:r>
          <w:r>
            <w:rPr>
              <w:rFonts w:hint="eastAsia" w:ascii="宋体" w:hAnsi="宋体" w:cs="宋体"/>
              <w:sz w:val="28"/>
              <w:szCs w:val="28"/>
            </w:rPr>
            <w:fldChar w:fldCharType="end"/>
          </w:r>
        </w:p>
        <w:p>
          <w:pPr>
            <w:pStyle w:val="25"/>
            <w:tabs>
              <w:tab w:val="right" w:leader="dot" w:pos="8306"/>
            </w:tabs>
            <w:rPr>
              <w:rFonts w:ascii="宋体" w:hAnsi="宋体" w:cs="宋体"/>
              <w:sz w:val="28"/>
              <w:szCs w:val="28"/>
            </w:rPr>
          </w:pPr>
        </w:p>
        <w:p>
          <w:pPr>
            <w:pStyle w:val="25"/>
            <w:tabs>
              <w:tab w:val="right" w:leader="dot" w:pos="8306"/>
            </w:tabs>
            <w:rPr>
              <w:rFonts w:ascii="宋体" w:hAnsi="宋体" w:cs="宋体"/>
              <w:sz w:val="28"/>
              <w:szCs w:val="28"/>
            </w:rPr>
          </w:pPr>
          <w:r>
            <w:fldChar w:fldCharType="begin"/>
          </w:r>
          <w:r>
            <w:instrText xml:space="preserve"> HYPERLINK \l "_Toc30181" </w:instrText>
          </w:r>
          <w:r>
            <w:fldChar w:fldCharType="separate"/>
          </w:r>
          <w:r>
            <w:rPr>
              <w:rFonts w:hint="eastAsia" w:ascii="宋体" w:hAnsi="宋体" w:cs="宋体"/>
              <w:bCs/>
              <w:sz w:val="28"/>
              <w:szCs w:val="28"/>
            </w:rPr>
            <w:t>第二章  投标人须知</w:t>
          </w:r>
          <w:r>
            <w:rPr>
              <w:rFonts w:hint="eastAsia" w:ascii="宋体" w:hAnsi="宋体" w:cs="宋体"/>
              <w:sz w:val="28"/>
              <w:szCs w:val="28"/>
            </w:rPr>
            <w:tab/>
          </w:r>
          <w:r>
            <w:rPr>
              <w:rFonts w:hint="eastAsia" w:ascii="宋体" w:hAnsi="宋体" w:cs="宋体"/>
              <w:sz w:val="28"/>
              <w:szCs w:val="28"/>
            </w:rPr>
            <w:t>7</w:t>
          </w:r>
          <w:r>
            <w:rPr>
              <w:rFonts w:hint="eastAsia" w:ascii="宋体" w:hAnsi="宋体" w:cs="宋体"/>
              <w:sz w:val="28"/>
              <w:szCs w:val="28"/>
            </w:rPr>
            <w:fldChar w:fldCharType="end"/>
          </w:r>
        </w:p>
        <w:p>
          <w:pPr>
            <w:pStyle w:val="25"/>
            <w:tabs>
              <w:tab w:val="right" w:leader="dot" w:pos="8306"/>
            </w:tabs>
            <w:rPr>
              <w:rFonts w:ascii="宋体" w:hAnsi="宋体" w:cs="宋体"/>
              <w:sz w:val="28"/>
              <w:szCs w:val="28"/>
            </w:rPr>
          </w:pPr>
        </w:p>
        <w:p>
          <w:pPr>
            <w:pStyle w:val="25"/>
            <w:tabs>
              <w:tab w:val="right" w:leader="dot" w:pos="8306"/>
            </w:tabs>
            <w:rPr>
              <w:rFonts w:ascii="宋体" w:hAnsi="宋体" w:cs="宋体"/>
              <w:sz w:val="28"/>
              <w:szCs w:val="28"/>
            </w:rPr>
          </w:pPr>
          <w:r>
            <w:fldChar w:fldCharType="begin"/>
          </w:r>
          <w:r>
            <w:instrText xml:space="preserve"> HYPERLINK \l "_Toc7465" </w:instrText>
          </w:r>
          <w:r>
            <w:fldChar w:fldCharType="separate"/>
          </w:r>
          <w:r>
            <w:rPr>
              <w:rFonts w:hint="eastAsia" w:ascii="宋体" w:hAnsi="宋体" w:cs="宋体"/>
              <w:bCs/>
              <w:sz w:val="28"/>
              <w:szCs w:val="28"/>
            </w:rPr>
            <w:t>第三章  投标文件编制</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_Toc7465 \h </w:instrText>
          </w:r>
          <w:r>
            <w:rPr>
              <w:rFonts w:hint="eastAsia" w:ascii="宋体" w:hAnsi="宋体" w:cs="宋体"/>
              <w:sz w:val="28"/>
              <w:szCs w:val="28"/>
            </w:rPr>
            <w:fldChar w:fldCharType="separate"/>
          </w:r>
          <w:r>
            <w:rPr>
              <w:rFonts w:hint="eastAsia" w:ascii="宋体" w:hAnsi="宋体" w:cs="宋体"/>
              <w:sz w:val="28"/>
              <w:szCs w:val="28"/>
            </w:rPr>
            <w:t>11</w:t>
          </w:r>
          <w:r>
            <w:rPr>
              <w:rFonts w:hint="eastAsia" w:ascii="宋体" w:hAnsi="宋体" w:cs="宋体"/>
              <w:sz w:val="28"/>
              <w:szCs w:val="28"/>
            </w:rPr>
            <w:fldChar w:fldCharType="end"/>
          </w:r>
          <w:r>
            <w:rPr>
              <w:rFonts w:hint="eastAsia" w:ascii="宋体" w:hAnsi="宋体" w:cs="宋体"/>
              <w:sz w:val="28"/>
              <w:szCs w:val="28"/>
            </w:rPr>
            <w:fldChar w:fldCharType="end"/>
          </w:r>
        </w:p>
        <w:p>
          <w:pPr>
            <w:pStyle w:val="25"/>
            <w:tabs>
              <w:tab w:val="right" w:leader="dot" w:pos="8306"/>
            </w:tabs>
            <w:rPr>
              <w:rFonts w:ascii="宋体" w:hAnsi="宋体" w:cs="宋体"/>
              <w:sz w:val="28"/>
              <w:szCs w:val="28"/>
            </w:rPr>
          </w:pPr>
        </w:p>
        <w:p>
          <w:pPr>
            <w:pStyle w:val="25"/>
            <w:tabs>
              <w:tab w:val="right" w:leader="dot" w:pos="8306"/>
            </w:tabs>
            <w:rPr>
              <w:rFonts w:ascii="宋体" w:hAnsi="宋体" w:cs="宋体"/>
              <w:sz w:val="28"/>
              <w:szCs w:val="28"/>
            </w:rPr>
          </w:pPr>
          <w:r>
            <w:fldChar w:fldCharType="begin"/>
          </w:r>
          <w:r>
            <w:instrText xml:space="preserve"> HYPERLINK \l "_Toc14904" </w:instrText>
          </w:r>
          <w:r>
            <w:fldChar w:fldCharType="separate"/>
          </w:r>
          <w:r>
            <w:rPr>
              <w:rFonts w:hint="eastAsia" w:ascii="宋体" w:hAnsi="宋体" w:cs="宋体"/>
              <w:bCs/>
              <w:sz w:val="28"/>
              <w:szCs w:val="28"/>
              <w:lang w:bidi="ar"/>
            </w:rPr>
            <w:t>第四章  技术要求</w:t>
          </w:r>
          <w:r>
            <w:rPr>
              <w:rFonts w:hint="eastAsia" w:ascii="宋体" w:hAnsi="宋体" w:cs="宋体"/>
              <w:sz w:val="28"/>
              <w:szCs w:val="28"/>
            </w:rPr>
            <w:tab/>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9</w:t>
          </w:r>
        </w:p>
        <w:p>
          <w:pPr>
            <w:pStyle w:val="25"/>
            <w:tabs>
              <w:tab w:val="right" w:leader="dot" w:pos="8306"/>
            </w:tabs>
            <w:rPr>
              <w:rFonts w:ascii="宋体" w:hAnsi="宋体" w:cs="宋体"/>
              <w:sz w:val="28"/>
              <w:szCs w:val="28"/>
            </w:rPr>
          </w:pPr>
        </w:p>
        <w:p>
          <w:pPr>
            <w:pStyle w:val="25"/>
            <w:tabs>
              <w:tab w:val="right" w:leader="dot" w:pos="8306"/>
            </w:tabs>
          </w:pPr>
          <w:r>
            <w:fldChar w:fldCharType="begin"/>
          </w:r>
          <w:r>
            <w:instrText xml:space="preserve"> HYPERLINK \l "_Toc6117" </w:instrText>
          </w:r>
          <w:r>
            <w:fldChar w:fldCharType="separate"/>
          </w:r>
          <w:r>
            <w:rPr>
              <w:rFonts w:hint="eastAsia" w:ascii="宋体" w:hAnsi="宋体" w:cs="宋体"/>
              <w:sz w:val="28"/>
              <w:szCs w:val="28"/>
            </w:rPr>
            <w:t>第五章  合同主要内容</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_Toc6117 \h </w:instrText>
          </w:r>
          <w:r>
            <w:rPr>
              <w:rFonts w:hint="eastAsia" w:ascii="宋体" w:hAnsi="宋体" w:cs="宋体"/>
              <w:sz w:val="28"/>
              <w:szCs w:val="28"/>
            </w:rPr>
            <w:fldChar w:fldCharType="separate"/>
          </w:r>
          <w:r>
            <w:rPr>
              <w:rFonts w:hint="eastAsia" w:ascii="宋体" w:hAnsi="宋体" w:cs="宋体"/>
              <w:sz w:val="28"/>
              <w:szCs w:val="28"/>
            </w:rPr>
            <w:t>24</w:t>
          </w:r>
          <w:r>
            <w:rPr>
              <w:rFonts w:hint="eastAsia" w:ascii="宋体" w:hAnsi="宋体" w:cs="宋体"/>
              <w:sz w:val="28"/>
              <w:szCs w:val="28"/>
            </w:rPr>
            <w:fldChar w:fldCharType="end"/>
          </w:r>
          <w:r>
            <w:rPr>
              <w:rFonts w:hint="eastAsia" w:ascii="宋体" w:hAnsi="宋体" w:cs="宋体"/>
              <w:sz w:val="28"/>
              <w:szCs w:val="28"/>
            </w:rPr>
            <w:fldChar w:fldCharType="end"/>
          </w:r>
        </w:p>
        <w:p>
          <w:pPr>
            <w:pStyle w:val="25"/>
            <w:tabs>
              <w:tab w:val="right" w:leader="dot" w:pos="8306"/>
            </w:tabs>
          </w:pPr>
          <w:r>
            <w:fldChar w:fldCharType="begin"/>
          </w:r>
          <w:r>
            <w:instrText xml:space="preserve"> HYPERLINK \l "_Toc22529" </w:instrText>
          </w:r>
          <w:r>
            <w:fldChar w:fldCharType="separate"/>
          </w:r>
          <w:r>
            <w:fldChar w:fldCharType="end"/>
          </w:r>
        </w:p>
        <w:p>
          <w:pPr>
            <w:rPr>
              <w:rFonts w:ascii="宋体" w:hAnsi="宋体"/>
            </w:rPr>
          </w:pPr>
          <w:r>
            <w:fldChar w:fldCharType="end"/>
          </w:r>
        </w:p>
      </w:sdtContent>
    </w:sdt>
    <w:p>
      <w:pPr>
        <w:pStyle w:val="2"/>
        <w:ind w:left="0" w:leftChars="0" w:firstLine="0" w:firstLineChars="0"/>
        <w:jc w:val="center"/>
        <w:rPr>
          <w:rFonts w:ascii="黑体" w:hAnsi="黑体" w:eastAsia="黑体" w:cs="黑体"/>
          <w:sz w:val="44"/>
          <w:szCs w:val="44"/>
          <w:lang w:eastAsia="zh-CN"/>
        </w:rPr>
      </w:pPr>
    </w:p>
    <w:p>
      <w:pPr>
        <w:pStyle w:val="2"/>
        <w:ind w:left="0" w:leftChars="0" w:firstLine="0" w:firstLineChars="0"/>
        <w:jc w:val="center"/>
        <w:rPr>
          <w:rFonts w:ascii="黑体" w:hAnsi="黑体" w:eastAsia="黑体" w:cs="黑体"/>
          <w:sz w:val="44"/>
          <w:szCs w:val="44"/>
          <w:lang w:eastAsia="zh-CN"/>
        </w:rPr>
      </w:pPr>
    </w:p>
    <w:p>
      <w:pPr>
        <w:pStyle w:val="2"/>
        <w:ind w:left="0" w:leftChars="0" w:firstLine="0" w:firstLineChars="0"/>
        <w:jc w:val="center"/>
        <w:rPr>
          <w:rFonts w:ascii="黑体" w:hAnsi="黑体" w:eastAsia="黑体" w:cs="黑体"/>
          <w:sz w:val="44"/>
          <w:szCs w:val="44"/>
          <w:lang w:eastAsia="zh-CN"/>
        </w:rPr>
      </w:pPr>
    </w:p>
    <w:p>
      <w:pPr>
        <w:pStyle w:val="2"/>
        <w:ind w:left="0" w:leftChars="0" w:firstLine="0" w:firstLineChars="0"/>
        <w:jc w:val="center"/>
        <w:rPr>
          <w:rFonts w:ascii="黑体" w:hAnsi="黑体" w:eastAsia="黑体" w:cs="黑体"/>
          <w:sz w:val="44"/>
          <w:szCs w:val="44"/>
          <w:lang w:eastAsia="zh-CN"/>
        </w:rPr>
      </w:pPr>
    </w:p>
    <w:p>
      <w:pPr>
        <w:pStyle w:val="2"/>
        <w:ind w:left="0" w:leftChars="0" w:firstLine="0" w:firstLineChars="0"/>
        <w:jc w:val="center"/>
        <w:rPr>
          <w:rFonts w:ascii="黑体" w:hAnsi="黑体" w:eastAsia="黑体" w:cs="黑体"/>
          <w:sz w:val="44"/>
          <w:szCs w:val="44"/>
          <w:lang w:eastAsia="zh-CN"/>
        </w:rPr>
      </w:pPr>
    </w:p>
    <w:p>
      <w:pPr>
        <w:pStyle w:val="2"/>
        <w:ind w:left="0" w:leftChars="0" w:firstLine="0" w:firstLineChars="0"/>
        <w:jc w:val="center"/>
        <w:rPr>
          <w:rFonts w:ascii="黑体" w:hAnsi="黑体" w:eastAsia="黑体" w:cs="黑体"/>
          <w:sz w:val="44"/>
          <w:szCs w:val="44"/>
          <w:lang w:eastAsia="zh-CN"/>
        </w:rPr>
      </w:pPr>
    </w:p>
    <w:p>
      <w:pPr>
        <w:pStyle w:val="2"/>
        <w:ind w:left="0" w:leftChars="0" w:firstLine="0" w:firstLineChars="0"/>
        <w:rPr>
          <w:rFonts w:ascii="黑体" w:hAnsi="黑体" w:eastAsia="黑体" w:cs="黑体"/>
          <w:sz w:val="44"/>
          <w:szCs w:val="44"/>
          <w:lang w:eastAsia="zh-CN"/>
        </w:rPr>
      </w:pPr>
    </w:p>
    <w:p>
      <w:pPr>
        <w:pStyle w:val="2"/>
        <w:ind w:left="0" w:leftChars="0" w:firstLine="0" w:firstLineChars="0"/>
        <w:rPr>
          <w:rFonts w:ascii="黑体" w:hAnsi="黑体" w:eastAsia="黑体" w:cs="黑体"/>
          <w:sz w:val="44"/>
          <w:szCs w:val="44"/>
          <w:lang w:eastAsia="zh-CN"/>
        </w:rPr>
      </w:pPr>
    </w:p>
    <w:p>
      <w:pPr>
        <w:spacing w:line="360" w:lineRule="auto"/>
        <w:ind w:firstLine="281" w:firstLineChars="100"/>
        <w:jc w:val="left"/>
        <w:rPr>
          <w:rFonts w:ascii="宋体" w:hAnsi="宋体" w:cs="宋体"/>
          <w:b/>
          <w:kern w:val="0"/>
          <w:sz w:val="28"/>
          <w:szCs w:val="28"/>
        </w:rPr>
      </w:pPr>
    </w:p>
    <w:p>
      <w:pPr>
        <w:spacing w:line="360" w:lineRule="auto"/>
        <w:ind w:firstLine="3092" w:firstLineChars="1100"/>
        <w:jc w:val="left"/>
        <w:rPr>
          <w:rFonts w:ascii="宋体" w:hAnsi="宋体" w:cs="宋体"/>
          <w:b/>
          <w:kern w:val="0"/>
          <w:sz w:val="28"/>
          <w:szCs w:val="28"/>
        </w:rPr>
      </w:pPr>
      <w:r>
        <w:rPr>
          <w:rFonts w:hint="eastAsia" w:ascii="宋体" w:hAnsi="宋体" w:cs="宋体"/>
          <w:b/>
          <w:kern w:val="0"/>
          <w:sz w:val="28"/>
          <w:szCs w:val="28"/>
        </w:rPr>
        <w:t>第一章   招标公告</w:t>
      </w:r>
    </w:p>
    <w:p>
      <w:pPr>
        <w:spacing w:line="360" w:lineRule="auto"/>
        <w:ind w:firstLine="281" w:firstLineChars="100"/>
        <w:jc w:val="left"/>
        <w:rPr>
          <w:rFonts w:ascii="宋体" w:hAnsi="宋体" w:cs="宋体"/>
          <w:b/>
          <w:kern w:val="0"/>
          <w:sz w:val="28"/>
          <w:szCs w:val="28"/>
        </w:rPr>
      </w:pPr>
      <w:r>
        <w:rPr>
          <w:rFonts w:hint="eastAsia" w:ascii="宋体" w:hAnsi="宋体" w:cs="宋体"/>
          <w:b/>
          <w:kern w:val="0"/>
          <w:sz w:val="28"/>
          <w:szCs w:val="28"/>
        </w:rPr>
        <w:t>一、项目名称</w:t>
      </w:r>
    </w:p>
    <w:p>
      <w:pPr>
        <w:pStyle w:val="8"/>
        <w:snapToGrid w:val="0"/>
        <w:spacing w:line="360" w:lineRule="auto"/>
        <w:ind w:firstLine="480" w:firstLineChars="200"/>
        <w:rPr>
          <w:rFonts w:hAnsi="宋体" w:cs="宋体"/>
          <w:sz w:val="24"/>
        </w:rPr>
      </w:pPr>
      <w:r>
        <w:rPr>
          <w:rFonts w:hint="eastAsia" w:hAnsi="宋体" w:cs="宋体"/>
          <w:sz w:val="24"/>
        </w:rPr>
        <w:t>项目名称：中国重汽集团大同齿轮有限公司安全实训基地项目</w:t>
      </w:r>
    </w:p>
    <w:p>
      <w:pPr>
        <w:pStyle w:val="8"/>
        <w:snapToGrid w:val="0"/>
        <w:spacing w:line="360" w:lineRule="auto"/>
        <w:ind w:firstLine="480" w:firstLineChars="200"/>
        <w:rPr>
          <w:rFonts w:hAnsi="宋体" w:cs="宋体"/>
          <w:sz w:val="24"/>
        </w:rPr>
      </w:pPr>
      <w:r>
        <w:rPr>
          <w:rFonts w:hint="eastAsia" w:hAnsi="宋体" w:cs="宋体"/>
          <w:sz w:val="24"/>
        </w:rPr>
        <w:t xml:space="preserve">项目编号：       </w:t>
      </w:r>
    </w:p>
    <w:p>
      <w:pPr>
        <w:pStyle w:val="8"/>
        <w:snapToGrid w:val="0"/>
        <w:spacing w:line="360" w:lineRule="auto"/>
        <w:ind w:firstLine="480" w:firstLineChars="200"/>
        <w:rPr>
          <w:rFonts w:hAnsi="宋体" w:cs="宋体"/>
          <w:sz w:val="24"/>
        </w:rPr>
      </w:pPr>
      <w:r>
        <w:rPr>
          <w:rFonts w:hint="eastAsia" w:hAnsi="宋体" w:cs="宋体"/>
          <w:sz w:val="24"/>
        </w:rPr>
        <w:t>招标形式：公开招标</w:t>
      </w:r>
    </w:p>
    <w:p>
      <w:pPr>
        <w:pStyle w:val="8"/>
        <w:snapToGrid w:val="0"/>
        <w:spacing w:line="360" w:lineRule="auto"/>
        <w:ind w:firstLine="480" w:firstLineChars="200"/>
        <w:rPr>
          <w:rFonts w:hAnsi="宋体" w:cs="宋体"/>
          <w:sz w:val="24"/>
        </w:rPr>
      </w:pPr>
      <w:r>
        <w:rPr>
          <w:rFonts w:hint="eastAsia" w:hAnsi="宋体" w:cs="宋体"/>
          <w:sz w:val="24"/>
        </w:rPr>
        <w:t>编制单位：中国重汽集团大同齿轮有限公司安全环保部</w:t>
      </w:r>
    </w:p>
    <w:p>
      <w:pPr>
        <w:spacing w:line="360" w:lineRule="auto"/>
        <w:ind w:firstLine="281" w:firstLineChars="100"/>
        <w:jc w:val="left"/>
        <w:rPr>
          <w:rFonts w:ascii="宋体" w:hAnsi="宋体" w:cs="宋体"/>
          <w:b/>
          <w:kern w:val="0"/>
          <w:sz w:val="28"/>
          <w:szCs w:val="28"/>
        </w:rPr>
      </w:pPr>
      <w:r>
        <w:rPr>
          <w:rFonts w:hint="eastAsia" w:ascii="宋体" w:hAnsi="宋体" w:cs="宋体"/>
          <w:b/>
          <w:kern w:val="0"/>
          <w:sz w:val="28"/>
          <w:szCs w:val="28"/>
        </w:rPr>
        <w:t>二、招标内容</w:t>
      </w:r>
    </w:p>
    <w:p>
      <w:pPr>
        <w:pStyle w:val="8"/>
        <w:snapToGrid w:val="0"/>
        <w:spacing w:line="360" w:lineRule="auto"/>
        <w:ind w:firstLine="480" w:firstLineChars="200"/>
        <w:rPr>
          <w:rFonts w:hAnsi="宋体" w:cs="宋体"/>
          <w:sz w:val="24"/>
        </w:rPr>
      </w:pPr>
      <w:r>
        <w:rPr>
          <w:rFonts w:hint="eastAsia" w:hAnsi="宋体" w:cs="宋体"/>
          <w:sz w:val="24"/>
        </w:rPr>
        <w:t>建设安全实训基地，建设位置为大齿公司联一厂房L1103房间。占地面积：占地</w:t>
      </w:r>
      <w:r>
        <w:rPr>
          <w:rFonts w:hAnsi="宋体" w:cs="宋体"/>
          <w:sz w:val="24"/>
        </w:rPr>
        <w:t>60</w:t>
      </w:r>
      <w:r>
        <w:rPr>
          <w:rFonts w:hint="eastAsia" w:hAnsi="宋体" w:cs="宋体"/>
          <w:sz w:val="24"/>
        </w:rPr>
        <w:t>㎡（</w:t>
      </w:r>
      <w:r>
        <w:rPr>
          <w:rFonts w:hAnsi="宋体" w:cs="宋体"/>
          <w:sz w:val="24"/>
        </w:rPr>
        <w:t>7.7</w:t>
      </w:r>
      <w:r>
        <w:rPr>
          <w:rFonts w:hint="eastAsia" w:hAnsi="宋体" w:cs="宋体"/>
          <w:sz w:val="24"/>
        </w:rPr>
        <w:t>米*</w:t>
      </w:r>
      <w:r>
        <w:rPr>
          <w:rFonts w:hAnsi="宋体" w:cs="宋体"/>
          <w:sz w:val="24"/>
        </w:rPr>
        <w:t>7.8</w:t>
      </w:r>
      <w:r>
        <w:rPr>
          <w:rFonts w:hint="eastAsia" w:hAnsi="宋体" w:cs="宋体"/>
          <w:sz w:val="24"/>
        </w:rPr>
        <w:t>米）；</w:t>
      </w:r>
    </w:p>
    <w:p>
      <w:pPr>
        <w:pStyle w:val="8"/>
        <w:snapToGrid w:val="0"/>
        <w:spacing w:line="360" w:lineRule="auto"/>
        <w:ind w:firstLine="480" w:firstLineChars="200"/>
        <w:rPr>
          <w:rFonts w:hAnsi="宋体" w:cs="宋体"/>
          <w:sz w:val="24"/>
        </w:rPr>
      </w:pPr>
      <w:r>
        <w:rPr>
          <w:rFonts w:hint="eastAsia" w:hAnsi="宋体" w:cs="宋体"/>
          <w:sz w:val="24"/>
        </w:rPr>
        <w:t>2.1 室内装修布展</w:t>
      </w:r>
    </w:p>
    <w:p>
      <w:pPr>
        <w:pStyle w:val="8"/>
        <w:snapToGrid w:val="0"/>
        <w:spacing w:line="360" w:lineRule="auto"/>
        <w:ind w:firstLine="480" w:firstLineChars="200"/>
        <w:rPr>
          <w:rFonts w:hAnsi="宋体" w:cs="宋体"/>
          <w:sz w:val="24"/>
        </w:rPr>
      </w:pPr>
      <w:r>
        <w:rPr>
          <w:rFonts w:hint="eastAsia" w:hAnsi="宋体" w:cs="宋体"/>
          <w:sz w:val="24"/>
        </w:rPr>
        <w:t>安全实训基地按照需要安装的安全体验培训装置进行相应主题设计和装修，确保室内装修风格与安全体验培训项目内容对应，提高沉浸式安全体验培训效果。</w:t>
      </w:r>
    </w:p>
    <w:p>
      <w:pPr>
        <w:pStyle w:val="8"/>
        <w:snapToGrid w:val="0"/>
        <w:spacing w:line="360" w:lineRule="auto"/>
        <w:ind w:firstLine="480" w:firstLineChars="200"/>
        <w:rPr>
          <w:rFonts w:hAnsi="宋体" w:cs="宋体"/>
          <w:sz w:val="24"/>
        </w:rPr>
      </w:pPr>
      <w:r>
        <w:rPr>
          <w:rFonts w:hint="eastAsia" w:hAnsi="宋体" w:cs="宋体"/>
          <w:sz w:val="24"/>
        </w:rPr>
        <w:t>2.</w:t>
      </w:r>
      <w:r>
        <w:rPr>
          <w:rFonts w:hAnsi="宋体" w:cs="宋体"/>
          <w:sz w:val="24"/>
        </w:rPr>
        <w:t>2</w:t>
      </w:r>
      <w:r>
        <w:rPr>
          <w:rFonts w:hint="eastAsia" w:hAnsi="宋体" w:cs="宋体"/>
          <w:sz w:val="24"/>
        </w:rPr>
        <w:t xml:space="preserve"> </w:t>
      </w:r>
      <w:r>
        <w:rPr>
          <w:rFonts w:hAnsi="宋体" w:cs="宋体"/>
          <w:sz w:val="24"/>
        </w:rPr>
        <w:t>VR</w:t>
      </w:r>
      <w:r>
        <w:rPr>
          <w:rFonts w:hint="eastAsia" w:hAnsi="宋体" w:cs="宋体"/>
          <w:sz w:val="24"/>
        </w:rPr>
        <w:t>蛋仓安全体验系统</w:t>
      </w:r>
    </w:p>
    <w:p>
      <w:pPr>
        <w:pStyle w:val="8"/>
        <w:snapToGrid w:val="0"/>
        <w:spacing w:line="360" w:lineRule="auto"/>
        <w:ind w:firstLine="480" w:firstLineChars="200"/>
        <w:rPr>
          <w:rFonts w:hAnsi="宋体" w:cs="宋体"/>
          <w:sz w:val="24"/>
        </w:rPr>
      </w:pPr>
      <w:r>
        <w:rPr>
          <w:rFonts w:hint="eastAsia" w:hAnsi="宋体" w:cs="宋体"/>
          <w:sz w:val="24"/>
        </w:rPr>
        <w:t>体验者坐在双人VR蛋仓里面，戴上VR眼镜、耳机即可体验多项安全教育内容，如叉车倒车碾压、走路玩手机事故、高空坠落等，运动平台可配合着内容进行上下左右的运动，结合虚拟现实（VR）技术沉浸式体验。</w:t>
      </w:r>
    </w:p>
    <w:p>
      <w:pPr>
        <w:pStyle w:val="8"/>
        <w:snapToGrid w:val="0"/>
        <w:spacing w:line="360" w:lineRule="auto"/>
        <w:ind w:firstLine="480" w:firstLineChars="200"/>
        <w:rPr>
          <w:rFonts w:hAnsi="宋体" w:cs="宋体"/>
          <w:sz w:val="24"/>
        </w:rPr>
      </w:pPr>
      <w:r>
        <w:rPr>
          <w:rFonts w:hint="eastAsia" w:hAnsi="宋体" w:cs="宋体"/>
          <w:sz w:val="24"/>
        </w:rPr>
        <w:t>2.</w:t>
      </w:r>
      <w:r>
        <w:rPr>
          <w:rFonts w:hAnsi="宋体" w:cs="宋体"/>
          <w:sz w:val="24"/>
        </w:rPr>
        <w:t>3</w:t>
      </w:r>
      <w:r>
        <w:rPr>
          <w:rFonts w:hint="eastAsia" w:hAnsi="宋体" w:cs="宋体"/>
          <w:sz w:val="24"/>
        </w:rPr>
        <w:t>机械伤害高速卷入</w:t>
      </w:r>
    </w:p>
    <w:p>
      <w:pPr>
        <w:pStyle w:val="8"/>
        <w:snapToGrid w:val="0"/>
        <w:spacing w:line="360" w:lineRule="auto"/>
        <w:ind w:firstLine="480" w:firstLineChars="200"/>
        <w:rPr>
          <w:rFonts w:hAnsi="宋体" w:cs="宋体"/>
          <w:sz w:val="24"/>
        </w:rPr>
      </w:pPr>
      <w:r>
        <w:rPr>
          <w:rFonts w:hint="eastAsia" w:hAnsi="宋体" w:cs="宋体"/>
          <w:sz w:val="24"/>
        </w:rPr>
        <w:t>高速旋转类设备对人体的伤害非常严重，可模拟高速的设备带来的气流将围巾卷入的现象，学习高速设备作业时不能带围巾等知识点。操作设备，观摩卷入时设备强大的力量，警告一线员工操作设备时一定要注意把衣服、头发（女同事）可以和旋转设备接触的地方进行处理，防止卷入设备中，造成严重伤害。</w:t>
      </w:r>
    </w:p>
    <w:p>
      <w:pPr>
        <w:pStyle w:val="8"/>
        <w:snapToGrid w:val="0"/>
        <w:spacing w:line="360" w:lineRule="auto"/>
        <w:ind w:firstLine="480" w:firstLineChars="200"/>
        <w:rPr>
          <w:rFonts w:hAnsi="宋体" w:cs="宋体"/>
          <w:sz w:val="24"/>
        </w:rPr>
      </w:pPr>
      <w:r>
        <w:rPr>
          <w:rFonts w:hint="eastAsia" w:hAnsi="宋体" w:cs="宋体"/>
          <w:sz w:val="24"/>
        </w:rPr>
        <w:t>2.</w:t>
      </w:r>
      <w:r>
        <w:rPr>
          <w:rFonts w:hAnsi="宋体" w:cs="宋体"/>
          <w:sz w:val="24"/>
        </w:rPr>
        <w:t>4</w:t>
      </w:r>
      <w:r>
        <w:rPr>
          <w:rFonts w:hint="eastAsia" w:hAnsi="宋体" w:cs="宋体"/>
          <w:sz w:val="24"/>
        </w:rPr>
        <w:t>心肺复苏体验</w:t>
      </w:r>
    </w:p>
    <w:p>
      <w:pPr>
        <w:pStyle w:val="8"/>
        <w:snapToGrid w:val="0"/>
        <w:spacing w:line="360" w:lineRule="auto"/>
        <w:ind w:firstLine="480" w:firstLineChars="200"/>
        <w:rPr>
          <w:rFonts w:hAnsi="宋体" w:cs="宋体"/>
          <w:sz w:val="24"/>
        </w:rPr>
      </w:pPr>
      <w:r>
        <w:rPr>
          <w:rFonts w:hint="eastAsia" w:hAnsi="宋体" w:cs="宋体"/>
          <w:sz w:val="24"/>
        </w:rPr>
        <w:t>心肺复苏是抢救心脏骤停患者的关键技能。我们提供全面的心肺复苏体验，包括理论讲解、实操演练和模拟考核。通过这一体验，参与者将掌握正确的心肺复苏技巧，提高在紧急情况下的自救互救能力。</w:t>
      </w:r>
    </w:p>
    <w:p>
      <w:pPr>
        <w:pStyle w:val="8"/>
        <w:snapToGrid w:val="0"/>
        <w:spacing w:line="360" w:lineRule="auto"/>
        <w:ind w:firstLine="480" w:firstLineChars="200"/>
        <w:rPr>
          <w:rFonts w:hAnsi="宋体" w:cs="宋体"/>
          <w:sz w:val="24"/>
        </w:rPr>
      </w:pPr>
      <w:r>
        <w:rPr>
          <w:rFonts w:hint="eastAsia" w:hAnsi="宋体" w:cs="宋体"/>
          <w:sz w:val="24"/>
        </w:rPr>
        <w:t>2.</w:t>
      </w:r>
      <w:r>
        <w:rPr>
          <w:rFonts w:hAnsi="宋体" w:cs="宋体"/>
          <w:sz w:val="24"/>
        </w:rPr>
        <w:t>5</w:t>
      </w:r>
      <w:r>
        <w:rPr>
          <w:rFonts w:hint="eastAsia" w:hAnsi="宋体" w:cs="宋体"/>
          <w:sz w:val="24"/>
        </w:rPr>
        <w:t>机械伤害（四合一）体验装置（安全帽撞击&amp;手部挤压&amp;安全鞋冲击</w:t>
      </w:r>
      <w:bookmarkStart w:id="0" w:name="OLE_LINK4"/>
      <w:bookmarkStart w:id="1" w:name="OLE_LINK5"/>
      <w:r>
        <w:rPr>
          <w:rFonts w:hint="eastAsia" w:hAnsi="宋体" w:cs="宋体"/>
          <w:sz w:val="24"/>
        </w:rPr>
        <w:t>&amp;</w:t>
      </w:r>
      <w:bookmarkEnd w:id="0"/>
      <w:bookmarkEnd w:id="1"/>
      <w:r>
        <w:rPr>
          <w:rFonts w:hint="eastAsia" w:hAnsi="宋体" w:cs="宋体"/>
          <w:sz w:val="24"/>
        </w:rPr>
        <w:t>触电体验）</w:t>
      </w:r>
    </w:p>
    <w:p>
      <w:pPr>
        <w:pStyle w:val="8"/>
        <w:snapToGrid w:val="0"/>
        <w:spacing w:line="360" w:lineRule="auto"/>
        <w:ind w:firstLine="480" w:firstLineChars="200"/>
        <w:rPr>
          <w:rFonts w:hAnsi="宋体" w:cs="宋体"/>
          <w:sz w:val="24"/>
        </w:rPr>
      </w:pPr>
      <w:r>
        <w:rPr>
          <w:rFonts w:hint="eastAsia" w:hAnsi="宋体" w:cs="宋体"/>
          <w:sz w:val="24"/>
        </w:rPr>
        <w:t>该系统通过模拟真实工作场景中的安全帽撞击、安全鞋冲击以及辊子夹手、触电等高风险环节，让体验者身临其境地感受潜在机械伤害的威力。安全帽撞击环节，通过专业设备模拟高空坠物对头部的冲击，强调佩戴合格安全帽的必要性；安全鞋冲击则模拟重物压砸脚部的情况，验证安全鞋的保护效果；辊子夹手部分，则通过机械夹手的模拟动作，让体验者深切体会到操作不当可能带来的严重后果；通过模拟触电装置，产生使人有触电感的安全电流，了解电流通过人体的感觉，从而提升体验者的安全用电意识。这一系列体验，旨在从源头上增强员工的安全防护意识，减少机械伤害事故的发生。</w:t>
      </w:r>
    </w:p>
    <w:p>
      <w:pPr>
        <w:pStyle w:val="8"/>
        <w:snapToGrid w:val="0"/>
        <w:spacing w:line="360" w:lineRule="auto"/>
        <w:ind w:firstLine="480" w:firstLineChars="200"/>
        <w:rPr>
          <w:rFonts w:hAnsi="宋体" w:cs="宋体"/>
          <w:sz w:val="24"/>
        </w:rPr>
      </w:pPr>
      <w:r>
        <w:rPr>
          <w:rFonts w:hint="eastAsia" w:hAnsi="宋体" w:cs="宋体"/>
          <w:sz w:val="24"/>
        </w:rPr>
        <w:t>2.</w:t>
      </w:r>
      <w:r>
        <w:rPr>
          <w:rFonts w:hAnsi="宋体" w:cs="宋体"/>
          <w:sz w:val="24"/>
        </w:rPr>
        <w:t>6</w:t>
      </w:r>
      <w:r>
        <w:rPr>
          <w:rFonts w:hint="eastAsia" w:hAnsi="宋体" w:cs="宋体"/>
          <w:sz w:val="24"/>
        </w:rPr>
        <w:t xml:space="preserve"> 有限空间体验项目</w:t>
      </w:r>
    </w:p>
    <w:p>
      <w:pPr>
        <w:pStyle w:val="8"/>
        <w:snapToGrid w:val="0"/>
        <w:spacing w:line="360" w:lineRule="auto"/>
        <w:ind w:firstLine="480" w:firstLineChars="200"/>
        <w:rPr>
          <w:rFonts w:hAnsi="宋体" w:cs="宋体"/>
          <w:sz w:val="24"/>
        </w:rPr>
      </w:pPr>
      <w:r>
        <w:rPr>
          <w:rFonts w:hint="eastAsia" w:hAnsi="宋体" w:cs="宋体"/>
          <w:sz w:val="24"/>
        </w:rPr>
        <w:t>通过在有限空间反应釜中感受到密闭空间作业的风险和恐惧，体验前外部人员准备好报警遥控器、烟雾报警遥控器，体验人员有序进入有限空间内。外部人员使用手中遥控器触发烟雾报警喷烟，模拟有害气体;同时触发报警遥控器，体验人员在听到报警后观察安全出口指示牌有序撤离至出口位置。</w:t>
      </w:r>
    </w:p>
    <w:p>
      <w:pPr>
        <w:pStyle w:val="8"/>
        <w:snapToGrid w:val="0"/>
        <w:spacing w:line="360" w:lineRule="auto"/>
        <w:ind w:firstLine="480" w:firstLineChars="200"/>
        <w:rPr>
          <w:rFonts w:hAnsi="宋体" w:cs="宋体"/>
          <w:sz w:val="24"/>
        </w:rPr>
      </w:pPr>
      <w:r>
        <w:rPr>
          <w:rFonts w:hint="eastAsia" w:hAnsi="宋体" w:cs="宋体"/>
          <w:sz w:val="24"/>
        </w:rPr>
        <w:t>2.7</w:t>
      </w:r>
      <w:r>
        <w:rPr>
          <w:rFonts w:hint="eastAsia"/>
        </w:rPr>
        <w:t xml:space="preserve"> </w:t>
      </w:r>
      <w:r>
        <w:rPr>
          <w:rFonts w:hint="eastAsia" w:hAnsi="宋体" w:cs="宋体"/>
          <w:sz w:val="24"/>
        </w:rPr>
        <w:t>3P柜式空调</w:t>
      </w:r>
    </w:p>
    <w:p>
      <w:pPr>
        <w:pStyle w:val="8"/>
        <w:snapToGrid w:val="0"/>
        <w:spacing w:line="360" w:lineRule="auto"/>
        <w:ind w:firstLine="480" w:firstLineChars="200"/>
        <w:rPr>
          <w:rFonts w:hint="eastAsia" w:hAnsi="宋体" w:cs="宋体"/>
          <w:sz w:val="24"/>
        </w:rPr>
      </w:pPr>
      <w:r>
        <w:rPr>
          <w:rFonts w:hint="eastAsia" w:hAnsi="宋体" w:cs="宋体"/>
          <w:sz w:val="24"/>
        </w:rPr>
        <w:t>包含主辅材采购、运输、安装等全部内容。</w:t>
      </w:r>
    </w:p>
    <w:p>
      <w:pPr>
        <w:pStyle w:val="8"/>
        <w:snapToGrid w:val="0"/>
        <w:spacing w:line="360" w:lineRule="auto"/>
        <w:ind w:firstLine="480" w:firstLineChars="200"/>
        <w:rPr>
          <w:rFonts w:hAnsi="宋体" w:cs="宋体"/>
          <w:sz w:val="24"/>
        </w:rPr>
      </w:pPr>
      <w:r>
        <w:rPr>
          <w:rFonts w:hint="eastAsia" w:hAnsi="宋体" w:cs="宋体"/>
          <w:sz w:val="24"/>
        </w:rPr>
        <w:t>2.</w:t>
      </w:r>
      <w:r>
        <w:rPr>
          <w:rFonts w:hAnsi="宋体" w:cs="宋体"/>
          <w:sz w:val="24"/>
        </w:rPr>
        <w:t xml:space="preserve">8 </w:t>
      </w:r>
      <w:r>
        <w:rPr>
          <w:rFonts w:hint="eastAsia" w:hAnsi="宋体" w:cs="宋体"/>
          <w:sz w:val="24"/>
        </w:rPr>
        <w:t>项目施工期间不得影响公司内部生产秩序。</w:t>
      </w:r>
    </w:p>
    <w:p>
      <w:pPr>
        <w:pStyle w:val="8"/>
        <w:snapToGrid w:val="0"/>
        <w:spacing w:line="360" w:lineRule="auto"/>
        <w:ind w:firstLine="480" w:firstLineChars="200"/>
        <w:rPr>
          <w:rFonts w:hAnsi="宋体" w:cs="宋体"/>
          <w:sz w:val="24"/>
        </w:rPr>
      </w:pPr>
      <w:r>
        <w:rPr>
          <w:rFonts w:hAnsi="宋体" w:cs="宋体"/>
          <w:sz w:val="24"/>
        </w:rPr>
        <w:t xml:space="preserve">2.9 </w:t>
      </w:r>
      <w:r>
        <w:rPr>
          <w:rFonts w:hint="eastAsia" w:hAnsi="宋体" w:cs="宋体"/>
          <w:sz w:val="24"/>
        </w:rPr>
        <w:t>本项目为交钥匙工程，工期</w:t>
      </w:r>
      <w:r>
        <w:rPr>
          <w:rFonts w:hAnsi="宋体" w:cs="宋体"/>
          <w:sz w:val="24"/>
        </w:rPr>
        <w:t>50</w:t>
      </w:r>
      <w:r>
        <w:rPr>
          <w:rFonts w:hint="eastAsia" w:hAnsi="宋体" w:cs="宋体"/>
          <w:sz w:val="24"/>
        </w:rPr>
        <w:t>天，本项目施工应按照现有国家标准和行业标准执行。</w:t>
      </w:r>
    </w:p>
    <w:p>
      <w:pPr>
        <w:pStyle w:val="8"/>
        <w:snapToGrid w:val="0"/>
        <w:spacing w:line="360" w:lineRule="auto"/>
        <w:ind w:firstLine="480" w:firstLineChars="200"/>
        <w:rPr>
          <w:rFonts w:hAnsi="宋体" w:cs="宋体"/>
          <w:sz w:val="24"/>
        </w:rPr>
      </w:pPr>
      <w:r>
        <w:rPr>
          <w:rFonts w:hAnsi="宋体" w:cs="宋体"/>
          <w:sz w:val="24"/>
        </w:rPr>
        <w:t xml:space="preserve">2.10 </w:t>
      </w:r>
      <w:r>
        <w:rPr>
          <w:rFonts w:hint="eastAsia" w:hAnsi="宋体" w:cs="宋体"/>
          <w:sz w:val="24"/>
        </w:rPr>
        <w:t>投标供应商应标前提前勘探施工场地，制定设计、施工方案等。</w:t>
      </w:r>
      <w:bookmarkStart w:id="15" w:name="_GoBack"/>
      <w:bookmarkEnd w:id="15"/>
    </w:p>
    <w:p>
      <w:pPr>
        <w:spacing w:line="360" w:lineRule="auto"/>
        <w:ind w:firstLine="562" w:firstLineChars="200"/>
        <w:jc w:val="left"/>
        <w:rPr>
          <w:rFonts w:ascii="宋体" w:hAnsi="宋体" w:cs="宋体"/>
          <w:b/>
          <w:kern w:val="0"/>
          <w:sz w:val="28"/>
          <w:szCs w:val="28"/>
        </w:rPr>
      </w:pPr>
      <w:r>
        <w:rPr>
          <w:rFonts w:hint="eastAsia" w:ascii="宋体" w:hAnsi="宋体" w:cs="宋体"/>
          <w:b/>
          <w:kern w:val="0"/>
          <w:sz w:val="28"/>
          <w:szCs w:val="28"/>
        </w:rPr>
        <w:t>三、投标单位资格要求</w:t>
      </w:r>
    </w:p>
    <w:p>
      <w:pPr>
        <w:pStyle w:val="8"/>
        <w:snapToGrid w:val="0"/>
        <w:spacing w:line="360" w:lineRule="auto"/>
        <w:ind w:firstLine="480" w:firstLineChars="200"/>
        <w:rPr>
          <w:rFonts w:hAnsi="宋体" w:cs="宋体"/>
          <w:sz w:val="24"/>
        </w:rPr>
      </w:pPr>
      <w:r>
        <w:rPr>
          <w:rFonts w:hint="eastAsia" w:hAnsi="宋体" w:cs="宋体"/>
          <w:sz w:val="24"/>
        </w:rPr>
        <w:t xml:space="preserve">供方资质应满足以下条件： </w:t>
      </w:r>
    </w:p>
    <w:p>
      <w:pPr>
        <w:pStyle w:val="8"/>
        <w:snapToGrid w:val="0"/>
        <w:spacing w:line="360" w:lineRule="auto"/>
        <w:ind w:firstLine="480" w:firstLineChars="200"/>
        <w:rPr>
          <w:rFonts w:hAnsi="宋体" w:cs="宋体"/>
          <w:sz w:val="24"/>
        </w:rPr>
      </w:pPr>
      <w:r>
        <w:rPr>
          <w:rFonts w:hint="eastAsia" w:hAnsi="宋体" w:cs="宋体"/>
          <w:sz w:val="24"/>
        </w:rPr>
        <w:t>a) 投标供方公司成立三年以上（以营业执照成立日期到开标当日满三年为准），经营范围满足招标项目需求；如供方实力、业绩、能力处理行业前列，资质审核无误后，可参与投标。</w:t>
      </w:r>
    </w:p>
    <w:p>
      <w:pPr>
        <w:pStyle w:val="8"/>
        <w:snapToGrid w:val="0"/>
        <w:spacing w:line="360" w:lineRule="auto"/>
        <w:ind w:firstLine="480" w:firstLineChars="200"/>
        <w:rPr>
          <w:rFonts w:hAnsi="宋体" w:cs="宋体"/>
          <w:sz w:val="24"/>
        </w:rPr>
      </w:pPr>
      <w:r>
        <w:rPr>
          <w:rFonts w:hint="eastAsia" w:hAnsi="宋体" w:cs="宋体"/>
          <w:sz w:val="24"/>
        </w:rPr>
        <w:t>b)注册资本符合项目要求，原则上投标人注册资金不得低于项目标的额或不低于</w:t>
      </w:r>
      <w:r>
        <w:rPr>
          <w:rFonts w:hAnsi="宋体" w:cs="宋体"/>
          <w:sz w:val="24"/>
        </w:rPr>
        <w:t>5</w:t>
      </w:r>
      <w:r>
        <w:rPr>
          <w:rFonts w:hint="eastAsia" w:hAnsi="宋体" w:cs="宋体"/>
          <w:sz w:val="24"/>
        </w:rPr>
        <w:t xml:space="preserve">00万元；投标人注册资金不符条件但确属优秀的，经项目实施单位和业务主管部门负责人会签后，可接受其投标； </w:t>
      </w:r>
    </w:p>
    <w:p>
      <w:pPr>
        <w:pStyle w:val="8"/>
        <w:snapToGrid w:val="0"/>
        <w:spacing w:line="360" w:lineRule="auto"/>
        <w:ind w:firstLine="480" w:firstLineChars="200"/>
        <w:rPr>
          <w:rFonts w:hAnsi="宋体" w:cs="宋体"/>
          <w:sz w:val="24"/>
        </w:rPr>
      </w:pPr>
      <w:r>
        <w:rPr>
          <w:rFonts w:hint="eastAsia" w:hAnsi="宋体" w:cs="宋体"/>
          <w:sz w:val="24"/>
        </w:rPr>
        <w:t xml:space="preserve">c)满足技术、质量、资金等要求，财务状况良好、经营稳定，具有全面履约的能力，能提供相关信用等级和完税证明； </w:t>
      </w:r>
    </w:p>
    <w:p>
      <w:pPr>
        <w:pStyle w:val="8"/>
        <w:snapToGrid w:val="0"/>
        <w:spacing w:line="360" w:lineRule="auto"/>
        <w:ind w:firstLine="480" w:firstLineChars="200"/>
        <w:rPr>
          <w:rFonts w:hAnsi="宋体" w:cs="宋体"/>
          <w:sz w:val="24"/>
        </w:rPr>
      </w:pPr>
      <w:r>
        <w:rPr>
          <w:rFonts w:hint="eastAsia" w:hAnsi="宋体" w:cs="宋体"/>
          <w:sz w:val="24"/>
        </w:rPr>
        <w:t xml:space="preserve">d)投标人之间必须具有充分的竞争关系； </w:t>
      </w:r>
    </w:p>
    <w:p>
      <w:pPr>
        <w:pStyle w:val="8"/>
        <w:snapToGrid w:val="0"/>
        <w:spacing w:line="360" w:lineRule="auto"/>
        <w:ind w:firstLine="480" w:firstLineChars="200"/>
        <w:rPr>
          <w:rFonts w:hAnsi="宋体" w:cs="宋体"/>
          <w:sz w:val="24"/>
        </w:rPr>
      </w:pPr>
      <w:r>
        <w:rPr>
          <w:rFonts w:hint="eastAsia" w:hAnsi="宋体" w:cs="宋体"/>
          <w:sz w:val="24"/>
        </w:rPr>
        <w:t xml:space="preserve">e)在“国家企业信用信息公示系统”、“中国执行信息公开网”、“信用中国”、“天眼查”“裁判文书网”等信息平台中，无行政处罚及失信记录等信息； </w:t>
      </w:r>
    </w:p>
    <w:p>
      <w:pPr>
        <w:pStyle w:val="8"/>
        <w:snapToGrid w:val="0"/>
        <w:spacing w:line="360" w:lineRule="auto"/>
        <w:ind w:firstLine="480" w:firstLineChars="200"/>
        <w:rPr>
          <w:rFonts w:hAnsi="宋体" w:cs="宋体"/>
          <w:sz w:val="24"/>
        </w:rPr>
      </w:pPr>
      <w:r>
        <w:rPr>
          <w:rFonts w:hint="eastAsia" w:hAnsi="宋体" w:cs="宋体"/>
          <w:sz w:val="24"/>
        </w:rPr>
        <w:t xml:space="preserve">f)无招标违规、谎报年度报告信息、提供虚假资质资料等行为或其他行政处罚记录； </w:t>
      </w:r>
    </w:p>
    <w:p>
      <w:pPr>
        <w:pStyle w:val="8"/>
        <w:snapToGrid w:val="0"/>
        <w:spacing w:line="360" w:lineRule="auto"/>
        <w:ind w:firstLine="480" w:firstLineChars="200"/>
        <w:rPr>
          <w:rFonts w:hAnsi="宋体" w:cs="宋体"/>
          <w:sz w:val="24"/>
        </w:rPr>
      </w:pPr>
      <w:r>
        <w:rPr>
          <w:rFonts w:hint="eastAsia" w:hAnsi="宋体" w:cs="宋体"/>
          <w:sz w:val="24"/>
        </w:rPr>
        <w:t xml:space="preserve">g)没有被公司列入黑名单； </w:t>
      </w:r>
    </w:p>
    <w:p>
      <w:pPr>
        <w:pStyle w:val="8"/>
        <w:snapToGrid w:val="0"/>
        <w:spacing w:line="360" w:lineRule="auto"/>
        <w:ind w:firstLine="480" w:firstLineChars="200"/>
        <w:rPr>
          <w:rFonts w:hAnsi="宋体" w:cs="宋体"/>
          <w:sz w:val="24"/>
        </w:rPr>
      </w:pPr>
      <w:r>
        <w:rPr>
          <w:rFonts w:hint="eastAsia" w:hAnsi="宋体" w:cs="宋体"/>
          <w:sz w:val="24"/>
        </w:rPr>
        <w:t>h)供方的直接或间接股东、法定代表人、董事、监事、高管非重汽员工及其亲属。</w:t>
      </w:r>
    </w:p>
    <w:p>
      <w:pPr>
        <w:pStyle w:val="8"/>
        <w:snapToGrid w:val="0"/>
        <w:spacing w:line="360" w:lineRule="auto"/>
        <w:ind w:firstLine="480" w:firstLineChars="200"/>
        <w:rPr>
          <w:rFonts w:hAnsi="宋体" w:cs="宋体"/>
          <w:sz w:val="24"/>
        </w:rPr>
      </w:pPr>
      <w:r>
        <w:rPr>
          <w:rFonts w:hint="eastAsia" w:hAnsi="宋体" w:cs="宋体"/>
          <w:sz w:val="24"/>
        </w:rPr>
        <w:t>（i）建筑装修装饰工程专业承包二级及以上资质以及有效的安全生产许可证；（提供扫描件）</w:t>
      </w:r>
    </w:p>
    <w:p>
      <w:pPr>
        <w:pStyle w:val="8"/>
        <w:snapToGrid w:val="0"/>
        <w:spacing w:line="360" w:lineRule="auto"/>
        <w:ind w:firstLine="480" w:firstLineChars="200"/>
        <w:rPr>
          <w:rFonts w:hAnsi="宋体" w:cs="宋体"/>
          <w:sz w:val="24"/>
        </w:rPr>
      </w:pPr>
      <w:r>
        <w:rPr>
          <w:rFonts w:hint="eastAsia" w:hAnsi="宋体" w:cs="宋体"/>
          <w:sz w:val="24"/>
        </w:rPr>
        <w:t>（</w:t>
      </w:r>
      <w:r>
        <w:rPr>
          <w:rFonts w:hAnsi="宋体" w:cs="宋体"/>
          <w:sz w:val="24"/>
        </w:rPr>
        <w:t>j</w:t>
      </w:r>
      <w:r>
        <w:rPr>
          <w:rFonts w:hint="eastAsia" w:hAnsi="宋体" w:cs="宋体"/>
          <w:sz w:val="24"/>
        </w:rPr>
        <w:t>）建筑装饰工程设计专项乙级资质；（提供扫描件）</w:t>
      </w:r>
    </w:p>
    <w:p>
      <w:pPr>
        <w:pStyle w:val="8"/>
        <w:snapToGrid w:val="0"/>
        <w:spacing w:line="360" w:lineRule="auto"/>
        <w:ind w:firstLine="480" w:firstLineChars="200"/>
        <w:rPr>
          <w:rFonts w:hAnsi="宋体" w:cs="宋体"/>
          <w:sz w:val="24"/>
        </w:rPr>
      </w:pPr>
      <w:r>
        <w:rPr>
          <w:rFonts w:hint="eastAsia" w:hAnsi="宋体" w:cs="宋体"/>
          <w:sz w:val="24"/>
        </w:rPr>
        <w:t>（</w:t>
      </w:r>
      <w:r>
        <w:rPr>
          <w:rFonts w:hAnsi="宋体" w:cs="宋体"/>
          <w:sz w:val="24"/>
        </w:rPr>
        <w:t>k</w:t>
      </w:r>
      <w:r>
        <w:rPr>
          <w:rFonts w:hint="eastAsia" w:hAnsi="宋体" w:cs="宋体"/>
          <w:sz w:val="24"/>
        </w:rPr>
        <w:t>）投标人近三年（以合同签订时间为准）至少做过1项安全体验建设项目。（提供中标通知书或者合同扫描件）</w:t>
      </w:r>
    </w:p>
    <w:p>
      <w:pPr>
        <w:spacing w:line="360" w:lineRule="auto"/>
        <w:ind w:firstLine="281" w:firstLineChars="100"/>
        <w:jc w:val="left"/>
        <w:rPr>
          <w:rFonts w:ascii="宋体" w:hAnsi="宋体" w:cs="宋体"/>
          <w:b/>
          <w:kern w:val="0"/>
          <w:sz w:val="28"/>
          <w:szCs w:val="28"/>
        </w:rPr>
      </w:pPr>
      <w:bookmarkStart w:id="2" w:name="OLE_LINK13"/>
      <w:r>
        <w:rPr>
          <w:rFonts w:hint="eastAsia" w:ascii="宋体" w:hAnsi="宋体" w:cs="宋体"/>
          <w:b/>
          <w:kern w:val="0"/>
          <w:sz w:val="28"/>
          <w:szCs w:val="28"/>
        </w:rPr>
        <w:t>四、其他要求</w:t>
      </w:r>
    </w:p>
    <w:p>
      <w:pPr>
        <w:pStyle w:val="8"/>
        <w:snapToGrid w:val="0"/>
        <w:spacing w:line="360" w:lineRule="auto"/>
        <w:ind w:firstLine="480" w:firstLineChars="200"/>
        <w:rPr>
          <w:rFonts w:hAnsi="宋体" w:cs="宋体"/>
          <w:sz w:val="24"/>
        </w:rPr>
      </w:pPr>
      <w:r>
        <w:rPr>
          <w:rFonts w:hAnsi="宋体" w:cs="宋体"/>
          <w:sz w:val="24"/>
        </w:rPr>
        <w:t>1</w:t>
      </w:r>
      <w:r>
        <w:rPr>
          <w:rFonts w:hint="eastAsia" w:hAnsi="宋体" w:cs="宋体"/>
          <w:sz w:val="24"/>
        </w:rPr>
        <w:t>、投标人须提供具有统一社会信用代码的新版营业执照副本复印件（加盖公章）；</w:t>
      </w:r>
    </w:p>
    <w:p>
      <w:pPr>
        <w:pStyle w:val="8"/>
        <w:snapToGrid w:val="0"/>
        <w:spacing w:line="360" w:lineRule="auto"/>
        <w:ind w:firstLine="480" w:firstLineChars="200"/>
        <w:rPr>
          <w:rFonts w:hAnsi="宋体" w:cs="宋体"/>
          <w:sz w:val="24"/>
        </w:rPr>
      </w:pPr>
      <w:r>
        <w:rPr>
          <w:rFonts w:hAnsi="宋体" w:cs="宋体"/>
          <w:sz w:val="24"/>
        </w:rPr>
        <w:t>2</w:t>
      </w:r>
      <w:r>
        <w:rPr>
          <w:rFonts w:hint="eastAsia" w:hAnsi="宋体" w:cs="宋体"/>
          <w:sz w:val="24"/>
        </w:rPr>
        <w:t>、投标人须提供法人授权委托书复印件及投标单位授权代表的身份证复印件（加盖公章），开标现场核验授权代表身份证原件，授权代表由法人代表本人担任的，仅须提供法人身份证原件。</w:t>
      </w:r>
    </w:p>
    <w:p>
      <w:pPr>
        <w:pStyle w:val="8"/>
        <w:snapToGrid w:val="0"/>
        <w:spacing w:line="360" w:lineRule="auto"/>
        <w:ind w:firstLine="480" w:firstLineChars="200"/>
        <w:rPr>
          <w:rFonts w:hAnsi="宋体" w:cs="宋体"/>
          <w:sz w:val="24"/>
        </w:rPr>
      </w:pPr>
      <w:r>
        <w:rPr>
          <w:rFonts w:hAnsi="宋体" w:cs="宋体"/>
          <w:sz w:val="24"/>
        </w:rPr>
        <w:t>3</w:t>
      </w:r>
      <w:r>
        <w:rPr>
          <w:rFonts w:hint="eastAsia" w:hAnsi="宋体" w:cs="宋体"/>
          <w:sz w:val="24"/>
        </w:rPr>
        <w:t>、供方的直接或间接股东、法定代表人、董事、监事、高管非重汽员工及其亲属。</w:t>
      </w:r>
    </w:p>
    <w:p>
      <w:pPr>
        <w:pStyle w:val="8"/>
        <w:snapToGrid w:val="0"/>
        <w:spacing w:line="360" w:lineRule="auto"/>
        <w:ind w:firstLine="480" w:firstLineChars="200"/>
        <w:rPr>
          <w:rFonts w:hAnsi="宋体" w:cs="宋体"/>
          <w:sz w:val="24"/>
        </w:rPr>
      </w:pPr>
      <w:r>
        <w:rPr>
          <w:rFonts w:hAnsi="宋体" w:cs="宋体"/>
          <w:sz w:val="24"/>
        </w:rPr>
        <w:t>4</w:t>
      </w:r>
      <w:r>
        <w:rPr>
          <w:rFonts w:hint="eastAsia" w:hAnsi="宋体" w:cs="宋体"/>
          <w:sz w:val="24"/>
        </w:rPr>
        <w:t>、投标人须认可招标人的工作指令，包括节假日、夜间能正常开展工作的要求；</w:t>
      </w:r>
    </w:p>
    <w:p>
      <w:pPr>
        <w:pStyle w:val="8"/>
        <w:snapToGrid w:val="0"/>
        <w:spacing w:line="360" w:lineRule="auto"/>
        <w:ind w:firstLine="480" w:firstLineChars="200"/>
        <w:rPr>
          <w:rFonts w:hAnsi="宋体" w:cs="宋体"/>
          <w:sz w:val="24"/>
        </w:rPr>
      </w:pPr>
      <w:r>
        <w:rPr>
          <w:rFonts w:hAnsi="宋体" w:cs="宋体"/>
          <w:sz w:val="24"/>
        </w:rPr>
        <w:t>5</w:t>
      </w:r>
      <w:r>
        <w:rPr>
          <w:rFonts w:hint="eastAsia" w:hAnsi="宋体" w:cs="宋体"/>
          <w:sz w:val="24"/>
        </w:rPr>
        <w:t>、投标人必须是最终投标、签订合同的单位，不得以任何理由将已中标项目以任何形式转包给其他单位；</w:t>
      </w:r>
    </w:p>
    <w:p>
      <w:pPr>
        <w:pStyle w:val="8"/>
        <w:snapToGrid w:val="0"/>
        <w:spacing w:line="360" w:lineRule="auto"/>
        <w:ind w:firstLine="480" w:firstLineChars="200"/>
        <w:rPr>
          <w:rFonts w:hAnsi="宋体" w:cs="宋体"/>
          <w:sz w:val="24"/>
        </w:rPr>
      </w:pPr>
      <w:r>
        <w:rPr>
          <w:rFonts w:hAnsi="宋体" w:cs="宋体"/>
          <w:sz w:val="24"/>
        </w:rPr>
        <w:t>6</w:t>
      </w:r>
      <w:r>
        <w:rPr>
          <w:rFonts w:hint="eastAsia" w:hAnsi="宋体" w:cs="宋体"/>
          <w:sz w:val="24"/>
        </w:rPr>
        <w:t>、本次招标不接受联合体投标。</w:t>
      </w:r>
    </w:p>
    <w:bookmarkEnd w:id="2"/>
    <w:p>
      <w:pPr>
        <w:spacing w:line="360" w:lineRule="auto"/>
        <w:ind w:firstLine="281" w:firstLineChars="100"/>
        <w:jc w:val="left"/>
        <w:rPr>
          <w:rFonts w:ascii="宋体" w:hAnsi="宋体" w:cs="宋体"/>
          <w:bCs/>
          <w:kern w:val="0"/>
          <w:sz w:val="28"/>
          <w:szCs w:val="28"/>
        </w:rPr>
      </w:pPr>
      <w:bookmarkStart w:id="3" w:name="_Toc449097068"/>
      <w:r>
        <w:rPr>
          <w:rFonts w:hint="eastAsia" w:ascii="宋体" w:hAnsi="宋体" w:cs="宋体"/>
          <w:b/>
          <w:kern w:val="0"/>
          <w:sz w:val="28"/>
          <w:szCs w:val="28"/>
        </w:rPr>
        <w:t>五、送标及评标时间</w:t>
      </w:r>
    </w:p>
    <w:p>
      <w:pPr>
        <w:spacing w:line="360" w:lineRule="auto"/>
        <w:ind w:firstLine="480" w:firstLineChars="200"/>
        <w:jc w:val="left"/>
        <w:rPr>
          <w:rFonts w:ascii="宋体" w:hAnsi="宋体" w:cs="宋体"/>
          <w:bCs/>
          <w:color w:val="FF0000"/>
          <w:kern w:val="0"/>
          <w:sz w:val="24"/>
        </w:rPr>
      </w:pPr>
      <w:r>
        <w:rPr>
          <w:rFonts w:hint="eastAsia" w:ascii="宋体" w:hAnsi="宋体" w:cs="宋体"/>
          <w:bCs/>
          <w:color w:val="FF0000"/>
          <w:kern w:val="0"/>
          <w:sz w:val="24"/>
          <w:lang w:bidi="ar"/>
        </w:rPr>
        <w:t>开标时间：</w:t>
      </w:r>
      <w:r>
        <w:rPr>
          <w:rFonts w:hint="eastAsia" w:cs="Calibri"/>
          <w:color w:val="FF0000"/>
          <w:sz w:val="24"/>
          <w:lang w:bidi="ar"/>
        </w:rPr>
        <w:t>以招标单位通知的时间为准</w:t>
      </w:r>
      <w:r>
        <w:rPr>
          <w:rFonts w:hint="eastAsia" w:ascii="宋体" w:hAnsi="宋体" w:cs="宋体"/>
          <w:bCs/>
          <w:color w:val="FF0000"/>
          <w:kern w:val="0"/>
          <w:sz w:val="24"/>
          <w:lang w:bidi="ar"/>
        </w:rPr>
        <w:t>。</w:t>
      </w:r>
    </w:p>
    <w:p>
      <w:pPr>
        <w:spacing w:line="360" w:lineRule="auto"/>
        <w:jc w:val="left"/>
        <w:rPr>
          <w:rFonts w:ascii="宋体" w:hAnsi="宋体" w:cs="宋体"/>
          <w:bCs/>
          <w:color w:val="FF0000"/>
          <w:kern w:val="0"/>
          <w:sz w:val="24"/>
        </w:rPr>
      </w:pPr>
      <w:r>
        <w:rPr>
          <w:rFonts w:hint="eastAsia" w:ascii="宋体" w:hAnsi="宋体" w:cs="宋体"/>
          <w:bCs/>
          <w:color w:val="FF0000"/>
          <w:kern w:val="0"/>
          <w:sz w:val="24"/>
          <w:lang w:bidi="ar"/>
        </w:rPr>
        <w:t xml:space="preserve">    地点：中国重汽集团大同齿轮有限公司A1107会议室。</w:t>
      </w:r>
    </w:p>
    <w:p>
      <w:pPr>
        <w:pStyle w:val="8"/>
        <w:snapToGrid w:val="0"/>
        <w:spacing w:line="360" w:lineRule="auto"/>
        <w:ind w:firstLine="480" w:firstLineChars="200"/>
        <w:rPr>
          <w:rFonts w:hAnsi="宋体" w:cs="宋体"/>
          <w:sz w:val="24"/>
        </w:rPr>
      </w:pPr>
      <w:r>
        <w:rPr>
          <w:rFonts w:hint="eastAsia" w:hAnsi="宋体" w:cs="宋体"/>
          <w:sz w:val="24"/>
        </w:rPr>
        <w:t>凡有意参加投标者，请于</w:t>
      </w:r>
      <w:r>
        <w:rPr>
          <w:rFonts w:hint="eastAsia" w:hAnsi="宋体" w:cs="宋体"/>
          <w:color w:val="FF0000"/>
          <w:sz w:val="24"/>
          <w:u w:val="single"/>
        </w:rPr>
        <w:t>2025年</w:t>
      </w:r>
      <w:r>
        <w:rPr>
          <w:rFonts w:hAnsi="宋体" w:cs="宋体"/>
          <w:color w:val="FF0000"/>
          <w:sz w:val="24"/>
          <w:u w:val="single"/>
        </w:rPr>
        <w:t>5</w:t>
      </w:r>
      <w:r>
        <w:rPr>
          <w:rFonts w:hint="eastAsia" w:hAnsi="宋体" w:cs="宋体"/>
          <w:color w:val="FF0000"/>
          <w:sz w:val="24"/>
          <w:u w:val="single"/>
        </w:rPr>
        <w:t>月</w:t>
      </w:r>
      <w:r>
        <w:rPr>
          <w:rFonts w:hint="eastAsia" w:hAnsi="宋体" w:cs="宋体"/>
          <w:color w:val="FF0000"/>
          <w:sz w:val="24"/>
          <w:u w:val="single"/>
          <w:lang w:val="en-US" w:eastAsia="zh-CN"/>
        </w:rPr>
        <w:t>20</w:t>
      </w:r>
      <w:r>
        <w:rPr>
          <w:rFonts w:hint="eastAsia" w:hAnsi="宋体" w:cs="宋体"/>
          <w:color w:val="FF0000"/>
          <w:sz w:val="24"/>
          <w:u w:val="single"/>
        </w:rPr>
        <w:t>日下午17:00</w:t>
      </w:r>
      <w:r>
        <w:rPr>
          <w:rFonts w:hint="eastAsia" w:hAnsi="宋体" w:cs="宋体"/>
          <w:sz w:val="24"/>
        </w:rPr>
        <w:t>前，按照5.1-5.2顺序及所列项相关资料的原件扫描件发送至邮箱：</w:t>
      </w:r>
      <w:r>
        <w:rPr>
          <w:rFonts w:hint="eastAsia" w:hAnsi="宋体" w:cs="宋体"/>
          <w:color w:val="0070C0"/>
          <w:sz w:val="24"/>
        </w:rPr>
        <w:t>2518968528@qq.com</w:t>
      </w:r>
      <w:r>
        <w:rPr>
          <w:rFonts w:hint="eastAsia" w:hAnsi="宋体" w:cs="宋体"/>
          <w:sz w:val="24"/>
        </w:rPr>
        <w:t>，并电话联系工作人员查收王丹丹</w:t>
      </w:r>
      <w:r>
        <w:rPr>
          <w:rFonts w:hint="eastAsia" w:hAnsi="宋体" w:cs="宋体"/>
          <w:sz w:val="24"/>
          <w:u w:val="single"/>
        </w:rPr>
        <w:t>，联系电话15035293052</w:t>
      </w:r>
      <w:r>
        <w:rPr>
          <w:rFonts w:hint="eastAsia" w:hAnsi="宋体" w:cs="宋体"/>
          <w:sz w:val="24"/>
        </w:rPr>
        <w:t>）。</w:t>
      </w:r>
      <w:r>
        <w:rPr>
          <w:rFonts w:hint="eastAsia" w:hAnsi="宋体" w:cs="宋体"/>
          <w:sz w:val="24"/>
          <w:highlight w:val="yellow"/>
        </w:rPr>
        <w:t>在“中国重汽e采通”http</w:t>
      </w:r>
      <w:r>
        <w:rPr>
          <w:rFonts w:hint="eastAsia" w:hAnsi="宋体" w:cs="宋体"/>
          <w:sz w:val="24"/>
          <w:highlight w:val="yellow"/>
          <w:lang w:val="en-US" w:eastAsia="zh-CN"/>
        </w:rPr>
        <w:t>s</w:t>
      </w:r>
      <w:r>
        <w:rPr>
          <w:rFonts w:hint="eastAsia" w:hAnsi="宋体" w:cs="宋体"/>
          <w:sz w:val="24"/>
          <w:highlight w:val="yellow"/>
        </w:rPr>
        <w:t>://ecaitong.sinotruk.com:8012/#/login平台完成注册。</w:t>
      </w:r>
      <w:r>
        <w:rPr>
          <w:rFonts w:hAnsi="宋体" w:cs="宋体"/>
          <w:sz w:val="24"/>
          <w:highlight w:val="yellow"/>
        </w:rPr>
        <w:t>相关操作手册请详见注册界面供应商用户手册</w:t>
      </w:r>
      <w:r>
        <w:rPr>
          <w:rFonts w:hint="eastAsia" w:hAnsi="宋体" w:cs="宋体"/>
          <w:sz w:val="24"/>
          <w:highlight w:val="yellow"/>
        </w:rPr>
        <w:t>，登录后选择对应的项目，点击应标后上传资质文件，资质审查通过即为报名成功，公示期间请尽快报名。</w:t>
      </w:r>
    </w:p>
    <w:p>
      <w:pPr>
        <w:pStyle w:val="8"/>
        <w:snapToGrid w:val="0"/>
        <w:spacing w:line="360" w:lineRule="auto"/>
        <w:ind w:firstLine="480" w:firstLineChars="200"/>
        <w:rPr>
          <w:rFonts w:hAnsi="宋体" w:cs="宋体"/>
          <w:sz w:val="24"/>
        </w:rPr>
      </w:pPr>
      <w:r>
        <w:rPr>
          <w:rFonts w:hint="eastAsia" w:hAnsi="宋体" w:cs="宋体"/>
          <w:sz w:val="24"/>
        </w:rPr>
        <w:t>方式：本项目招标工作的所有过程均须在中国重汽e采通上完成，包括报名、资质审核、招标、应标、评标、审批等环节。</w:t>
      </w:r>
      <w:r>
        <w:rPr>
          <w:rFonts w:hAnsi="宋体" w:cs="宋体"/>
          <w:sz w:val="24"/>
        </w:rPr>
        <w:t>未在中国重汽E采通进行注册的供方，注册时，业务主管部门选择“</w:t>
      </w:r>
      <w:r>
        <w:rPr>
          <w:rFonts w:hint="eastAsia" w:hAnsi="宋体" w:cs="宋体"/>
          <w:sz w:val="24"/>
        </w:rPr>
        <w:t>安全环保部</w:t>
      </w:r>
      <w:r>
        <w:rPr>
          <w:rFonts w:hAnsi="宋体" w:cs="宋体"/>
          <w:sz w:val="24"/>
        </w:rPr>
        <w:t>”，类别选择“</w:t>
      </w:r>
      <w:r>
        <w:rPr>
          <w:rFonts w:hint="eastAsia" w:hAnsi="宋体" w:cs="宋体"/>
          <w:sz w:val="24"/>
        </w:rPr>
        <w:t>安全消防</w:t>
      </w:r>
      <w:r>
        <w:rPr>
          <w:rFonts w:hAnsi="宋体" w:cs="宋体"/>
          <w:sz w:val="24"/>
        </w:rPr>
        <w:t>”。请于报名截止时间前完成注册审批，未注册完成的不允许参加相关投标报名。</w:t>
      </w:r>
    </w:p>
    <w:p>
      <w:pPr>
        <w:pStyle w:val="8"/>
        <w:snapToGrid w:val="0"/>
        <w:spacing w:line="360" w:lineRule="auto"/>
        <w:ind w:firstLine="480" w:firstLineChars="200"/>
        <w:rPr>
          <w:rFonts w:hAnsi="宋体" w:cs="宋体"/>
          <w:sz w:val="24"/>
        </w:rPr>
      </w:pPr>
      <w:r>
        <w:rPr>
          <w:rFonts w:hint="eastAsia" w:hAnsi="宋体" w:cs="宋体"/>
          <w:sz w:val="24"/>
        </w:rPr>
        <w:t>投标人应标成功后在中国重汽e采通查看标书文件，投标人应自备电脑（笔记本）进行流程操作，注意应标、投标、开标、再次报价时间开始、截止节点，如错过时间节点将无法进行招投标流程节点的操作，进入商务标后按招标方要求在重汽e采通进行价格报价和逐轮报价，商务标中还需提供</w:t>
      </w:r>
      <w:r>
        <w:rPr>
          <w:rFonts w:hint="eastAsia" w:hAnsi="宋体" w:cs="宋体"/>
          <w:sz w:val="24"/>
          <w:lang w:val="en-US" w:eastAsia="zh-CN"/>
        </w:rPr>
        <w:t>报价单</w:t>
      </w:r>
      <w:r>
        <w:rPr>
          <w:rFonts w:hint="eastAsia" w:hAnsi="宋体" w:cs="宋体"/>
          <w:sz w:val="24"/>
        </w:rPr>
        <w:t>。</w:t>
      </w:r>
    </w:p>
    <w:p>
      <w:pPr>
        <w:pStyle w:val="8"/>
        <w:snapToGrid w:val="0"/>
        <w:spacing w:line="360" w:lineRule="auto"/>
        <w:ind w:firstLine="480" w:firstLineChars="200"/>
        <w:rPr>
          <w:rFonts w:hAnsi="宋体" w:cs="宋体"/>
          <w:sz w:val="24"/>
        </w:rPr>
      </w:pPr>
      <w:r>
        <w:rPr>
          <w:rFonts w:hint="eastAsia" w:hAnsi="宋体" w:cs="宋体"/>
          <w:sz w:val="24"/>
        </w:rPr>
        <w:t>以上所提供的所有材料纸制版需在招标会时开封。</w:t>
      </w:r>
    </w:p>
    <w:p>
      <w:pPr>
        <w:spacing w:line="360" w:lineRule="auto"/>
        <w:ind w:firstLine="480"/>
        <w:rPr>
          <w:rFonts w:ascii="宋体" w:hAnsi="宋体" w:cs="宋体"/>
          <w:sz w:val="24"/>
        </w:rPr>
      </w:pPr>
      <w:r>
        <w:rPr>
          <w:rFonts w:hint="eastAsia" w:ascii="宋体" w:hAnsi="宋体" w:cs="宋体"/>
          <w:sz w:val="24"/>
        </w:rPr>
        <w:t>5.1 投标方营业执照、基本账户开户许可证（或者开户行出具的基本账户信息）、资质文件及法定代表人授权委托书（第三章附件2）；</w:t>
      </w:r>
    </w:p>
    <w:p>
      <w:pPr>
        <w:spacing w:line="360" w:lineRule="auto"/>
        <w:ind w:firstLine="480"/>
        <w:rPr>
          <w:rFonts w:ascii="宋体" w:hAnsi="宋体" w:cs="宋体"/>
          <w:sz w:val="24"/>
        </w:rPr>
      </w:pPr>
      <w:r>
        <w:rPr>
          <w:rFonts w:hint="eastAsia" w:ascii="宋体" w:hAnsi="宋体" w:cs="宋体"/>
          <w:sz w:val="24"/>
        </w:rPr>
        <w:t>5.2报名当日的信用中国截图。</w:t>
      </w:r>
    </w:p>
    <w:p>
      <w:pPr>
        <w:pStyle w:val="8"/>
        <w:spacing w:line="360" w:lineRule="auto"/>
        <w:ind w:firstLine="482"/>
        <w:rPr>
          <w:rFonts w:hAnsi="宋体" w:cs="宋体"/>
          <w:bCs/>
          <w:sz w:val="24"/>
        </w:rPr>
      </w:pPr>
      <w:r>
        <w:rPr>
          <w:rFonts w:hint="eastAsia" w:hAnsi="宋体" w:cs="宋体"/>
          <w:b/>
          <w:bCs/>
          <w:sz w:val="24"/>
        </w:rPr>
        <w:t>注意</w:t>
      </w:r>
      <w:r>
        <w:rPr>
          <w:rFonts w:hint="eastAsia" w:hAnsi="宋体" w:cs="宋体"/>
          <w:bCs/>
          <w:sz w:val="24"/>
        </w:rPr>
        <w:t>：</w:t>
      </w:r>
    </w:p>
    <w:p>
      <w:pPr>
        <w:pStyle w:val="8"/>
        <w:spacing w:line="360" w:lineRule="auto"/>
        <w:ind w:firstLine="480" w:firstLineChars="200"/>
        <w:rPr>
          <w:rFonts w:hAnsi="宋体" w:cs="宋体"/>
          <w:bCs/>
          <w:sz w:val="24"/>
        </w:rPr>
      </w:pPr>
      <w:r>
        <w:rPr>
          <w:rFonts w:hint="eastAsia" w:hAnsi="宋体" w:cs="宋体"/>
          <w:bCs/>
          <w:sz w:val="24"/>
        </w:rPr>
        <w:t>①请将以上文件原件扫描汇总形成PDF格式文件，发送至上述指定邮箱，并设置邮件名称为“</w:t>
      </w:r>
      <w:r>
        <w:rPr>
          <w:rFonts w:hint="eastAsia" w:hAnsi="宋体" w:cs="宋体"/>
          <w:sz w:val="24"/>
          <w:u w:val="single"/>
        </w:rPr>
        <w:t>***公司（公司全称）-项目名称-报名资料</w:t>
      </w:r>
      <w:r>
        <w:rPr>
          <w:rFonts w:hint="eastAsia" w:hAnsi="宋体" w:cs="宋体"/>
          <w:bCs/>
          <w:sz w:val="24"/>
        </w:rPr>
        <w:t>”，</w:t>
      </w:r>
      <w:r>
        <w:rPr>
          <w:rFonts w:hint="eastAsia" w:hAnsi="宋体" w:cs="宋体"/>
          <w:sz w:val="24"/>
          <w:u w:val="single"/>
        </w:rPr>
        <w:t>同时必须在邮件中以文字方式提供投标单位全称、投标授权人姓名、联系方式</w:t>
      </w:r>
      <w:r>
        <w:rPr>
          <w:rFonts w:hint="eastAsia" w:hAnsi="宋体" w:cs="宋体"/>
          <w:sz w:val="24"/>
        </w:rPr>
        <w:t>（固定电话、手机、电子邮箱），</w:t>
      </w:r>
      <w:r>
        <w:rPr>
          <w:rFonts w:hint="eastAsia" w:hAnsi="宋体" w:cs="宋体"/>
          <w:bCs/>
          <w:sz w:val="24"/>
        </w:rPr>
        <w:t>若上述资料不全或扫描件不清晰无法辨认的则会影响报名成功。</w:t>
      </w:r>
    </w:p>
    <w:p>
      <w:pPr>
        <w:pStyle w:val="8"/>
        <w:spacing w:line="360" w:lineRule="auto"/>
        <w:ind w:firstLine="480" w:firstLineChars="200"/>
        <w:rPr>
          <w:rFonts w:hAnsi="宋体" w:cs="宋体"/>
          <w:sz w:val="24"/>
        </w:rPr>
      </w:pPr>
      <w:r>
        <w:rPr>
          <w:rFonts w:hint="eastAsia" w:hAnsi="宋体" w:cs="宋体"/>
          <w:bCs/>
          <w:sz w:val="24"/>
        </w:rPr>
        <w:t>②本项</w:t>
      </w:r>
      <w:r>
        <w:rPr>
          <w:rFonts w:hint="eastAsia" w:hAnsi="宋体" w:cs="宋体"/>
          <w:sz w:val="24"/>
        </w:rPr>
        <w:t>目实行报名资格审核，报名成功不代表入围投标名单，发放招标文件前，招标人进行资格审核验证，根据审查考察结果以合格制确定投标入围名单。开标时，对投标人资格进行再次核验（资格后审）。</w:t>
      </w:r>
    </w:p>
    <w:p>
      <w:pPr>
        <w:spacing w:line="360" w:lineRule="auto"/>
        <w:ind w:firstLine="480"/>
        <w:rPr>
          <w:rFonts w:ascii="宋体" w:hAnsi="宋体" w:cs="宋体"/>
          <w:bCs/>
          <w:sz w:val="24"/>
        </w:rPr>
      </w:pPr>
      <w:r>
        <w:rPr>
          <w:rFonts w:hint="eastAsia" w:ascii="宋体" w:hAnsi="宋体" w:cs="宋体"/>
          <w:bCs/>
          <w:sz w:val="24"/>
        </w:rPr>
        <w:t>③报名资格审查通过后招标文件采取电子版文件，招标人通过电子邮箱方式发送，具体发送时间另行通知。</w:t>
      </w:r>
    </w:p>
    <w:p>
      <w:pPr>
        <w:spacing w:line="360" w:lineRule="auto"/>
        <w:rPr>
          <w:rFonts w:ascii="宋体" w:hAnsi="宋体" w:cs="宋体"/>
          <w:b/>
          <w:kern w:val="0"/>
          <w:szCs w:val="21"/>
        </w:rPr>
      </w:pPr>
      <w:r>
        <w:rPr>
          <w:rFonts w:hint="eastAsia" w:ascii="宋体" w:hAnsi="宋体" w:cs="宋体"/>
          <w:b/>
          <w:kern w:val="0"/>
          <w:sz w:val="24"/>
        </w:rPr>
        <w:t>招标公告发布媒介</w:t>
      </w:r>
    </w:p>
    <w:p>
      <w:pPr>
        <w:widowControl/>
        <w:spacing w:line="360" w:lineRule="auto"/>
        <w:ind w:firstLine="480" w:firstLineChars="200"/>
        <w:jc w:val="left"/>
        <w:rPr>
          <w:rFonts w:ascii="宋体" w:hAnsi="宋体" w:cs="宋体"/>
          <w:bCs/>
          <w:kern w:val="0"/>
          <w:sz w:val="24"/>
        </w:rPr>
      </w:pPr>
      <w:r>
        <w:rPr>
          <w:rFonts w:hint="eastAsia" w:ascii="宋体" w:hAnsi="宋体" w:cs="宋体"/>
          <w:sz w:val="24"/>
        </w:rPr>
        <w:t>本次招标公告在</w:t>
      </w:r>
      <w:r>
        <w:rPr>
          <w:rFonts w:hint="eastAsia" w:ascii="宋体" w:hAnsi="宋体" w:cs="宋体"/>
          <w:kern w:val="0"/>
          <w:sz w:val="24"/>
          <w:lang w:bidi="ar"/>
        </w:rPr>
        <w:t>中国重汽</w:t>
      </w:r>
      <w:r>
        <w:rPr>
          <w:rFonts w:hint="eastAsia" w:ascii="宋体" w:hAnsi="宋体" w:cs="宋体"/>
          <w:kern w:val="0"/>
          <w:sz w:val="24"/>
        </w:rPr>
        <w:t>官方网站发布</w:t>
      </w:r>
      <w:r>
        <w:rPr>
          <w:rFonts w:hint="eastAsia" w:ascii="宋体" w:hAnsi="宋体" w:cs="宋体"/>
          <w:sz w:val="24"/>
        </w:rPr>
        <w:t>。网址：http://www.cnhtc.com.cn/view/NewsLists.aspx?key=29&amp;pageindex=1</w:t>
      </w:r>
    </w:p>
    <w:p>
      <w:pPr>
        <w:spacing w:line="360" w:lineRule="auto"/>
        <w:rPr>
          <w:b/>
          <w:sz w:val="28"/>
          <w:szCs w:val="28"/>
        </w:rPr>
      </w:pPr>
      <w:r>
        <w:rPr>
          <w:rFonts w:hint="eastAsia"/>
          <w:b/>
          <w:sz w:val="28"/>
          <w:szCs w:val="28"/>
        </w:rPr>
        <w:t>六、投标文件要求（标书一式三份，一正两副）：</w:t>
      </w:r>
    </w:p>
    <w:p>
      <w:pPr>
        <w:spacing w:line="360" w:lineRule="auto"/>
        <w:ind w:firstLine="480"/>
        <w:rPr>
          <w:rFonts w:ascii="宋体" w:hAnsi="宋体" w:cs="宋体"/>
          <w:kern w:val="0"/>
          <w:sz w:val="24"/>
        </w:rPr>
      </w:pPr>
      <w:r>
        <w:rPr>
          <w:rFonts w:hint="eastAsia"/>
          <w:bCs/>
          <w:sz w:val="24"/>
        </w:rPr>
        <w:t>6</w:t>
      </w:r>
      <w:r>
        <w:rPr>
          <w:rFonts w:hint="eastAsia" w:ascii="宋体" w:hAnsi="宋体" w:cs="宋体"/>
          <w:kern w:val="0"/>
          <w:sz w:val="24"/>
        </w:rPr>
        <w:t>.1投标文件内容：</w:t>
      </w:r>
    </w:p>
    <w:p>
      <w:pPr>
        <w:spacing w:line="360" w:lineRule="auto"/>
        <w:ind w:firstLine="480"/>
        <w:rPr>
          <w:rFonts w:ascii="宋体" w:hAnsi="宋体" w:cs="宋体"/>
          <w:kern w:val="0"/>
          <w:sz w:val="24"/>
        </w:rPr>
      </w:pPr>
      <w:r>
        <w:rPr>
          <w:rFonts w:hint="eastAsia" w:ascii="宋体" w:hAnsi="宋体" w:cs="宋体"/>
          <w:kern w:val="0"/>
          <w:sz w:val="24"/>
        </w:rPr>
        <w:t>6.1.1投标书必须按照招标单位要求填写，字迹清楚内容齐全，表达准确，不应有涂改、增删并有投标人签名。</w:t>
      </w:r>
    </w:p>
    <w:p>
      <w:pPr>
        <w:spacing w:line="360" w:lineRule="auto"/>
        <w:ind w:firstLine="480"/>
        <w:rPr>
          <w:rFonts w:ascii="宋体" w:hAnsi="宋体" w:cs="宋体"/>
          <w:kern w:val="0"/>
          <w:sz w:val="24"/>
        </w:rPr>
      </w:pPr>
      <w:r>
        <w:rPr>
          <w:rFonts w:hint="eastAsia" w:ascii="宋体" w:hAnsi="宋体" w:cs="宋体"/>
          <w:kern w:val="0"/>
          <w:sz w:val="24"/>
        </w:rPr>
        <w:t>6.1.2法定代表人身份证明</w:t>
      </w:r>
    </w:p>
    <w:p>
      <w:pPr>
        <w:spacing w:line="360" w:lineRule="auto"/>
        <w:ind w:firstLine="480"/>
        <w:rPr>
          <w:rFonts w:ascii="宋体" w:hAnsi="宋体" w:cs="宋体"/>
          <w:kern w:val="0"/>
          <w:sz w:val="24"/>
        </w:rPr>
      </w:pPr>
      <w:r>
        <w:rPr>
          <w:rFonts w:hint="eastAsia" w:ascii="宋体" w:hAnsi="宋体" w:cs="宋体"/>
          <w:kern w:val="0"/>
          <w:sz w:val="24"/>
        </w:rPr>
        <w:t>6.1.3法人授权委托书及身份证复印件；</w:t>
      </w:r>
    </w:p>
    <w:p>
      <w:pPr>
        <w:spacing w:line="360" w:lineRule="auto"/>
        <w:ind w:firstLine="480"/>
        <w:rPr>
          <w:rFonts w:ascii="宋体" w:hAnsi="宋体" w:cs="宋体"/>
          <w:kern w:val="0"/>
          <w:sz w:val="24"/>
        </w:rPr>
      </w:pPr>
      <w:r>
        <w:rPr>
          <w:rFonts w:hint="eastAsia" w:ascii="宋体" w:hAnsi="宋体" w:cs="宋体"/>
          <w:kern w:val="0"/>
          <w:sz w:val="24"/>
        </w:rPr>
        <w:t>6.1.4营业执照副本复印件加盖公章；</w:t>
      </w:r>
    </w:p>
    <w:p>
      <w:pPr>
        <w:spacing w:line="360" w:lineRule="auto"/>
        <w:ind w:firstLine="480"/>
        <w:rPr>
          <w:rFonts w:ascii="宋体" w:hAnsi="宋体" w:cs="宋体"/>
          <w:kern w:val="0"/>
          <w:sz w:val="24"/>
        </w:rPr>
      </w:pPr>
      <w:r>
        <w:rPr>
          <w:rFonts w:hint="eastAsia" w:ascii="宋体" w:hAnsi="宋体" w:cs="宋体"/>
          <w:kern w:val="0"/>
          <w:sz w:val="24"/>
        </w:rPr>
        <w:t>6.1.5证明投标人满足投标资料表中列出的业绩要求的文件：近年(2020年1月1日至今)至少有1项类似项目业绩及合同复印件（加盖公章，须有客户联系方式及联系人以供招标人核实确认）。</w:t>
      </w:r>
    </w:p>
    <w:p>
      <w:pPr>
        <w:spacing w:line="360" w:lineRule="auto"/>
        <w:ind w:firstLine="480"/>
        <w:rPr>
          <w:rFonts w:ascii="宋体" w:hAnsi="宋体" w:cs="宋体"/>
          <w:kern w:val="0"/>
          <w:sz w:val="24"/>
        </w:rPr>
      </w:pPr>
      <w:r>
        <w:rPr>
          <w:rFonts w:hint="eastAsia" w:ascii="宋体" w:hAnsi="宋体" w:cs="宋体"/>
          <w:kern w:val="0"/>
          <w:sz w:val="24"/>
        </w:rPr>
        <w:t>6.1.6招标文件中要求的其它资格证明文件。</w:t>
      </w:r>
    </w:p>
    <w:p>
      <w:pPr>
        <w:spacing w:line="360" w:lineRule="auto"/>
        <w:ind w:firstLine="480" w:firstLineChars="200"/>
        <w:rPr>
          <w:rFonts w:ascii="宋体" w:hAnsi="宋体" w:cs="宋体"/>
          <w:kern w:val="0"/>
          <w:sz w:val="24"/>
        </w:rPr>
      </w:pPr>
      <w:r>
        <w:rPr>
          <w:rFonts w:hint="eastAsia" w:ascii="宋体" w:hAnsi="宋体" w:cs="宋体"/>
          <w:kern w:val="0"/>
          <w:sz w:val="24"/>
        </w:rPr>
        <w:t>6.2 所有投标文件需进行正规封装、胶装，不接受活页、散装等方式的投标文资料。</w:t>
      </w:r>
    </w:p>
    <w:p>
      <w:pPr>
        <w:spacing w:line="360" w:lineRule="auto"/>
        <w:ind w:firstLine="480"/>
        <w:rPr>
          <w:rFonts w:ascii="宋体" w:hAnsi="宋体" w:cs="宋体"/>
          <w:kern w:val="0"/>
          <w:sz w:val="24"/>
        </w:rPr>
      </w:pPr>
      <w:r>
        <w:rPr>
          <w:rFonts w:hint="eastAsia" w:ascii="宋体" w:hAnsi="宋体" w:cs="宋体"/>
          <w:kern w:val="0"/>
          <w:sz w:val="24"/>
        </w:rPr>
        <w:t>6.3</w:t>
      </w:r>
      <w:r>
        <w:rPr>
          <w:rFonts w:hint="eastAsia" w:ascii="宋体" w:hAnsi="宋体" w:cs="宋体"/>
          <w:b/>
          <w:bCs/>
          <w:color w:val="0070C0"/>
          <w:kern w:val="0"/>
          <w:sz w:val="24"/>
        </w:rPr>
        <w:t>报价：（供应商报价上限：含税</w:t>
      </w:r>
      <w:r>
        <w:rPr>
          <w:rFonts w:hint="eastAsia" w:ascii="宋体" w:hAnsi="宋体" w:cs="宋体"/>
          <w:b/>
          <w:bCs/>
          <w:color w:val="0070C0"/>
          <w:kern w:val="0"/>
          <w:sz w:val="24"/>
          <w:lang w:val="en-US" w:eastAsia="zh-CN"/>
        </w:rPr>
        <w:t>34.81</w:t>
      </w:r>
      <w:r>
        <w:rPr>
          <w:rFonts w:hint="eastAsia" w:ascii="宋体" w:hAnsi="宋体" w:cs="宋体"/>
          <w:b/>
          <w:bCs/>
          <w:color w:val="0070C0"/>
          <w:kern w:val="0"/>
          <w:sz w:val="24"/>
        </w:rPr>
        <w:t>万元）</w:t>
      </w:r>
      <w:r>
        <w:rPr>
          <w:rFonts w:hint="eastAsia" w:ascii="宋体" w:hAnsi="宋体" w:cs="宋体"/>
          <w:kern w:val="0"/>
          <w:sz w:val="24"/>
        </w:rPr>
        <w:t xml:space="preserve"> </w:t>
      </w:r>
    </w:p>
    <w:p>
      <w:pPr>
        <w:spacing w:line="360" w:lineRule="auto"/>
        <w:ind w:firstLine="480"/>
        <w:rPr>
          <w:rFonts w:ascii="宋体" w:hAnsi="宋体" w:cs="宋体"/>
          <w:kern w:val="0"/>
          <w:sz w:val="24"/>
        </w:rPr>
      </w:pPr>
      <w:r>
        <w:rPr>
          <w:rFonts w:hint="eastAsia" w:ascii="宋体" w:hAnsi="宋体" w:cs="宋体"/>
          <w:kern w:val="0"/>
          <w:sz w:val="24"/>
        </w:rPr>
        <w:t>6.3.1本次招标为公开招标，报价</w:t>
      </w:r>
      <w:r>
        <w:rPr>
          <w:rFonts w:hint="eastAsia" w:hAnsi="宋体"/>
          <w:sz w:val="24"/>
        </w:rPr>
        <w:t>包括但不限于投标单位为完成本项目所支付的设备维修、改造、更换、人工等所有费用</w:t>
      </w:r>
      <w:r>
        <w:rPr>
          <w:rFonts w:hint="eastAsia" w:ascii="宋体" w:hAnsi="宋体" w:cs="宋体"/>
          <w:kern w:val="0"/>
          <w:sz w:val="24"/>
        </w:rPr>
        <w:t>。</w:t>
      </w:r>
    </w:p>
    <w:p>
      <w:pPr>
        <w:spacing w:line="360" w:lineRule="auto"/>
        <w:ind w:firstLine="480"/>
        <w:rPr>
          <w:rFonts w:ascii="宋体" w:hAnsi="宋体" w:cs="宋体"/>
          <w:kern w:val="0"/>
          <w:sz w:val="24"/>
        </w:rPr>
      </w:pPr>
      <w:r>
        <w:rPr>
          <w:rFonts w:hint="eastAsia" w:ascii="宋体" w:hAnsi="宋体" w:cs="宋体"/>
          <w:kern w:val="0"/>
          <w:sz w:val="24"/>
        </w:rPr>
        <w:t>6.3.2评标小组有权根据报价情况要求所有投标人进行澄清。</w:t>
      </w:r>
    </w:p>
    <w:p>
      <w:pPr>
        <w:spacing w:line="360" w:lineRule="auto"/>
        <w:ind w:firstLine="480"/>
        <w:rPr>
          <w:rFonts w:ascii="宋体" w:hAnsi="宋体" w:cs="宋体"/>
          <w:kern w:val="0"/>
          <w:sz w:val="24"/>
        </w:rPr>
      </w:pPr>
      <w:r>
        <w:rPr>
          <w:rFonts w:hint="eastAsia" w:ascii="宋体" w:hAnsi="宋体" w:cs="宋体"/>
          <w:kern w:val="0"/>
          <w:sz w:val="24"/>
        </w:rPr>
        <w:t>6.3.3所有报价货币单位均为：元（人民币），含税，备注税率；</w:t>
      </w:r>
    </w:p>
    <w:p>
      <w:pPr>
        <w:pStyle w:val="8"/>
        <w:spacing w:line="360" w:lineRule="auto"/>
        <w:ind w:firstLine="482" w:firstLineChars="200"/>
        <w:rPr>
          <w:rFonts w:hAnsi="宋体"/>
          <w:b/>
          <w:sz w:val="24"/>
        </w:rPr>
      </w:pPr>
      <w:r>
        <w:rPr>
          <w:rFonts w:hint="eastAsia" w:hAnsi="宋体"/>
          <w:b/>
          <w:sz w:val="24"/>
        </w:rPr>
        <w:t>注：</w:t>
      </w:r>
    </w:p>
    <w:p>
      <w:pPr>
        <w:pStyle w:val="8"/>
        <w:spacing w:line="360" w:lineRule="auto"/>
        <w:ind w:firstLine="480" w:firstLineChars="200"/>
        <w:rPr>
          <w:rFonts w:hAnsi="宋体"/>
          <w:sz w:val="24"/>
        </w:rPr>
      </w:pPr>
      <w:r>
        <w:rPr>
          <w:rFonts w:hint="eastAsia" w:hAnsi="宋体"/>
          <w:sz w:val="24"/>
        </w:rPr>
        <w:t>（1）招标人对服务完成情况确认同意后，投标人给大齿公司提交金额为合同执行项目价款相应的财务票据（增值税专用发票或者财政部监印票据）。大齿公司依据财务制度审核无误后支付。具体开票信息另附。</w:t>
      </w:r>
    </w:p>
    <w:p>
      <w:pPr>
        <w:pStyle w:val="8"/>
        <w:spacing w:line="360" w:lineRule="auto"/>
        <w:ind w:firstLine="480" w:firstLineChars="200"/>
        <w:rPr>
          <w:rFonts w:hAnsi="宋体"/>
          <w:sz w:val="24"/>
        </w:rPr>
      </w:pPr>
      <w:r>
        <w:rPr>
          <w:rFonts w:hint="eastAsia" w:hAnsi="宋体"/>
          <w:sz w:val="24"/>
        </w:rPr>
        <w:t>（2）投标人所提供的价格在合同实施期间不因市场变化因素而变化，投标人在计算报价时可考虑一定的风险系数；凡漏项报价者，中标后不得调整价格。</w:t>
      </w:r>
    </w:p>
    <w:p>
      <w:pPr>
        <w:pStyle w:val="8"/>
        <w:spacing w:line="360" w:lineRule="auto"/>
        <w:ind w:firstLine="480" w:firstLineChars="200"/>
        <w:rPr>
          <w:rFonts w:hAnsi="宋体"/>
          <w:sz w:val="24"/>
        </w:rPr>
      </w:pPr>
      <w:r>
        <w:rPr>
          <w:rFonts w:hint="eastAsia" w:hAnsi="宋体"/>
          <w:sz w:val="24"/>
        </w:rPr>
        <w:t>（3）投标人应对项目内招标的全部内容进行报价，不允许挑项报价、空项报价，否则视为主动弃标。</w:t>
      </w:r>
    </w:p>
    <w:p>
      <w:pPr>
        <w:spacing w:line="360" w:lineRule="auto"/>
        <w:ind w:firstLine="480"/>
        <w:rPr>
          <w:rFonts w:ascii="宋体" w:hAnsi="宋体" w:cs="宋体"/>
          <w:kern w:val="0"/>
          <w:sz w:val="24"/>
        </w:rPr>
      </w:pPr>
      <w:r>
        <w:rPr>
          <w:rFonts w:hint="eastAsia" w:ascii="宋体" w:hAnsi="宋体" w:cs="宋体"/>
          <w:kern w:val="0"/>
          <w:sz w:val="24"/>
        </w:rPr>
        <w:t>其余未尽事宜，均按合同约定。</w:t>
      </w:r>
    </w:p>
    <w:p>
      <w:pPr>
        <w:spacing w:line="360" w:lineRule="auto"/>
        <w:ind w:firstLine="480"/>
        <w:rPr>
          <w:rFonts w:ascii="宋体" w:hAnsi="宋体" w:cs="宋体"/>
          <w:kern w:val="0"/>
          <w:sz w:val="24"/>
        </w:rPr>
      </w:pPr>
      <w:r>
        <w:rPr>
          <w:rFonts w:hint="eastAsia" w:ascii="宋体" w:hAnsi="宋体" w:cs="宋体"/>
          <w:kern w:val="0"/>
          <w:sz w:val="24"/>
        </w:rPr>
        <w:t>6.4其他</w:t>
      </w:r>
    </w:p>
    <w:p>
      <w:pPr>
        <w:spacing w:line="360" w:lineRule="auto"/>
        <w:ind w:firstLine="480"/>
        <w:rPr>
          <w:rFonts w:ascii="宋体" w:hAnsi="宋体" w:cs="宋体"/>
          <w:kern w:val="0"/>
          <w:sz w:val="24"/>
        </w:rPr>
      </w:pPr>
      <w:r>
        <w:rPr>
          <w:rFonts w:hint="eastAsia" w:ascii="宋体" w:hAnsi="宋体" w:cs="宋体"/>
          <w:kern w:val="0"/>
          <w:sz w:val="24"/>
        </w:rPr>
        <w:t>投标人须认可招标人由于招标人上级集团公司政策变化引起的随时终止合同的要求。如投标人不认可、不接受，则投标人在本招标书之“相关条款偏离表”中注明“不接受”字，招标人将视之为主动弃标。</w:t>
      </w:r>
    </w:p>
    <w:p>
      <w:pPr>
        <w:spacing w:line="360" w:lineRule="auto"/>
        <w:ind w:firstLine="480"/>
        <w:rPr>
          <w:rFonts w:ascii="宋体" w:hAnsi="宋体" w:cs="宋体"/>
          <w:kern w:val="0"/>
          <w:sz w:val="24"/>
        </w:rPr>
      </w:pPr>
      <w:r>
        <w:rPr>
          <w:rFonts w:hint="eastAsia" w:ascii="宋体" w:hAnsi="宋体" w:cs="宋体"/>
          <w:kern w:val="0"/>
          <w:sz w:val="24"/>
        </w:rPr>
        <w:t>其余未尽事宜，均按合同约定。</w:t>
      </w:r>
    </w:p>
    <w:p>
      <w:pPr>
        <w:spacing w:line="360" w:lineRule="auto"/>
        <w:ind w:firstLine="480"/>
        <w:rPr>
          <w:rFonts w:ascii="宋体" w:hAnsi="宋体" w:cs="宋体"/>
          <w:kern w:val="0"/>
          <w:sz w:val="24"/>
        </w:rPr>
      </w:pPr>
      <w:r>
        <w:rPr>
          <w:rFonts w:hint="eastAsia" w:ascii="宋体" w:hAnsi="宋体" w:cs="宋体"/>
          <w:kern w:val="0"/>
          <w:sz w:val="24"/>
        </w:rPr>
        <w:t>6.5要求招标人或相关合同签订单位提供的配合，在标书文件中说明。</w:t>
      </w:r>
    </w:p>
    <w:p>
      <w:pPr>
        <w:spacing w:line="500" w:lineRule="exact"/>
        <w:ind w:firstLine="281" w:firstLineChars="100"/>
        <w:rPr>
          <w:rFonts w:ascii="宋体" w:hAnsi="宋体" w:cs="宋体"/>
          <w:b/>
          <w:bCs/>
          <w:sz w:val="24"/>
        </w:rPr>
      </w:pPr>
      <w:r>
        <w:rPr>
          <w:rFonts w:hint="eastAsia"/>
          <w:b/>
          <w:sz w:val="28"/>
          <w:szCs w:val="28"/>
        </w:rPr>
        <w:t>七、付款方式</w:t>
      </w:r>
    </w:p>
    <w:p>
      <w:pPr>
        <w:spacing w:line="360" w:lineRule="auto"/>
        <w:ind w:firstLine="482"/>
        <w:rPr>
          <w:rFonts w:ascii="宋体" w:hAnsi="宋体" w:cs="宋体"/>
          <w:bCs/>
          <w:sz w:val="24"/>
        </w:rPr>
      </w:pPr>
      <w:r>
        <w:rPr>
          <w:rFonts w:hint="eastAsia" w:ascii="宋体" w:hAnsi="宋体" w:cs="宋体"/>
          <w:bCs/>
          <w:sz w:val="24"/>
        </w:rPr>
        <w:t>付款方式：</w:t>
      </w:r>
      <w:r>
        <w:rPr>
          <w:rFonts w:hint="eastAsia" w:ascii="宋体" w:hAnsi="宋体" w:cs="宋体"/>
          <w:bCs/>
          <w:kern w:val="0"/>
          <w:sz w:val="24"/>
        </w:rPr>
        <w:t>半年期商业汇票（包括银行承兑汇票和商业承兑汇票）。</w:t>
      </w:r>
    </w:p>
    <w:p>
      <w:pPr>
        <w:pStyle w:val="8"/>
        <w:spacing w:line="360" w:lineRule="auto"/>
        <w:ind w:firstLine="562"/>
        <w:rPr>
          <w:b/>
          <w:sz w:val="28"/>
          <w:szCs w:val="28"/>
        </w:rPr>
      </w:pPr>
      <w:r>
        <w:rPr>
          <w:rFonts w:hint="eastAsia" w:ascii="Calibri" w:hAnsi="Calibri"/>
          <w:b/>
          <w:sz w:val="28"/>
          <w:szCs w:val="28"/>
        </w:rPr>
        <w:t>八、</w:t>
      </w:r>
      <w:r>
        <w:rPr>
          <w:rFonts w:hint="eastAsia" w:ascii="黑体" w:eastAsia="黑体"/>
          <w:b/>
          <w:bCs/>
          <w:sz w:val="28"/>
          <w:szCs w:val="28"/>
        </w:rPr>
        <w:t>投标保证金</w:t>
      </w:r>
    </w:p>
    <w:p>
      <w:pPr>
        <w:pStyle w:val="8"/>
        <w:spacing w:line="360" w:lineRule="auto"/>
        <w:ind w:firstLine="480" w:firstLineChars="200"/>
        <w:rPr>
          <w:sz w:val="24"/>
        </w:rPr>
      </w:pPr>
      <w:r>
        <w:rPr>
          <w:rFonts w:hint="eastAsia"/>
          <w:sz w:val="24"/>
        </w:rPr>
        <w:t>投标单位交5000元为保证金，招标结束后次月退还保证金。</w:t>
      </w:r>
    </w:p>
    <w:p>
      <w:pPr>
        <w:spacing w:line="360" w:lineRule="auto"/>
        <w:ind w:firstLine="480" w:firstLineChars="200"/>
        <w:jc w:val="left"/>
        <w:rPr>
          <w:rFonts w:ascii="宋体" w:hAnsi="宋体" w:cs="宋体"/>
          <w:bCs/>
          <w:kern w:val="0"/>
          <w:sz w:val="24"/>
        </w:rPr>
      </w:pPr>
      <w:r>
        <w:rPr>
          <w:rFonts w:hint="eastAsia" w:ascii="宋体" w:hAnsi="宋体" w:cs="宋体"/>
          <w:bCs/>
          <w:kern w:val="0"/>
          <w:sz w:val="24"/>
        </w:rPr>
        <w:t>投标保证金的形式：电汇或网银(需从投标人基本账户中转出)</w:t>
      </w:r>
    </w:p>
    <w:p>
      <w:pPr>
        <w:spacing w:line="360" w:lineRule="auto"/>
        <w:ind w:firstLine="480" w:firstLineChars="200"/>
        <w:jc w:val="left"/>
        <w:rPr>
          <w:rFonts w:ascii="宋体" w:hAnsi="宋体" w:cs="宋体"/>
          <w:bCs/>
          <w:kern w:val="0"/>
          <w:sz w:val="24"/>
        </w:rPr>
      </w:pPr>
      <w:r>
        <w:rPr>
          <w:rFonts w:hint="eastAsia" w:ascii="宋体" w:hAnsi="宋体" w:cs="宋体"/>
          <w:bCs/>
          <w:kern w:val="0"/>
          <w:sz w:val="24"/>
        </w:rPr>
        <w:t>投标保证金收款账户信息</w:t>
      </w:r>
    </w:p>
    <w:p>
      <w:pPr>
        <w:spacing w:line="360" w:lineRule="auto"/>
        <w:ind w:firstLine="480" w:firstLineChars="200"/>
        <w:jc w:val="left"/>
        <w:rPr>
          <w:rFonts w:ascii="宋体" w:hAnsi="宋体" w:cs="宋体"/>
          <w:bCs/>
          <w:kern w:val="0"/>
          <w:sz w:val="24"/>
        </w:rPr>
      </w:pPr>
      <w:bookmarkStart w:id="4" w:name="OLE_LINK11"/>
      <w:r>
        <w:rPr>
          <w:rFonts w:hint="eastAsia" w:ascii="宋体" w:hAnsi="宋体" w:cs="宋体"/>
          <w:bCs/>
          <w:kern w:val="0"/>
          <w:sz w:val="24"/>
        </w:rPr>
        <w:t>户名：中国重汽集团大同齿轮有限公司</w:t>
      </w:r>
    </w:p>
    <w:p>
      <w:pPr>
        <w:spacing w:line="360" w:lineRule="auto"/>
        <w:ind w:firstLine="480" w:firstLineChars="200"/>
        <w:jc w:val="left"/>
        <w:rPr>
          <w:rFonts w:ascii="宋体" w:hAnsi="宋体" w:cs="宋体"/>
          <w:bCs/>
          <w:kern w:val="0"/>
          <w:sz w:val="24"/>
        </w:rPr>
      </w:pPr>
      <w:r>
        <w:rPr>
          <w:rFonts w:hint="eastAsia" w:ascii="宋体" w:hAnsi="宋体" w:cs="宋体"/>
          <w:bCs/>
          <w:kern w:val="0"/>
          <w:sz w:val="24"/>
        </w:rPr>
        <w:t>账号：0504 0467 1920 0029 164</w:t>
      </w:r>
    </w:p>
    <w:p>
      <w:pPr>
        <w:pStyle w:val="8"/>
        <w:spacing w:line="360" w:lineRule="auto"/>
        <w:ind w:firstLine="480" w:firstLineChars="200"/>
        <w:rPr>
          <w:rFonts w:hAnsi="宋体" w:cs="宋体"/>
          <w:bCs/>
          <w:kern w:val="0"/>
          <w:sz w:val="24"/>
        </w:rPr>
      </w:pPr>
      <w:r>
        <w:rPr>
          <w:rFonts w:hint="eastAsia" w:hAnsi="宋体" w:cs="宋体"/>
          <w:bCs/>
          <w:kern w:val="0"/>
          <w:sz w:val="24"/>
        </w:rPr>
        <w:t>开户行：工行大同魏都支行</w:t>
      </w:r>
    </w:p>
    <w:bookmarkEnd w:id="4"/>
    <w:p>
      <w:pPr>
        <w:pStyle w:val="8"/>
        <w:spacing w:line="360" w:lineRule="auto"/>
        <w:ind w:firstLine="480" w:firstLineChars="200"/>
        <w:rPr>
          <w:rFonts w:hAnsi="宋体" w:cs="宋体"/>
          <w:bCs/>
          <w:kern w:val="0"/>
          <w:sz w:val="24"/>
        </w:rPr>
      </w:pPr>
      <w:r>
        <w:rPr>
          <w:rFonts w:hint="eastAsia" w:hAnsi="宋体" w:cs="宋体"/>
          <w:bCs/>
          <w:kern w:val="0"/>
          <w:sz w:val="24"/>
        </w:rPr>
        <w:t>汇款备注信息：xxx项目+投标单位名称+投标保证金</w:t>
      </w:r>
    </w:p>
    <w:p>
      <w:pPr>
        <w:pStyle w:val="8"/>
        <w:spacing w:line="360" w:lineRule="auto"/>
        <w:ind w:firstLine="480" w:firstLineChars="200"/>
        <w:rPr>
          <w:rFonts w:hAnsi="宋体" w:cs="宋体"/>
          <w:bCs/>
          <w:kern w:val="0"/>
          <w:sz w:val="24"/>
        </w:rPr>
      </w:pPr>
      <w:r>
        <w:rPr>
          <w:rFonts w:hint="eastAsia" w:hAnsi="宋体" w:cs="宋体"/>
          <w:bCs/>
          <w:kern w:val="0"/>
          <w:sz w:val="24"/>
        </w:rPr>
        <w:t>投标保证金需在应标时一起交付，收取截止时间与报名截止日期相同</w:t>
      </w:r>
    </w:p>
    <w:p>
      <w:pPr>
        <w:pStyle w:val="8"/>
        <w:spacing w:line="360" w:lineRule="auto"/>
        <w:ind w:firstLine="480" w:firstLineChars="200"/>
        <w:rPr>
          <w:rFonts w:hAnsi="宋体" w:cs="宋体"/>
          <w:bCs/>
          <w:kern w:val="0"/>
          <w:sz w:val="24"/>
        </w:rPr>
      </w:pPr>
      <w:r>
        <w:rPr>
          <w:rFonts w:hint="eastAsia" w:hAnsi="宋体" w:cs="宋体"/>
          <w:bCs/>
          <w:kern w:val="0"/>
          <w:sz w:val="24"/>
        </w:rPr>
        <w:t>说明：</w:t>
      </w:r>
    </w:p>
    <w:p>
      <w:pPr>
        <w:pStyle w:val="8"/>
        <w:spacing w:line="360" w:lineRule="auto"/>
        <w:ind w:firstLine="480" w:firstLineChars="200"/>
        <w:rPr>
          <w:rFonts w:hAnsi="宋体" w:cs="宋体"/>
          <w:bCs/>
          <w:kern w:val="0"/>
          <w:sz w:val="24"/>
        </w:rPr>
      </w:pPr>
      <w:r>
        <w:rPr>
          <w:rFonts w:hint="eastAsia" w:hAnsi="宋体" w:cs="宋体"/>
          <w:bCs/>
          <w:kern w:val="0"/>
          <w:sz w:val="24"/>
        </w:rPr>
        <w:t>(1) 在确定中标人后，招标人按照财务制度退款，按投标人（除中标人外）所提供的账户信息退还投标保证金（本金，不计息）。</w:t>
      </w:r>
    </w:p>
    <w:p>
      <w:pPr>
        <w:pStyle w:val="8"/>
        <w:spacing w:line="360" w:lineRule="auto"/>
        <w:ind w:firstLine="480" w:firstLineChars="200"/>
        <w:rPr>
          <w:rFonts w:hAnsi="宋体" w:cs="宋体"/>
          <w:bCs/>
          <w:kern w:val="0"/>
          <w:sz w:val="24"/>
        </w:rPr>
      </w:pPr>
      <w:r>
        <w:rPr>
          <w:rFonts w:hint="eastAsia" w:hAnsi="宋体" w:cs="宋体"/>
          <w:bCs/>
          <w:kern w:val="0"/>
          <w:sz w:val="24"/>
        </w:rPr>
        <w:t>(2)投标人在向招标人出示《投标保证金缴纳凭证》后方可进行投标。</w:t>
      </w:r>
    </w:p>
    <w:p>
      <w:pPr>
        <w:pStyle w:val="8"/>
        <w:spacing w:line="360" w:lineRule="auto"/>
        <w:ind w:firstLine="480" w:firstLineChars="200"/>
        <w:rPr>
          <w:rFonts w:hAnsi="宋体" w:cs="宋体"/>
          <w:bCs/>
          <w:kern w:val="0"/>
          <w:sz w:val="24"/>
        </w:rPr>
      </w:pPr>
      <w:r>
        <w:rPr>
          <w:rFonts w:hint="eastAsia" w:hAnsi="宋体" w:cs="宋体"/>
          <w:bCs/>
          <w:kern w:val="0"/>
          <w:sz w:val="24"/>
        </w:rPr>
        <w:t>(3)发生以下情况时，招标人有权没收保证金：</w:t>
      </w:r>
    </w:p>
    <w:p>
      <w:pPr>
        <w:pStyle w:val="8"/>
        <w:spacing w:line="360" w:lineRule="auto"/>
        <w:ind w:firstLine="480" w:firstLineChars="200"/>
        <w:rPr>
          <w:rFonts w:hAnsi="宋体" w:cs="宋体"/>
          <w:bCs/>
          <w:kern w:val="0"/>
          <w:sz w:val="24"/>
        </w:rPr>
      </w:pPr>
      <w:r>
        <w:rPr>
          <w:rFonts w:hint="eastAsia" w:hAnsi="宋体" w:cs="宋体"/>
          <w:bCs/>
          <w:kern w:val="0"/>
          <w:sz w:val="24"/>
        </w:rPr>
        <w:t>a）截至开标前3天，投标人无正当理由且未以书面形式递交说明而在投标截止日不来投标的；</w:t>
      </w:r>
    </w:p>
    <w:p>
      <w:pPr>
        <w:pStyle w:val="8"/>
        <w:spacing w:line="360" w:lineRule="auto"/>
        <w:ind w:firstLine="480" w:firstLineChars="200"/>
        <w:rPr>
          <w:rFonts w:hAnsi="宋体" w:cs="宋体"/>
          <w:bCs/>
          <w:kern w:val="0"/>
          <w:sz w:val="24"/>
        </w:rPr>
      </w:pPr>
      <w:r>
        <w:rPr>
          <w:rFonts w:hint="eastAsia" w:hAnsi="宋体" w:cs="宋体"/>
          <w:bCs/>
          <w:kern w:val="0"/>
          <w:sz w:val="24"/>
        </w:rPr>
        <w:t>b）投标人递送投标文件后，无正当理由放弃投标的；</w:t>
      </w:r>
    </w:p>
    <w:p>
      <w:pPr>
        <w:pStyle w:val="8"/>
        <w:spacing w:line="360" w:lineRule="auto"/>
        <w:ind w:firstLine="480" w:firstLineChars="200"/>
        <w:rPr>
          <w:rFonts w:hAnsi="宋体" w:cs="宋体"/>
          <w:bCs/>
          <w:kern w:val="0"/>
          <w:sz w:val="24"/>
        </w:rPr>
      </w:pPr>
      <w:r>
        <w:rPr>
          <w:rFonts w:hint="eastAsia" w:hAnsi="宋体" w:cs="宋体"/>
          <w:bCs/>
          <w:kern w:val="0"/>
          <w:sz w:val="24"/>
        </w:rPr>
        <w:t>c）自中标通知书发出之日起30日内，中标人无正当理由不签订合同的；</w:t>
      </w:r>
    </w:p>
    <w:p>
      <w:pPr>
        <w:pStyle w:val="8"/>
        <w:spacing w:line="360" w:lineRule="auto"/>
        <w:ind w:firstLine="480" w:firstLineChars="200"/>
        <w:rPr>
          <w:rFonts w:hAnsi="宋体" w:cs="宋体"/>
          <w:bCs/>
          <w:kern w:val="0"/>
          <w:sz w:val="24"/>
        </w:rPr>
      </w:pPr>
      <w:r>
        <w:rPr>
          <w:rFonts w:hint="eastAsia" w:hAnsi="宋体" w:cs="宋体"/>
          <w:bCs/>
          <w:kern w:val="0"/>
          <w:sz w:val="24"/>
        </w:rPr>
        <w:t>d）投标人在投标过程中被查实有串标、围标、陪标等违规违纪行为的；</w:t>
      </w:r>
    </w:p>
    <w:p>
      <w:pPr>
        <w:pStyle w:val="8"/>
        <w:spacing w:line="360" w:lineRule="auto"/>
        <w:ind w:firstLine="480" w:firstLineChars="200"/>
        <w:rPr>
          <w:rFonts w:hAnsi="宋体" w:cs="宋体"/>
          <w:bCs/>
          <w:color w:val="FF0000"/>
          <w:kern w:val="0"/>
          <w:sz w:val="24"/>
        </w:rPr>
      </w:pPr>
      <w:r>
        <w:rPr>
          <w:rFonts w:hint="eastAsia" w:hAnsi="宋体" w:cs="宋体"/>
          <w:bCs/>
          <w:kern w:val="0"/>
          <w:sz w:val="24"/>
        </w:rPr>
        <w:t>e）投标人有违约违规行为或被投诉、举报的，在调查处理期间，保证金暂不退还，待调查处理结束后按有关规定处理。</w:t>
      </w:r>
    </w:p>
    <w:p>
      <w:pPr>
        <w:pStyle w:val="8"/>
        <w:spacing w:line="360" w:lineRule="auto"/>
        <w:ind w:firstLine="562"/>
        <w:rPr>
          <w:rFonts w:eastAsia="黑体"/>
        </w:rPr>
      </w:pPr>
      <w:r>
        <w:rPr>
          <w:rFonts w:hint="eastAsia" w:ascii="黑体" w:eastAsia="黑体"/>
          <w:b/>
          <w:bCs/>
          <w:sz w:val="28"/>
        </w:rPr>
        <w:t>九、开标评标</w:t>
      </w:r>
    </w:p>
    <w:p>
      <w:pPr>
        <w:spacing w:line="360" w:lineRule="auto"/>
        <w:ind w:firstLine="482"/>
        <w:rPr>
          <w:rFonts w:ascii="宋体" w:hAnsi="宋体" w:cs="宋体"/>
          <w:kern w:val="0"/>
          <w:sz w:val="24"/>
        </w:rPr>
      </w:pPr>
      <w:r>
        <w:rPr>
          <w:rFonts w:hint="eastAsia" w:ascii="宋体" w:hAnsi="宋体" w:cs="宋体"/>
          <w:kern w:val="0"/>
          <w:sz w:val="24"/>
        </w:rPr>
        <w:t>1.开标</w:t>
      </w:r>
    </w:p>
    <w:p>
      <w:pPr>
        <w:spacing w:line="360" w:lineRule="auto"/>
        <w:ind w:firstLine="482"/>
        <w:rPr>
          <w:rFonts w:ascii="宋体" w:hAnsi="宋体" w:cs="宋体"/>
          <w:kern w:val="0"/>
          <w:sz w:val="24"/>
        </w:rPr>
      </w:pPr>
      <w:r>
        <w:rPr>
          <w:rFonts w:hint="eastAsia" w:ascii="宋体" w:hAnsi="宋体" w:cs="宋体"/>
          <w:kern w:val="0"/>
          <w:sz w:val="24"/>
        </w:rPr>
        <w:t>（1）本次招标的开标、评标由招标人依法组织实施，本次招标采用公开招标。</w:t>
      </w:r>
    </w:p>
    <w:p>
      <w:pPr>
        <w:spacing w:line="360" w:lineRule="auto"/>
        <w:ind w:firstLine="482"/>
        <w:rPr>
          <w:rFonts w:ascii="宋体" w:hAnsi="宋体" w:cs="宋体"/>
          <w:kern w:val="0"/>
          <w:sz w:val="24"/>
        </w:rPr>
      </w:pPr>
      <w:r>
        <w:rPr>
          <w:rFonts w:hint="eastAsia" w:ascii="宋体" w:hAnsi="宋体" w:cs="宋体"/>
          <w:kern w:val="0"/>
          <w:sz w:val="24"/>
        </w:rPr>
        <w:t>（2）本项目开标时间和地点见投标人须知前附表。开标会议由招标人组织并主持。投标人未到现场参加开标的，视同认可开标结果。</w:t>
      </w:r>
    </w:p>
    <w:p>
      <w:pPr>
        <w:spacing w:line="360" w:lineRule="auto"/>
        <w:ind w:firstLine="482"/>
        <w:rPr>
          <w:rFonts w:ascii="宋体" w:hAnsi="宋体" w:cs="宋体"/>
          <w:kern w:val="0"/>
          <w:sz w:val="24"/>
        </w:rPr>
      </w:pPr>
      <w:r>
        <w:rPr>
          <w:rFonts w:hint="eastAsia" w:ascii="宋体" w:hAnsi="宋体" w:cs="宋体"/>
          <w:kern w:val="0"/>
          <w:sz w:val="24"/>
        </w:rPr>
        <w:t>（3）开标程序</w:t>
      </w:r>
    </w:p>
    <w:p>
      <w:pPr>
        <w:spacing w:line="360" w:lineRule="auto"/>
        <w:ind w:firstLine="482"/>
        <w:rPr>
          <w:rFonts w:ascii="宋体" w:hAnsi="宋体" w:cs="宋体"/>
          <w:kern w:val="0"/>
          <w:sz w:val="24"/>
        </w:rPr>
      </w:pPr>
      <w:r>
        <w:rPr>
          <w:rFonts w:hint="eastAsia" w:ascii="宋体" w:hAnsi="宋体" w:cs="宋体"/>
          <w:kern w:val="0"/>
          <w:sz w:val="24"/>
        </w:rPr>
        <w:t>（a）宣布开标会议开始。</w:t>
      </w:r>
    </w:p>
    <w:p>
      <w:pPr>
        <w:spacing w:line="360" w:lineRule="auto"/>
        <w:ind w:firstLine="482"/>
        <w:rPr>
          <w:rFonts w:ascii="宋体" w:hAnsi="宋体" w:cs="宋体"/>
          <w:kern w:val="0"/>
          <w:sz w:val="24"/>
        </w:rPr>
      </w:pPr>
      <w:r>
        <w:rPr>
          <w:rFonts w:hint="eastAsia" w:ascii="宋体" w:hAnsi="宋体" w:cs="宋体"/>
          <w:kern w:val="0"/>
          <w:sz w:val="24"/>
        </w:rPr>
        <w:t>（b）介绍参会人员。</w:t>
      </w:r>
    </w:p>
    <w:p>
      <w:pPr>
        <w:spacing w:line="360" w:lineRule="auto"/>
        <w:ind w:firstLine="482"/>
        <w:rPr>
          <w:rFonts w:ascii="宋体" w:hAnsi="宋体" w:cs="宋体"/>
          <w:kern w:val="0"/>
          <w:sz w:val="24"/>
        </w:rPr>
      </w:pPr>
      <w:r>
        <w:rPr>
          <w:rFonts w:hint="eastAsia" w:ascii="宋体" w:hAnsi="宋体" w:cs="宋体"/>
          <w:kern w:val="0"/>
          <w:sz w:val="24"/>
        </w:rPr>
        <w:t>（c）核验投标人资格证件。</w:t>
      </w:r>
    </w:p>
    <w:p>
      <w:pPr>
        <w:spacing w:line="360" w:lineRule="auto"/>
        <w:ind w:firstLine="482"/>
        <w:rPr>
          <w:rFonts w:ascii="宋体" w:hAnsi="宋体" w:cs="宋体"/>
          <w:kern w:val="0"/>
          <w:sz w:val="24"/>
        </w:rPr>
      </w:pPr>
      <w:r>
        <w:rPr>
          <w:rFonts w:hint="eastAsia" w:ascii="宋体" w:hAnsi="宋体" w:cs="宋体"/>
          <w:kern w:val="0"/>
          <w:sz w:val="24"/>
        </w:rPr>
        <w:t>（d）投标人或投标人推选的代表对投标文件密封情况进行检查（投标人未参加开标会议的，视同认可投标文件密封完好）。</w:t>
      </w:r>
    </w:p>
    <w:p>
      <w:pPr>
        <w:spacing w:line="360" w:lineRule="auto"/>
        <w:ind w:firstLine="482"/>
        <w:rPr>
          <w:rFonts w:ascii="宋体" w:hAnsi="宋体" w:cs="宋体"/>
          <w:kern w:val="0"/>
          <w:sz w:val="24"/>
        </w:rPr>
      </w:pPr>
      <w:r>
        <w:rPr>
          <w:rFonts w:hint="eastAsia" w:ascii="宋体" w:hAnsi="宋体" w:cs="宋体"/>
          <w:kern w:val="0"/>
          <w:sz w:val="24"/>
        </w:rPr>
        <w:t>（e）经确认无误后，由工作人员当众拆封，由评标专家组对投标方进行综合评定，形成专家意见汇总，推荐性价比最优的投标方。</w:t>
      </w:r>
    </w:p>
    <w:p>
      <w:pPr>
        <w:spacing w:line="360" w:lineRule="auto"/>
        <w:ind w:firstLine="482"/>
        <w:rPr>
          <w:rFonts w:ascii="宋体" w:hAnsi="宋体" w:cs="宋体"/>
          <w:kern w:val="0"/>
          <w:sz w:val="24"/>
        </w:rPr>
      </w:pPr>
      <w:r>
        <w:rPr>
          <w:rFonts w:hint="eastAsia" w:ascii="宋体" w:hAnsi="宋体" w:cs="宋体"/>
          <w:kern w:val="0"/>
          <w:sz w:val="24"/>
        </w:rPr>
        <w:t>（h）招标人有权根据项目情况，采取多级评标模式，最终确定投标人排序。</w:t>
      </w:r>
    </w:p>
    <w:p>
      <w:pPr>
        <w:spacing w:line="360" w:lineRule="auto"/>
        <w:ind w:firstLine="482"/>
        <w:rPr>
          <w:rFonts w:ascii="宋体" w:hAnsi="宋体" w:cs="宋体"/>
          <w:kern w:val="0"/>
          <w:sz w:val="24"/>
        </w:rPr>
      </w:pPr>
      <w:r>
        <w:rPr>
          <w:rFonts w:hint="eastAsia" w:ascii="宋体" w:hAnsi="宋体" w:cs="宋体"/>
          <w:kern w:val="0"/>
          <w:sz w:val="24"/>
        </w:rPr>
        <w:t>（i）投标前请各投标方按照招标文件要求对项目方案进行充分准备，投标单位已默认认可上述开标、评标过程，无异议。招标人无义务对未入围投标方及未中标方做任何解释。</w:t>
      </w:r>
    </w:p>
    <w:p>
      <w:pPr>
        <w:spacing w:line="360" w:lineRule="auto"/>
        <w:ind w:firstLine="482"/>
        <w:rPr>
          <w:rFonts w:ascii="宋体" w:hAnsi="宋体" w:cs="宋体"/>
          <w:kern w:val="0"/>
          <w:sz w:val="24"/>
        </w:rPr>
      </w:pPr>
      <w:r>
        <w:rPr>
          <w:rFonts w:hint="eastAsia" w:ascii="宋体" w:hAnsi="宋体" w:cs="宋体"/>
          <w:kern w:val="0"/>
          <w:sz w:val="24"/>
        </w:rPr>
        <w:t>(4)所有报价货币单位均为：元（人民币，含税）。</w:t>
      </w:r>
    </w:p>
    <w:p>
      <w:pPr>
        <w:pStyle w:val="8"/>
        <w:spacing w:line="360" w:lineRule="auto"/>
        <w:ind w:firstLine="480" w:firstLineChars="200"/>
        <w:rPr>
          <w:rFonts w:hAnsi="宋体"/>
          <w:bCs/>
          <w:sz w:val="24"/>
        </w:rPr>
      </w:pPr>
      <w:r>
        <w:rPr>
          <w:rFonts w:hint="eastAsia" w:hAnsi="宋体"/>
          <w:bCs/>
          <w:sz w:val="24"/>
        </w:rPr>
        <w:t>2.资格审核：</w:t>
      </w:r>
    </w:p>
    <w:p>
      <w:pPr>
        <w:pStyle w:val="8"/>
        <w:spacing w:line="360" w:lineRule="auto"/>
        <w:ind w:firstLine="480" w:firstLineChars="200"/>
        <w:rPr>
          <w:rFonts w:hAnsi="宋体"/>
          <w:sz w:val="24"/>
        </w:rPr>
      </w:pPr>
      <w:r>
        <w:rPr>
          <w:rFonts w:hint="eastAsia" w:hAnsi="宋体"/>
          <w:sz w:val="24"/>
        </w:rPr>
        <w:t>⑴审核依据：“第二章  投标人须知”中以下条款中的要求</w:t>
      </w:r>
    </w:p>
    <w:p>
      <w:pPr>
        <w:pStyle w:val="8"/>
        <w:spacing w:line="360" w:lineRule="auto"/>
        <w:ind w:firstLine="480" w:firstLineChars="200"/>
        <w:rPr>
          <w:rFonts w:hAnsi="宋体"/>
          <w:sz w:val="24"/>
        </w:rPr>
      </w:pPr>
      <w:r>
        <w:rPr>
          <w:rFonts w:hint="eastAsia" w:hAnsi="宋体"/>
          <w:sz w:val="24"/>
        </w:rPr>
        <w:t>①“一、合格投标人”；</w:t>
      </w:r>
    </w:p>
    <w:p>
      <w:pPr>
        <w:pStyle w:val="8"/>
        <w:spacing w:line="360" w:lineRule="auto"/>
        <w:ind w:firstLine="480" w:firstLineChars="200"/>
        <w:rPr>
          <w:rFonts w:hAnsi="宋体"/>
          <w:sz w:val="24"/>
        </w:rPr>
      </w:pPr>
      <w:r>
        <w:rPr>
          <w:rFonts w:hint="eastAsia" w:hAnsi="宋体"/>
          <w:sz w:val="24"/>
        </w:rPr>
        <w:t>②“二、投标响应文件要求”之“1.⑴资质文件”；</w:t>
      </w:r>
    </w:p>
    <w:p>
      <w:pPr>
        <w:pStyle w:val="8"/>
        <w:spacing w:line="360" w:lineRule="auto"/>
        <w:ind w:firstLine="480" w:firstLineChars="200"/>
        <w:rPr>
          <w:rFonts w:hAnsi="宋体"/>
          <w:sz w:val="24"/>
        </w:rPr>
      </w:pPr>
      <w:r>
        <w:rPr>
          <w:rFonts w:hint="eastAsia" w:hAnsi="宋体"/>
          <w:sz w:val="24"/>
        </w:rPr>
        <w:t>⑵审核方法：</w:t>
      </w:r>
    </w:p>
    <w:p>
      <w:pPr>
        <w:pStyle w:val="8"/>
        <w:spacing w:line="360" w:lineRule="auto"/>
        <w:ind w:firstLine="480" w:firstLineChars="200"/>
        <w:rPr>
          <w:rFonts w:hAnsi="宋体"/>
          <w:sz w:val="24"/>
        </w:rPr>
      </w:pPr>
      <w:r>
        <w:rPr>
          <w:rFonts w:hint="eastAsia" w:hAnsi="宋体"/>
          <w:sz w:val="24"/>
        </w:rPr>
        <w:t>由招标人组织评标专家成立资质审核小组进行审核。资格审核中所列示的所有条款均属于否决项，对于任意一项或多项未达到资格审核要求的投标人，视为主动放弃投标，该投标人将不能进入后续的评标程序。对于未通过资格审核要求的投标人，不做任何解释。</w:t>
      </w:r>
    </w:p>
    <w:p>
      <w:pPr>
        <w:spacing w:line="360" w:lineRule="auto"/>
        <w:ind w:firstLine="482"/>
        <w:rPr>
          <w:rFonts w:ascii="宋体" w:hAnsi="宋体" w:cs="宋体"/>
          <w:kern w:val="0"/>
          <w:sz w:val="24"/>
        </w:rPr>
      </w:pPr>
      <w:r>
        <w:rPr>
          <w:rFonts w:hint="eastAsia" w:ascii="宋体" w:hAnsi="宋体" w:cs="宋体"/>
          <w:kern w:val="0"/>
          <w:sz w:val="24"/>
        </w:rPr>
        <w:t>3.评标</w:t>
      </w:r>
    </w:p>
    <w:p>
      <w:pPr>
        <w:spacing w:line="360" w:lineRule="auto"/>
        <w:ind w:firstLine="482"/>
        <w:rPr>
          <w:rFonts w:ascii="宋体" w:hAnsi="宋体" w:cs="宋体"/>
          <w:kern w:val="0"/>
          <w:sz w:val="24"/>
        </w:rPr>
      </w:pPr>
      <w:r>
        <w:rPr>
          <w:rFonts w:ascii="宋体" w:hAnsi="宋体" w:cs="宋体"/>
          <w:sz w:val="24"/>
        </w:rPr>
        <w:t>商务标专家组与</w:t>
      </w:r>
      <w:r>
        <w:rPr>
          <w:rFonts w:hint="eastAsia" w:ascii="宋体" w:hAnsi="宋体" w:cs="宋体"/>
          <w:sz w:val="24"/>
        </w:rPr>
        <w:t>有</w:t>
      </w:r>
      <w:r>
        <w:rPr>
          <w:rFonts w:ascii="宋体" w:hAnsi="宋体" w:cs="宋体"/>
          <w:sz w:val="24"/>
        </w:rPr>
        <w:t>效投标人在其开标报价的基础上开展至少</w:t>
      </w:r>
      <w:r>
        <w:rPr>
          <w:rFonts w:hint="eastAsia" w:ascii="宋体" w:hAnsi="宋体" w:cs="宋体"/>
          <w:sz w:val="24"/>
        </w:rPr>
        <w:t>2</w:t>
      </w:r>
      <w:r>
        <w:rPr>
          <w:rFonts w:ascii="宋体" w:hAnsi="宋体" w:cs="宋体"/>
          <w:sz w:val="24"/>
        </w:rPr>
        <w:t>轮商务谈判，投标人报价达到招标人认为的合理最低价时确定推荐中标人</w:t>
      </w:r>
      <w:r>
        <w:rPr>
          <w:rFonts w:hint="eastAsia" w:ascii="宋体" w:hAnsi="宋体" w:cs="宋体"/>
          <w:kern w:val="0"/>
          <w:sz w:val="24"/>
        </w:rPr>
        <w:t>。</w:t>
      </w:r>
    </w:p>
    <w:p>
      <w:pPr>
        <w:pStyle w:val="8"/>
        <w:adjustRightInd w:val="0"/>
        <w:snapToGrid w:val="0"/>
        <w:spacing w:line="400" w:lineRule="exact"/>
        <w:ind w:firstLine="562"/>
        <w:rPr>
          <w:b/>
          <w:sz w:val="28"/>
          <w:szCs w:val="28"/>
        </w:rPr>
      </w:pPr>
      <w:r>
        <w:rPr>
          <w:rFonts w:hint="eastAsia"/>
          <w:b/>
          <w:sz w:val="28"/>
          <w:szCs w:val="28"/>
        </w:rPr>
        <w:t>十、说明</w:t>
      </w:r>
    </w:p>
    <w:p>
      <w:pPr>
        <w:pStyle w:val="8"/>
        <w:adjustRightInd w:val="0"/>
        <w:snapToGrid w:val="0"/>
        <w:spacing w:line="400" w:lineRule="exact"/>
        <w:ind w:firstLine="480" w:firstLineChars="200"/>
        <w:rPr>
          <w:sz w:val="24"/>
        </w:rPr>
      </w:pPr>
      <w:r>
        <w:rPr>
          <w:rFonts w:hint="eastAsia"/>
          <w:sz w:val="24"/>
        </w:rPr>
        <w:t>本招标文件解释权归中国重汽集团大同齿轮有限公司安全环保部。</w:t>
      </w:r>
    </w:p>
    <w:p>
      <w:pPr>
        <w:pStyle w:val="12"/>
        <w:shd w:val="clear" w:color="auto" w:fill="FFFFFF"/>
        <w:spacing w:before="0" w:beforeAutospacing="0" w:after="0" w:afterAutospacing="0" w:line="360" w:lineRule="auto"/>
        <w:rPr>
          <w:rFonts w:hint="eastAsia"/>
          <w:kern w:val="2"/>
        </w:rPr>
      </w:pPr>
      <w:r>
        <w:rPr>
          <w:rFonts w:hint="eastAsia" w:hAnsi="Courier New"/>
          <w:kern w:val="2"/>
        </w:rPr>
        <w:t>招标单位联系人及联系电话：王丹丹1503529305</w:t>
      </w:r>
      <w:r>
        <w:rPr>
          <w:rFonts w:hint="eastAsia"/>
          <w:kern w:val="2"/>
        </w:rPr>
        <w:t>2</w:t>
      </w:r>
    </w:p>
    <w:p>
      <w:pPr>
        <w:pStyle w:val="8"/>
        <w:spacing w:line="360" w:lineRule="auto"/>
        <w:ind w:firstLine="723"/>
        <w:jc w:val="center"/>
        <w:outlineLvl w:val="0"/>
        <w:rPr>
          <w:rFonts w:hAnsi="宋体"/>
          <w:b/>
          <w:bCs/>
          <w:sz w:val="36"/>
          <w:szCs w:val="36"/>
        </w:rPr>
      </w:pPr>
      <w:r>
        <w:rPr>
          <w:rFonts w:hint="eastAsia" w:hAnsi="宋体"/>
          <w:b/>
          <w:bCs/>
          <w:sz w:val="36"/>
          <w:szCs w:val="36"/>
        </w:rPr>
        <w:t>第二章  投标人须知</w:t>
      </w:r>
    </w:p>
    <w:p>
      <w:pPr>
        <w:pStyle w:val="8"/>
        <w:spacing w:line="360" w:lineRule="auto"/>
        <w:ind w:firstLine="562"/>
        <w:rPr>
          <w:rFonts w:hAnsi="宋体"/>
          <w:b/>
          <w:bCs/>
          <w:sz w:val="28"/>
          <w:szCs w:val="28"/>
        </w:rPr>
      </w:pPr>
      <w:r>
        <w:rPr>
          <w:rFonts w:hint="eastAsia" w:hAnsi="宋体"/>
          <w:b/>
          <w:bCs/>
          <w:sz w:val="28"/>
          <w:szCs w:val="28"/>
        </w:rPr>
        <w:t>一、合格投标人</w:t>
      </w:r>
    </w:p>
    <w:p>
      <w:pPr>
        <w:pStyle w:val="8"/>
        <w:spacing w:line="360" w:lineRule="auto"/>
        <w:ind w:firstLine="480" w:firstLineChars="200"/>
        <w:rPr>
          <w:rFonts w:hAnsi="宋体"/>
          <w:sz w:val="24"/>
          <w:szCs w:val="24"/>
        </w:rPr>
      </w:pPr>
      <w:r>
        <w:rPr>
          <w:rFonts w:hint="eastAsia" w:hAnsi="宋体"/>
          <w:sz w:val="24"/>
          <w:szCs w:val="24"/>
        </w:rPr>
        <w:t>1.拟投标人公司成立三年以上（营业执照注册日期到开标日期满三年为准），营业范围函盖本项目需求；</w:t>
      </w:r>
    </w:p>
    <w:p>
      <w:pPr>
        <w:pStyle w:val="8"/>
        <w:spacing w:line="360" w:lineRule="auto"/>
        <w:ind w:firstLine="480" w:firstLineChars="200"/>
        <w:rPr>
          <w:rFonts w:hAnsi="宋体"/>
          <w:sz w:val="24"/>
          <w:szCs w:val="24"/>
        </w:rPr>
      </w:pPr>
      <w:r>
        <w:rPr>
          <w:rFonts w:hint="eastAsia" w:hAnsi="宋体"/>
          <w:sz w:val="24"/>
          <w:szCs w:val="24"/>
        </w:rPr>
        <w:t xml:space="preserve">2、拟标投人注册资本符合项目要求，原则上投标人注册资金不得低于项目标的额或不低于 500 万元；投标人注册资金不符条件但确属优秀的，经项目实施单位和业务主管部门负责人会签后，可接受其投标； </w:t>
      </w:r>
    </w:p>
    <w:p>
      <w:pPr>
        <w:pStyle w:val="8"/>
        <w:spacing w:line="360" w:lineRule="auto"/>
        <w:ind w:firstLine="480" w:firstLineChars="200"/>
        <w:rPr>
          <w:rFonts w:hAnsi="宋体"/>
          <w:sz w:val="24"/>
          <w:szCs w:val="24"/>
        </w:rPr>
      </w:pPr>
      <w:r>
        <w:rPr>
          <w:rFonts w:hint="eastAsia" w:hAnsi="宋体"/>
          <w:sz w:val="24"/>
          <w:szCs w:val="24"/>
        </w:rPr>
        <w:t>3.拟投标人在近三年内在经营活动中无违法记录, 如不如实告知, 一经查实一票否决。</w:t>
      </w:r>
    </w:p>
    <w:p>
      <w:pPr>
        <w:pStyle w:val="8"/>
        <w:spacing w:line="360" w:lineRule="auto"/>
        <w:ind w:firstLine="480" w:firstLineChars="200"/>
        <w:rPr>
          <w:rFonts w:hAnsi="宋体"/>
          <w:sz w:val="24"/>
          <w:szCs w:val="24"/>
        </w:rPr>
      </w:pPr>
      <w:r>
        <w:rPr>
          <w:rFonts w:hint="eastAsia" w:hAnsi="宋体"/>
          <w:sz w:val="24"/>
          <w:szCs w:val="24"/>
        </w:rPr>
        <w:t>4.具有健全的财务会计制度，财务状况和市场行为良好。可提供2022年经审计的财务报告或财务报表。没有处于被有权机关吊销营业执照、吊销资质、停业整顿、取消投标资格以及财产被接管、冻结或进入破产程序等任何不利于合同目的实现的情形。</w:t>
      </w:r>
    </w:p>
    <w:p>
      <w:pPr>
        <w:pStyle w:val="8"/>
        <w:spacing w:line="360" w:lineRule="auto"/>
        <w:ind w:firstLine="480" w:firstLineChars="200"/>
        <w:rPr>
          <w:rFonts w:hAnsi="宋体"/>
          <w:sz w:val="24"/>
          <w:szCs w:val="24"/>
        </w:rPr>
      </w:pPr>
      <w:r>
        <w:rPr>
          <w:rFonts w:hint="eastAsia" w:hAnsi="宋体"/>
          <w:sz w:val="24"/>
          <w:szCs w:val="24"/>
        </w:rPr>
        <w:t>5.拟投标人没有被列入招标人《黑名单》（《黑名单》指投标人与招标人在以往或正在进行的合作中，存在招标人认为的违反合同约定或违反法律法规等的失信行为）的。</w:t>
      </w:r>
    </w:p>
    <w:p>
      <w:pPr>
        <w:pStyle w:val="8"/>
        <w:spacing w:line="360" w:lineRule="auto"/>
        <w:ind w:firstLine="480" w:firstLineChars="200"/>
        <w:rPr>
          <w:rFonts w:hAnsi="宋体"/>
          <w:sz w:val="24"/>
          <w:szCs w:val="24"/>
        </w:rPr>
      </w:pPr>
      <w:r>
        <w:rPr>
          <w:rFonts w:hint="eastAsia" w:hAnsi="宋体"/>
          <w:sz w:val="24"/>
          <w:szCs w:val="24"/>
        </w:rPr>
        <w:t>6.拟投标人须具有履行合同所必须的设备、财务、技术、服务等方面的资质和能力。</w:t>
      </w:r>
    </w:p>
    <w:p>
      <w:pPr>
        <w:pStyle w:val="8"/>
        <w:spacing w:line="360" w:lineRule="auto"/>
        <w:ind w:firstLine="480" w:firstLineChars="200"/>
        <w:rPr>
          <w:rFonts w:hAnsi="宋体"/>
          <w:sz w:val="24"/>
          <w:szCs w:val="24"/>
        </w:rPr>
      </w:pPr>
      <w:r>
        <w:rPr>
          <w:rFonts w:hint="eastAsia" w:hAnsi="宋体"/>
          <w:sz w:val="24"/>
          <w:szCs w:val="24"/>
        </w:rPr>
        <w:t>7.拟投标人须具有完全履行招标文件的所有要求的能力。</w:t>
      </w:r>
    </w:p>
    <w:p>
      <w:pPr>
        <w:pStyle w:val="8"/>
        <w:spacing w:line="360" w:lineRule="auto"/>
        <w:ind w:firstLine="480" w:firstLineChars="200"/>
        <w:rPr>
          <w:rFonts w:hAnsi="宋体"/>
          <w:sz w:val="24"/>
          <w:szCs w:val="24"/>
        </w:rPr>
      </w:pPr>
      <w:r>
        <w:rPr>
          <w:rFonts w:hint="eastAsia" w:hAnsi="宋体"/>
          <w:sz w:val="24"/>
          <w:szCs w:val="24"/>
        </w:rPr>
        <w:t>8.拟投标人须认可招标人的工作指令，包括节、假日能正常开展工作的要求。</w:t>
      </w:r>
    </w:p>
    <w:p>
      <w:pPr>
        <w:pStyle w:val="8"/>
        <w:spacing w:line="360" w:lineRule="auto"/>
        <w:ind w:firstLine="480" w:firstLineChars="200"/>
        <w:rPr>
          <w:rFonts w:hAnsi="宋体"/>
          <w:sz w:val="24"/>
          <w:szCs w:val="24"/>
        </w:rPr>
      </w:pPr>
      <w:r>
        <w:rPr>
          <w:rFonts w:hint="eastAsia" w:hAnsi="宋体"/>
          <w:sz w:val="24"/>
          <w:szCs w:val="24"/>
        </w:rPr>
        <w:t>9.拟投标人必须是最终投标、签订合同的单位，不得以任何理由将已中标项目以任何形式转包或者分包给其他单位。</w:t>
      </w:r>
    </w:p>
    <w:p>
      <w:pPr>
        <w:pStyle w:val="8"/>
        <w:spacing w:line="360" w:lineRule="auto"/>
        <w:ind w:firstLine="480" w:firstLineChars="200"/>
        <w:rPr>
          <w:rFonts w:hAnsi="宋体"/>
          <w:sz w:val="24"/>
          <w:szCs w:val="24"/>
        </w:rPr>
      </w:pPr>
      <w:r>
        <w:rPr>
          <w:rFonts w:hint="eastAsia" w:hAnsi="宋体"/>
          <w:sz w:val="24"/>
          <w:szCs w:val="24"/>
        </w:rPr>
        <w:t>10.本次招标项目不接受联合体投标。</w:t>
      </w:r>
    </w:p>
    <w:p>
      <w:pPr>
        <w:pStyle w:val="8"/>
        <w:spacing w:line="360" w:lineRule="auto"/>
        <w:ind w:firstLine="480" w:firstLineChars="200"/>
        <w:rPr>
          <w:rFonts w:hAnsi="宋体"/>
          <w:sz w:val="24"/>
          <w:szCs w:val="24"/>
        </w:rPr>
      </w:pPr>
      <w:r>
        <w:rPr>
          <w:rFonts w:hint="eastAsia" w:hAnsi="宋体"/>
          <w:sz w:val="24"/>
          <w:szCs w:val="24"/>
        </w:rPr>
        <w:t xml:space="preserve">11.投标人之间必须具有充分的竞争关系； </w:t>
      </w:r>
    </w:p>
    <w:p>
      <w:pPr>
        <w:pStyle w:val="8"/>
        <w:spacing w:line="360" w:lineRule="auto"/>
        <w:ind w:firstLine="480" w:firstLineChars="200"/>
        <w:rPr>
          <w:rFonts w:hAnsi="宋体"/>
          <w:sz w:val="28"/>
          <w:szCs w:val="28"/>
        </w:rPr>
      </w:pPr>
      <w:r>
        <w:rPr>
          <w:rFonts w:hint="eastAsia" w:hAnsi="宋体"/>
          <w:sz w:val="24"/>
          <w:szCs w:val="24"/>
        </w:rPr>
        <w:t>12.供方的直接或间接股东、法定代表人、董事、监事、高管非重汽员工及其亲属。</w:t>
      </w:r>
    </w:p>
    <w:p>
      <w:pPr>
        <w:pStyle w:val="8"/>
        <w:spacing w:line="360" w:lineRule="auto"/>
        <w:ind w:firstLine="562"/>
        <w:rPr>
          <w:rFonts w:hAnsi="宋体"/>
          <w:b/>
          <w:bCs/>
          <w:sz w:val="28"/>
          <w:szCs w:val="28"/>
        </w:rPr>
      </w:pPr>
      <w:r>
        <w:rPr>
          <w:rFonts w:hint="eastAsia" w:hAnsi="宋体"/>
          <w:b/>
          <w:bCs/>
          <w:sz w:val="28"/>
          <w:szCs w:val="28"/>
        </w:rPr>
        <w:t>二、投标响应文件</w:t>
      </w:r>
    </w:p>
    <w:p>
      <w:pPr>
        <w:pStyle w:val="8"/>
        <w:spacing w:line="360" w:lineRule="auto"/>
        <w:ind w:firstLine="482" w:firstLineChars="200"/>
        <w:rPr>
          <w:rFonts w:hAnsi="宋体"/>
          <w:b/>
          <w:sz w:val="24"/>
          <w:szCs w:val="24"/>
        </w:rPr>
      </w:pPr>
      <w:r>
        <w:rPr>
          <w:rFonts w:hint="eastAsia" w:hAnsi="宋体"/>
          <w:b/>
          <w:sz w:val="24"/>
          <w:szCs w:val="24"/>
        </w:rPr>
        <w:t>1.投标响应文件组成：</w:t>
      </w:r>
    </w:p>
    <w:p>
      <w:pPr>
        <w:pStyle w:val="8"/>
        <w:spacing w:line="360" w:lineRule="auto"/>
        <w:ind w:firstLine="482" w:firstLineChars="200"/>
        <w:rPr>
          <w:rFonts w:hAnsi="宋体"/>
          <w:b/>
          <w:sz w:val="24"/>
          <w:szCs w:val="24"/>
        </w:rPr>
      </w:pPr>
      <w:r>
        <w:rPr>
          <w:rFonts w:hint="eastAsia" w:hAnsi="宋体"/>
          <w:b/>
          <w:sz w:val="24"/>
          <w:szCs w:val="24"/>
        </w:rPr>
        <w:t>（注意：投标响应文件均需加盖投标单位公章，以下不再逐条款列示此项要求）</w:t>
      </w:r>
    </w:p>
    <w:p>
      <w:pPr>
        <w:pStyle w:val="8"/>
        <w:numPr>
          <w:ilvl w:val="0"/>
          <w:numId w:val="1"/>
        </w:numPr>
        <w:tabs>
          <w:tab w:val="left" w:pos="851"/>
        </w:tabs>
        <w:spacing w:line="360" w:lineRule="auto"/>
        <w:ind w:left="420" w:firstLine="482"/>
        <w:rPr>
          <w:rFonts w:hAnsi="宋体"/>
          <w:b/>
          <w:sz w:val="24"/>
          <w:szCs w:val="24"/>
        </w:rPr>
      </w:pPr>
      <w:r>
        <w:rPr>
          <w:rFonts w:hint="eastAsia" w:hAnsi="宋体"/>
          <w:b/>
          <w:sz w:val="24"/>
          <w:szCs w:val="24"/>
        </w:rPr>
        <w:t>资质文件</w:t>
      </w:r>
    </w:p>
    <w:p>
      <w:pPr>
        <w:pStyle w:val="8"/>
        <w:spacing w:line="360" w:lineRule="auto"/>
        <w:ind w:firstLine="480" w:firstLineChars="200"/>
        <w:rPr>
          <w:rFonts w:hAnsi="宋体"/>
          <w:sz w:val="24"/>
          <w:szCs w:val="24"/>
        </w:rPr>
      </w:pPr>
      <w:r>
        <w:rPr>
          <w:rFonts w:hint="eastAsia" w:hAnsi="宋体"/>
          <w:sz w:val="24"/>
          <w:szCs w:val="24"/>
        </w:rPr>
        <w:t>①营业执照副本复印件、投标保证金缴纳凭证；</w:t>
      </w:r>
    </w:p>
    <w:p>
      <w:pPr>
        <w:pStyle w:val="8"/>
        <w:spacing w:line="360" w:lineRule="auto"/>
        <w:ind w:firstLine="480" w:firstLineChars="200"/>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②相关服务人员证件复印件；</w:t>
      </w:r>
    </w:p>
    <w:p>
      <w:pPr>
        <w:pStyle w:val="8"/>
        <w:spacing w:line="360" w:lineRule="auto"/>
        <w:ind w:firstLine="480" w:firstLineChars="200"/>
        <w:rPr>
          <w:rFonts w:hAnsi="宋体"/>
          <w:sz w:val="24"/>
          <w:szCs w:val="24"/>
        </w:rPr>
      </w:pPr>
      <w:r>
        <w:rPr>
          <w:rFonts w:hint="eastAsia" w:hAnsi="宋体"/>
          <w:sz w:val="24"/>
          <w:szCs w:val="24"/>
        </w:rPr>
        <w:t>③法定代表人参加投标的，需提供法人身份证复印件；派授权人参加投标的，需提供法定代表人授权委托书及法人、被授权人身份证复印件；</w:t>
      </w:r>
    </w:p>
    <w:p>
      <w:pPr>
        <w:pStyle w:val="8"/>
        <w:spacing w:line="360" w:lineRule="auto"/>
        <w:ind w:firstLine="480" w:firstLineChars="200"/>
        <w:rPr>
          <w:rFonts w:hAnsi="宋体"/>
          <w:sz w:val="24"/>
          <w:szCs w:val="24"/>
        </w:rPr>
      </w:pPr>
      <w:r>
        <w:rPr>
          <w:rFonts w:hint="eastAsia" w:hAnsi="宋体"/>
          <w:sz w:val="24"/>
          <w:szCs w:val="24"/>
        </w:rPr>
        <w:t>④近三年内在经营活动中没有违法违纪行为的声明；</w:t>
      </w:r>
    </w:p>
    <w:p>
      <w:pPr>
        <w:pStyle w:val="8"/>
        <w:spacing w:line="360" w:lineRule="auto"/>
        <w:ind w:firstLine="480" w:firstLineChars="200"/>
        <w:rPr>
          <w:rFonts w:hAnsi="宋体"/>
          <w:sz w:val="24"/>
          <w:szCs w:val="24"/>
        </w:rPr>
      </w:pPr>
      <w:r>
        <w:rPr>
          <w:rFonts w:hint="eastAsia" w:hAnsi="宋体"/>
          <w:sz w:val="24"/>
          <w:szCs w:val="24"/>
        </w:rPr>
        <w:t>⑤投标单位在国家企业信用信息公示系统中无行政处罚、经营异常或失信信息或上述信息已被移除的声明。</w:t>
      </w:r>
    </w:p>
    <w:p>
      <w:pPr>
        <w:pStyle w:val="8"/>
        <w:spacing w:line="360" w:lineRule="auto"/>
        <w:ind w:firstLine="480" w:firstLineChars="200"/>
        <w:rPr>
          <w:rFonts w:hAnsi="宋体"/>
          <w:sz w:val="24"/>
          <w:szCs w:val="24"/>
        </w:rPr>
      </w:pPr>
      <w:r>
        <w:rPr>
          <w:rFonts w:hint="eastAsia" w:hAnsi="宋体"/>
          <w:sz w:val="24"/>
        </w:rPr>
        <w:t>⑥a.经会计师事务所审计且出具无保留意见的近三年的财务审计报告原件，并加盖公章，包括但不限于报告页、经审计的资产负债表、利润表、现金流量表及报表附注。如投标人公司没有经审计的财务报告，可提供加盖公章的近三年财务报表，包括但不限于资产负债表、利润表、现金流量表。 应提供中文版本的审计报告或财务报表；b.企业最近半年完税证明、信用证明材料（中国人民银行信用代码证+征信报告）；c.年度纳税信用评价信息（可从电子税务局查询截图，需加盖公章）；d.企业对外担保说明（写明贵单位对外有无对外担保和质押业务，需加盖公章）</w:t>
      </w:r>
      <w:r>
        <w:rPr>
          <w:rFonts w:hint="eastAsia" w:hAnsi="宋体"/>
          <w:sz w:val="24"/>
          <w:szCs w:val="24"/>
        </w:rPr>
        <w:t>。</w:t>
      </w:r>
    </w:p>
    <w:p>
      <w:pPr>
        <w:pStyle w:val="8"/>
        <w:spacing w:line="360" w:lineRule="auto"/>
        <w:ind w:firstLine="602" w:firstLineChars="250"/>
        <w:rPr>
          <w:rFonts w:hAnsi="宋体"/>
          <w:sz w:val="24"/>
          <w:szCs w:val="24"/>
        </w:rPr>
      </w:pPr>
      <w:r>
        <w:rPr>
          <w:rFonts w:hint="eastAsia" w:hAnsi="宋体"/>
          <w:b/>
          <w:sz w:val="24"/>
          <w:szCs w:val="24"/>
        </w:rPr>
        <w:t>注：</w:t>
      </w:r>
      <w:r>
        <w:rPr>
          <w:rFonts w:hint="eastAsia" w:hAnsi="宋体"/>
          <w:sz w:val="24"/>
          <w:szCs w:val="24"/>
        </w:rPr>
        <w:t>为防止丢失，上述资料资格审核时使用加盖单位公章的复印件，但相关原件仍需在评审现场提供；</w:t>
      </w:r>
    </w:p>
    <w:p>
      <w:pPr>
        <w:pStyle w:val="8"/>
        <w:spacing w:line="360" w:lineRule="auto"/>
        <w:ind w:firstLine="602" w:firstLineChars="250"/>
        <w:rPr>
          <w:rFonts w:hAnsi="宋体"/>
          <w:sz w:val="24"/>
          <w:szCs w:val="24"/>
        </w:rPr>
      </w:pPr>
      <w:r>
        <w:rPr>
          <w:rFonts w:hint="eastAsia" w:hAnsi="宋体"/>
          <w:b/>
          <w:sz w:val="24"/>
          <w:szCs w:val="24"/>
        </w:rPr>
        <w:t>重要提示：</w:t>
      </w:r>
      <w:r>
        <w:rPr>
          <w:rFonts w:hint="eastAsia" w:hAnsi="宋体"/>
          <w:sz w:val="24"/>
          <w:szCs w:val="24"/>
        </w:rPr>
        <w:t>资格审核中，上述所列示的所有条款均属于否决项，对于任意一项或多项未达到资格审核要求的投标人，视为主动放弃投标，该投标人将不能进入后续的评标程序。对于未通过资格审核要求的投标人，不做任何解释。</w:t>
      </w:r>
    </w:p>
    <w:p>
      <w:pPr>
        <w:pStyle w:val="8"/>
        <w:numPr>
          <w:ilvl w:val="0"/>
          <w:numId w:val="1"/>
        </w:numPr>
        <w:tabs>
          <w:tab w:val="left" w:pos="851"/>
        </w:tabs>
        <w:spacing w:line="360" w:lineRule="auto"/>
        <w:ind w:left="420" w:firstLine="482"/>
        <w:rPr>
          <w:rFonts w:hAnsi="宋体"/>
          <w:b/>
          <w:sz w:val="24"/>
          <w:szCs w:val="24"/>
        </w:rPr>
      </w:pPr>
      <w:r>
        <w:rPr>
          <w:rFonts w:hint="eastAsia" w:hAnsi="宋体"/>
          <w:b/>
          <w:sz w:val="24"/>
          <w:szCs w:val="24"/>
        </w:rPr>
        <w:t>商务文件</w:t>
      </w:r>
    </w:p>
    <w:p>
      <w:pPr>
        <w:pStyle w:val="8"/>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lang w:val="en-US" w:eastAsia="zh-CN"/>
        </w:rPr>
        <w:t>①</w:t>
      </w:r>
      <w:r>
        <w:rPr>
          <w:rFonts w:hint="eastAsia" w:ascii="宋体" w:hAnsi="宋体" w:eastAsia="宋体" w:cs="Times New Roman"/>
          <w:sz w:val="24"/>
        </w:rPr>
        <w:t>投标</w:t>
      </w:r>
      <w:r>
        <w:rPr>
          <w:rFonts w:hint="eastAsia" w:ascii="宋体" w:hAnsi="宋体" w:eastAsia="宋体" w:cs="Times New Roman"/>
          <w:sz w:val="24"/>
          <w:lang w:val="en-US" w:eastAsia="zh-CN"/>
        </w:rPr>
        <w:t>书</w:t>
      </w:r>
      <w:r>
        <w:rPr>
          <w:rFonts w:hint="eastAsia" w:ascii="宋体" w:hAnsi="宋体" w:eastAsia="宋体" w:cs="Times New Roman"/>
          <w:sz w:val="24"/>
        </w:rPr>
        <w:t>（格式见“第三章 投标文件编制” 附件1）；</w:t>
      </w:r>
    </w:p>
    <w:p>
      <w:pPr>
        <w:pStyle w:val="8"/>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lang w:val="en-US" w:eastAsia="zh-CN"/>
        </w:rPr>
        <w:t>②投标报价表</w:t>
      </w:r>
      <w:r>
        <w:rPr>
          <w:rFonts w:hint="eastAsia" w:ascii="宋体" w:hAnsi="宋体" w:eastAsia="宋体" w:cs="Times New Roman"/>
          <w:sz w:val="24"/>
        </w:rPr>
        <w:t>（格式见“第三章 投标文件编制” 附件3）；</w:t>
      </w:r>
    </w:p>
    <w:p>
      <w:pPr>
        <w:pStyle w:val="8"/>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lang w:val="en-US" w:eastAsia="zh-CN"/>
        </w:rPr>
        <w:t>③</w:t>
      </w:r>
      <w:r>
        <w:rPr>
          <w:rFonts w:hint="eastAsia" w:ascii="宋体" w:hAnsi="宋体" w:eastAsia="宋体" w:cs="Times New Roman"/>
          <w:sz w:val="24"/>
        </w:rPr>
        <w:t>免费增值服务说明（如有）；</w:t>
      </w:r>
    </w:p>
    <w:p>
      <w:pPr>
        <w:pStyle w:val="8"/>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lang w:val="en-US" w:eastAsia="zh-CN"/>
        </w:rPr>
        <w:t>④</w:t>
      </w:r>
      <w:r>
        <w:rPr>
          <w:rFonts w:hint="eastAsia" w:ascii="宋体" w:hAnsi="宋体" w:eastAsia="宋体" w:cs="Times New Roman"/>
          <w:sz w:val="24"/>
        </w:rPr>
        <w:t>投标人认为需要提交的其它文件。</w:t>
      </w:r>
    </w:p>
    <w:p>
      <w:pPr>
        <w:pStyle w:val="8"/>
        <w:spacing w:line="360" w:lineRule="auto"/>
        <w:ind w:firstLine="480" w:firstLineChars="200"/>
        <w:rPr>
          <w:rFonts w:hint="eastAsia" w:hAnsi="宋体"/>
          <w:sz w:val="24"/>
        </w:rPr>
      </w:pPr>
      <w:r>
        <w:rPr>
          <w:rFonts w:hint="eastAsia" w:hAnsi="宋体"/>
          <w:sz w:val="24"/>
        </w:rPr>
        <w:t>⑤企业情况、从业经历及有效合同复印件；</w:t>
      </w:r>
    </w:p>
    <w:p>
      <w:pPr>
        <w:pStyle w:val="8"/>
        <w:spacing w:line="360" w:lineRule="auto"/>
        <w:ind w:firstLine="480" w:firstLineChars="200"/>
        <w:rPr>
          <w:rFonts w:hint="eastAsia" w:hAnsi="宋体"/>
          <w:sz w:val="24"/>
        </w:rPr>
      </w:pPr>
      <w:r>
        <w:rPr>
          <w:rFonts w:hint="eastAsia" w:hAnsi="宋体"/>
          <w:sz w:val="24"/>
        </w:rPr>
        <w:t>⑥相关条款偏离表（格式见“第三章 投标文件编制” 附件4）；</w:t>
      </w:r>
    </w:p>
    <w:p>
      <w:pPr>
        <w:ind w:firstLine="480" w:firstLineChars="200"/>
      </w:pPr>
      <w:r>
        <w:rPr>
          <w:rFonts w:hint="eastAsia" w:hAnsi="宋体"/>
          <w:sz w:val="24"/>
        </w:rPr>
        <w:t>注：可做正偏离，但不允许有低于本招标文件相关要求的情况出现，否则视为主动放弃本项目投标。</w:t>
      </w:r>
    </w:p>
    <w:p>
      <w:pPr>
        <w:pStyle w:val="8"/>
        <w:spacing w:line="360" w:lineRule="auto"/>
        <w:ind w:firstLine="482" w:firstLineChars="200"/>
        <w:rPr>
          <w:rFonts w:hAnsi="宋体"/>
          <w:b/>
          <w:sz w:val="24"/>
          <w:szCs w:val="24"/>
        </w:rPr>
      </w:pPr>
      <w:r>
        <w:rPr>
          <w:rFonts w:hint="eastAsia" w:hAnsi="宋体"/>
          <w:b/>
          <w:sz w:val="24"/>
          <w:szCs w:val="24"/>
        </w:rPr>
        <w:t>2.投标文件的签署盖章、密封标记、附件格式：</w:t>
      </w:r>
    </w:p>
    <w:p>
      <w:pPr>
        <w:pStyle w:val="8"/>
        <w:spacing w:line="360" w:lineRule="auto"/>
        <w:ind w:firstLine="480" w:firstLineChars="200"/>
        <w:rPr>
          <w:rFonts w:hAnsi="宋体"/>
          <w:sz w:val="28"/>
          <w:szCs w:val="28"/>
        </w:rPr>
      </w:pPr>
      <w:r>
        <w:rPr>
          <w:rFonts w:hint="eastAsia" w:hAnsi="宋体"/>
          <w:sz w:val="24"/>
          <w:szCs w:val="24"/>
        </w:rPr>
        <w:t>详见“第三章 投标文件编制”之相关要求。</w:t>
      </w:r>
    </w:p>
    <w:p>
      <w:pPr>
        <w:pStyle w:val="8"/>
        <w:spacing w:line="360" w:lineRule="auto"/>
        <w:ind w:firstLine="562"/>
        <w:rPr>
          <w:rFonts w:hAnsi="宋体"/>
          <w:b/>
          <w:bCs/>
          <w:sz w:val="28"/>
          <w:szCs w:val="28"/>
        </w:rPr>
      </w:pPr>
      <w:r>
        <w:rPr>
          <w:rFonts w:hint="eastAsia" w:hAnsi="宋体"/>
          <w:b/>
          <w:bCs/>
          <w:sz w:val="28"/>
          <w:szCs w:val="28"/>
        </w:rPr>
        <w:t>三、协议签订</w:t>
      </w:r>
    </w:p>
    <w:p>
      <w:pPr>
        <w:spacing w:line="360" w:lineRule="auto"/>
        <w:ind w:firstLine="482"/>
        <w:rPr>
          <w:rFonts w:ascii="宋体" w:hAnsi="宋体" w:cs="宋体"/>
          <w:color w:val="000000"/>
          <w:kern w:val="0"/>
          <w:sz w:val="24"/>
        </w:rPr>
      </w:pPr>
      <w:r>
        <w:rPr>
          <w:rFonts w:hint="eastAsia" w:ascii="宋体" w:hAnsi="宋体" w:cs="宋体"/>
          <w:color w:val="000000"/>
          <w:kern w:val="0"/>
          <w:sz w:val="24"/>
        </w:rPr>
        <w:t>1.根据评标工作小组的评标结果并按相关法律法规的规定及公司相关制度要求，确定中标人。中标人承诺无条件服从招标人针对该项目的后续所有安排。招标人不承诺将合同授予报价最低的投标人，也不对未中标人做任何解释。</w:t>
      </w:r>
    </w:p>
    <w:p>
      <w:pPr>
        <w:spacing w:line="360" w:lineRule="auto"/>
        <w:ind w:firstLine="482"/>
        <w:rPr>
          <w:rFonts w:ascii="宋体" w:hAnsi="宋体" w:cs="宋体"/>
          <w:color w:val="000000"/>
          <w:kern w:val="0"/>
          <w:sz w:val="24"/>
        </w:rPr>
      </w:pPr>
      <w:r>
        <w:rPr>
          <w:rFonts w:hint="eastAsia" w:ascii="宋体" w:hAnsi="宋体" w:cs="宋体"/>
          <w:color w:val="000000"/>
          <w:kern w:val="0"/>
          <w:sz w:val="24"/>
        </w:rPr>
        <w:t>2.招标人发送《中标通知书》给中标人，中标人应及时与招标人联系，在规定的时间内（一般为接到《中标通知书》后3个工作日内）到招标单位进行项目对接，如果中标人接到《中标通知书》后，无正当理由拒绝按其规定的期限与相关单位签订合同或在签订合同时向招标人或相关单位提出附加条件或者更改合同实质性内容的，招标人有权取消其中标资格，或重新组织招标。</w:t>
      </w:r>
    </w:p>
    <w:p>
      <w:pPr>
        <w:spacing w:line="360" w:lineRule="auto"/>
        <w:ind w:firstLine="482"/>
        <w:rPr>
          <w:rFonts w:ascii="宋体" w:hAnsi="宋体" w:cs="宋体"/>
          <w:color w:val="000000"/>
          <w:kern w:val="0"/>
          <w:sz w:val="24"/>
        </w:rPr>
      </w:pPr>
      <w:r>
        <w:rPr>
          <w:rFonts w:hint="eastAsia" w:ascii="宋体" w:hAnsi="宋体" w:cs="宋体"/>
          <w:color w:val="000000"/>
          <w:kern w:val="0"/>
          <w:sz w:val="24"/>
        </w:rPr>
        <w:t>3.中标人应当按照合同约定的履约责任，质保期内如中标人未按合同及其附件约定履行应承担的责任，招标人或招标人指定的合同签订单位有权扣除其质保金。</w:t>
      </w:r>
    </w:p>
    <w:p>
      <w:pPr>
        <w:spacing w:line="360" w:lineRule="auto"/>
        <w:ind w:firstLine="482"/>
        <w:rPr>
          <w:rFonts w:ascii="宋体" w:hAnsi="宋体" w:cs="宋体"/>
          <w:color w:val="000000"/>
          <w:kern w:val="0"/>
          <w:sz w:val="24"/>
        </w:rPr>
      </w:pPr>
      <w:r>
        <w:rPr>
          <w:rFonts w:hint="eastAsia" w:ascii="宋体" w:hAnsi="宋体" w:cs="宋体"/>
          <w:color w:val="000000"/>
          <w:kern w:val="0"/>
          <w:sz w:val="24"/>
        </w:rPr>
        <w:t>4.中标人应在保证质量的前提下完成中标项目，不得将中标项目转包或分包给他人，否则视为违约，招标人或相关单位有权解除合同。</w:t>
      </w:r>
    </w:p>
    <w:p>
      <w:pPr>
        <w:spacing w:line="360" w:lineRule="auto"/>
        <w:ind w:firstLine="482"/>
        <w:rPr>
          <w:rFonts w:ascii="宋体" w:hAnsi="宋体" w:cs="宋体"/>
          <w:color w:val="000000"/>
          <w:kern w:val="0"/>
          <w:sz w:val="24"/>
        </w:rPr>
      </w:pPr>
      <w:r>
        <w:rPr>
          <w:rFonts w:hint="eastAsia" w:ascii="宋体" w:hAnsi="宋体" w:cs="宋体"/>
          <w:color w:val="000000"/>
          <w:kern w:val="0"/>
          <w:sz w:val="24"/>
        </w:rPr>
        <w:t>5.在履行合同过程中，中标人由于履行义务的能力或信用有严重缺陷，招标人有权解除合同并取消其中标资格，招标人将从剩余投标人中依序重新确定中标人，或重新组织招标。</w:t>
      </w:r>
    </w:p>
    <w:p>
      <w:pPr>
        <w:spacing w:line="360" w:lineRule="auto"/>
        <w:ind w:firstLine="482"/>
        <w:rPr>
          <w:rFonts w:ascii="宋体" w:hAnsi="宋体" w:cs="宋体"/>
          <w:color w:val="000000"/>
          <w:kern w:val="0"/>
          <w:sz w:val="24"/>
        </w:rPr>
      </w:pPr>
      <w:r>
        <w:rPr>
          <w:rFonts w:hint="eastAsia" w:ascii="宋体" w:hAnsi="宋体" w:cs="宋体"/>
          <w:color w:val="000000"/>
          <w:kern w:val="0"/>
          <w:sz w:val="24"/>
        </w:rPr>
        <w:t>6.招标人有权指定招标人的关联单位作为合同签订人，与中标人签署相关合同，且具体权利义务以双方最终签署的合同为准。</w:t>
      </w:r>
    </w:p>
    <w:p>
      <w:pPr>
        <w:spacing w:line="360" w:lineRule="auto"/>
        <w:ind w:firstLine="482"/>
        <w:rPr>
          <w:rFonts w:ascii="宋体" w:hAnsi="宋体" w:cs="宋体"/>
          <w:color w:val="000000"/>
          <w:kern w:val="0"/>
          <w:sz w:val="24"/>
        </w:rPr>
      </w:pPr>
      <w:r>
        <w:rPr>
          <w:rFonts w:hint="eastAsia" w:ascii="宋体" w:hAnsi="宋体" w:cs="宋体"/>
          <w:color w:val="000000"/>
          <w:kern w:val="0"/>
          <w:sz w:val="24"/>
        </w:rPr>
        <w:t>7.中标人须认可招标人由于招标人上级集团公司政策变化引起的随时终止项目的要求。</w:t>
      </w:r>
    </w:p>
    <w:p>
      <w:pPr>
        <w:pStyle w:val="8"/>
        <w:spacing w:line="360" w:lineRule="auto"/>
        <w:ind w:firstLine="562"/>
        <w:rPr>
          <w:rFonts w:hAnsi="宋体"/>
          <w:b/>
          <w:sz w:val="28"/>
          <w:szCs w:val="28"/>
        </w:rPr>
      </w:pPr>
      <w:r>
        <w:rPr>
          <w:rFonts w:hint="eastAsia" w:hAnsi="宋体"/>
          <w:b/>
          <w:sz w:val="28"/>
          <w:szCs w:val="28"/>
        </w:rPr>
        <w:t>四、中标人瑕疵滞后发现的处理原则</w:t>
      </w:r>
    </w:p>
    <w:p>
      <w:pPr>
        <w:spacing w:line="360" w:lineRule="auto"/>
        <w:ind w:firstLine="482"/>
        <w:rPr>
          <w:rFonts w:ascii="宋体" w:hAnsi="宋体" w:cs="宋体"/>
          <w:color w:val="000000"/>
          <w:kern w:val="0"/>
          <w:sz w:val="24"/>
        </w:rPr>
      </w:pPr>
      <w:r>
        <w:rPr>
          <w:rFonts w:hint="eastAsia" w:ascii="宋体" w:hAnsi="宋体" w:cs="宋体"/>
          <w:color w:val="000000"/>
          <w:kern w:val="0"/>
          <w:sz w:val="24"/>
        </w:rPr>
        <w:t>无论基于何种原因，各项本应作为拒绝处理的情形即便未被及时发现而使该中标人通过了资格审核、初评、现场复审、终评或其他所有相关程序，包括已签订合同的情形，招标人有权取消其中标资格，一旦中标人被拒绝或该中标人此前的评议结果被取消，相关的一切损失均由该中标人承担。</w:t>
      </w:r>
    </w:p>
    <w:p>
      <w:pPr>
        <w:pStyle w:val="8"/>
        <w:spacing w:line="360" w:lineRule="auto"/>
        <w:ind w:firstLine="562"/>
        <w:rPr>
          <w:rFonts w:hAnsi="宋体"/>
          <w:b/>
          <w:bCs/>
          <w:sz w:val="28"/>
          <w:szCs w:val="28"/>
        </w:rPr>
      </w:pPr>
      <w:r>
        <w:rPr>
          <w:rFonts w:hint="eastAsia" w:hAnsi="宋体"/>
          <w:b/>
          <w:bCs/>
          <w:sz w:val="28"/>
          <w:szCs w:val="28"/>
        </w:rPr>
        <w:t>五、废标及终止招标</w:t>
      </w:r>
    </w:p>
    <w:p>
      <w:pPr>
        <w:pStyle w:val="8"/>
        <w:spacing w:line="360" w:lineRule="auto"/>
        <w:ind w:firstLine="480" w:firstLineChars="200"/>
        <w:rPr>
          <w:rFonts w:hint="eastAsia" w:hAnsi="宋体"/>
          <w:sz w:val="24"/>
        </w:rPr>
      </w:pPr>
      <w:r>
        <w:rPr>
          <w:rFonts w:hint="eastAsia" w:hAnsi="宋体"/>
          <w:sz w:val="24"/>
        </w:rPr>
        <w:t>1.投标人有下列情形之一，其投标将被视为废标，招标人将严格按照《中华人民共和国招标投标法》及相关法律、法规及规章制度的规定行使权利。投标人给招标人造成损失的，招标人有索赔的权利，投标人应予以赔偿。</w:t>
      </w:r>
    </w:p>
    <w:p>
      <w:pPr>
        <w:pStyle w:val="8"/>
        <w:spacing w:line="360" w:lineRule="auto"/>
        <w:ind w:firstLine="480" w:firstLineChars="200"/>
        <w:rPr>
          <w:rFonts w:hint="eastAsia" w:hAnsi="宋体"/>
          <w:sz w:val="24"/>
        </w:rPr>
      </w:pPr>
      <w:r>
        <w:rPr>
          <w:rFonts w:hint="eastAsia" w:hAnsi="宋体"/>
          <w:sz w:val="24"/>
        </w:rPr>
        <w:t>⑴投标人提供的有关资格、资质证明文件不合格、不真实或提供虚假投标材料；</w:t>
      </w:r>
    </w:p>
    <w:p>
      <w:pPr>
        <w:pStyle w:val="8"/>
        <w:spacing w:line="360" w:lineRule="auto"/>
        <w:ind w:firstLine="480" w:firstLineChars="200"/>
        <w:rPr>
          <w:rFonts w:hint="eastAsia" w:hAnsi="宋体"/>
          <w:sz w:val="24"/>
        </w:rPr>
      </w:pPr>
      <w:r>
        <w:rPr>
          <w:rFonts w:hint="eastAsia" w:hAnsi="宋体"/>
          <w:sz w:val="24"/>
        </w:rPr>
        <w:t>⑵投标人在报价有效期内撤回投标；</w:t>
      </w:r>
    </w:p>
    <w:p>
      <w:pPr>
        <w:pStyle w:val="8"/>
        <w:spacing w:line="360" w:lineRule="auto"/>
        <w:ind w:firstLine="480" w:firstLineChars="200"/>
        <w:rPr>
          <w:rFonts w:hint="eastAsia" w:hAnsi="宋体"/>
          <w:sz w:val="24"/>
        </w:rPr>
      </w:pPr>
      <w:r>
        <w:rPr>
          <w:rFonts w:hint="eastAsia" w:hAnsi="宋体"/>
          <w:sz w:val="24"/>
        </w:rPr>
        <w:t>⑶在整个评标过程中，投标人有企图影响评标结果公正性的任何活动；</w:t>
      </w:r>
    </w:p>
    <w:p>
      <w:pPr>
        <w:pStyle w:val="8"/>
        <w:spacing w:line="360" w:lineRule="auto"/>
        <w:ind w:firstLine="480" w:firstLineChars="200"/>
        <w:rPr>
          <w:rFonts w:hint="eastAsia" w:hAnsi="宋体"/>
          <w:sz w:val="24"/>
        </w:rPr>
      </w:pPr>
      <w:r>
        <w:rPr>
          <w:rFonts w:hint="eastAsia" w:hAnsi="宋体"/>
          <w:sz w:val="24"/>
        </w:rPr>
        <w:t>⑷投标人以任何方式诋毁其他投标人；</w:t>
      </w:r>
    </w:p>
    <w:p>
      <w:pPr>
        <w:pStyle w:val="8"/>
        <w:spacing w:line="360" w:lineRule="auto"/>
        <w:ind w:firstLine="480" w:firstLineChars="200"/>
        <w:rPr>
          <w:rFonts w:hint="eastAsia" w:hAnsi="宋体"/>
          <w:sz w:val="24"/>
        </w:rPr>
      </w:pPr>
      <w:r>
        <w:rPr>
          <w:rFonts w:hint="eastAsia" w:hAnsi="宋体"/>
          <w:sz w:val="24"/>
        </w:rPr>
        <w:t>⑸投标人串通投标；</w:t>
      </w:r>
    </w:p>
    <w:p>
      <w:pPr>
        <w:pStyle w:val="8"/>
        <w:spacing w:line="360" w:lineRule="auto"/>
        <w:ind w:firstLine="480" w:firstLineChars="200"/>
        <w:rPr>
          <w:rFonts w:hint="eastAsia" w:hAnsi="宋体"/>
          <w:sz w:val="24"/>
        </w:rPr>
      </w:pPr>
      <w:r>
        <w:rPr>
          <w:rFonts w:hint="eastAsia" w:hAnsi="宋体"/>
          <w:sz w:val="24"/>
        </w:rPr>
        <w:t>⑹以他人名义投标或者以其他方式弄虚作假，骗取中标的；</w:t>
      </w:r>
    </w:p>
    <w:p>
      <w:pPr>
        <w:pStyle w:val="8"/>
        <w:spacing w:line="360" w:lineRule="auto"/>
        <w:ind w:firstLine="480" w:firstLineChars="200"/>
        <w:rPr>
          <w:rFonts w:hint="eastAsia" w:hAnsi="宋体"/>
          <w:sz w:val="24"/>
        </w:rPr>
      </w:pPr>
      <w:r>
        <w:rPr>
          <w:rFonts w:hint="eastAsia" w:hAnsi="宋体"/>
          <w:sz w:val="24"/>
        </w:rPr>
        <w:t>⑺中标人不按规定签订合同；</w:t>
      </w:r>
    </w:p>
    <w:p>
      <w:pPr>
        <w:pStyle w:val="8"/>
        <w:spacing w:line="360" w:lineRule="auto"/>
        <w:ind w:firstLine="480" w:firstLineChars="200"/>
        <w:rPr>
          <w:rFonts w:hint="eastAsia" w:hAnsi="宋体"/>
          <w:sz w:val="24"/>
        </w:rPr>
      </w:pPr>
      <w:r>
        <w:rPr>
          <w:rFonts w:hint="eastAsia" w:hAnsi="宋体"/>
          <w:sz w:val="24"/>
        </w:rPr>
        <w:t>⑻法律、法规规定的其他情况。</w:t>
      </w:r>
    </w:p>
    <w:p>
      <w:pPr>
        <w:pStyle w:val="8"/>
        <w:spacing w:line="360" w:lineRule="auto"/>
        <w:ind w:firstLine="480" w:firstLineChars="200"/>
        <w:rPr>
          <w:rFonts w:hint="eastAsia" w:hAnsi="宋体"/>
          <w:sz w:val="24"/>
        </w:rPr>
      </w:pPr>
      <w:r>
        <w:rPr>
          <w:rFonts w:hint="eastAsia" w:hAnsi="宋体"/>
          <w:sz w:val="24"/>
        </w:rPr>
        <w:t>⑼不同投标单位负责人为同一人或存在管理关系的；</w:t>
      </w:r>
    </w:p>
    <w:p>
      <w:pPr>
        <w:pStyle w:val="8"/>
        <w:spacing w:line="360" w:lineRule="auto"/>
        <w:ind w:firstLine="480" w:firstLineChars="200"/>
        <w:rPr>
          <w:rFonts w:hint="eastAsia" w:hAnsi="宋体"/>
          <w:sz w:val="24"/>
        </w:rPr>
      </w:pPr>
      <w:r>
        <w:rPr>
          <w:rFonts w:hint="eastAsia" w:hAnsi="宋体"/>
          <w:sz w:val="24"/>
        </w:rPr>
        <w:t>⑽投标人被举报、检举，并经招标方查实无误的。</w:t>
      </w:r>
    </w:p>
    <w:p>
      <w:pPr>
        <w:pStyle w:val="8"/>
        <w:spacing w:line="360" w:lineRule="auto"/>
        <w:ind w:firstLine="480" w:firstLineChars="200"/>
        <w:rPr>
          <w:rFonts w:hint="eastAsia" w:hAnsi="宋体"/>
          <w:sz w:val="24"/>
        </w:rPr>
      </w:pPr>
      <w:r>
        <w:rPr>
          <w:rFonts w:hint="eastAsia" w:hAnsi="宋体"/>
          <w:sz w:val="24"/>
        </w:rPr>
        <w:t>2.出现下列情形之一，招标人有权否决所有投标人的投标，并终止招标。</w:t>
      </w:r>
    </w:p>
    <w:p>
      <w:pPr>
        <w:pStyle w:val="8"/>
        <w:spacing w:line="360" w:lineRule="auto"/>
        <w:ind w:firstLine="480" w:firstLineChars="200"/>
        <w:rPr>
          <w:rFonts w:hint="eastAsia" w:hAnsi="宋体"/>
          <w:sz w:val="24"/>
        </w:rPr>
      </w:pPr>
      <w:r>
        <w:rPr>
          <w:rFonts w:hint="eastAsia" w:hAnsi="宋体"/>
          <w:sz w:val="24"/>
        </w:rPr>
        <w:t>⑴出现影响公正的违法、违规行为的。</w:t>
      </w:r>
    </w:p>
    <w:p>
      <w:pPr>
        <w:pStyle w:val="8"/>
        <w:spacing w:line="360" w:lineRule="auto"/>
        <w:ind w:firstLine="480" w:firstLineChars="200"/>
        <w:rPr>
          <w:rFonts w:hint="eastAsia" w:hAnsi="宋体"/>
          <w:sz w:val="24"/>
        </w:rPr>
      </w:pPr>
      <w:r>
        <w:rPr>
          <w:rFonts w:hint="eastAsia" w:hAnsi="宋体"/>
          <w:sz w:val="24"/>
        </w:rPr>
        <w:t>⑵因重大变故，任务取消的。</w:t>
      </w:r>
    </w:p>
    <w:p>
      <w:pPr>
        <w:pStyle w:val="8"/>
        <w:spacing w:line="360" w:lineRule="auto"/>
        <w:ind w:firstLine="480" w:firstLineChars="200"/>
        <w:rPr>
          <w:rFonts w:hint="eastAsia" w:hAnsi="宋体"/>
          <w:sz w:val="24"/>
        </w:rPr>
      </w:pPr>
      <w:r>
        <w:rPr>
          <w:rFonts w:hint="eastAsia" w:hAnsi="宋体"/>
          <w:sz w:val="24"/>
        </w:rPr>
        <w:t>⑶符合条件的投标人或者对招标文件做实质响应的投标人不足三家的。</w:t>
      </w:r>
    </w:p>
    <w:p>
      <w:pPr>
        <w:pStyle w:val="8"/>
        <w:spacing w:line="360" w:lineRule="auto"/>
        <w:ind w:firstLine="480" w:firstLineChars="200"/>
        <w:rPr>
          <w:rFonts w:hint="eastAsia" w:hAnsi="宋体"/>
          <w:sz w:val="24"/>
        </w:rPr>
      </w:pPr>
      <w:r>
        <w:rPr>
          <w:rFonts w:hint="eastAsia" w:hAnsi="宋体"/>
          <w:sz w:val="24"/>
        </w:rPr>
        <w:t>⑷招标人认为其他应终止招标的情形。</w:t>
      </w:r>
    </w:p>
    <w:p>
      <w:pPr>
        <w:pStyle w:val="8"/>
        <w:spacing w:line="360" w:lineRule="auto"/>
        <w:ind w:firstLine="480" w:firstLineChars="200"/>
        <w:rPr>
          <w:rFonts w:hint="eastAsia" w:hAnsi="宋体"/>
          <w:sz w:val="24"/>
        </w:rPr>
      </w:pPr>
      <w:r>
        <w:rPr>
          <w:rFonts w:hint="eastAsia" w:hAnsi="宋体"/>
          <w:sz w:val="24"/>
        </w:rPr>
        <w:t>⑸投标人承诺并同意因招标人公司政策变化引起的随时终止项目的情形，并自行承担由此带来的一切损失。</w:t>
      </w:r>
    </w:p>
    <w:p>
      <w:pPr>
        <w:pStyle w:val="8"/>
        <w:spacing w:line="360" w:lineRule="auto"/>
        <w:ind w:firstLine="480" w:firstLineChars="200"/>
        <w:rPr>
          <w:rFonts w:hint="eastAsia" w:hAnsi="宋体"/>
          <w:sz w:val="24"/>
        </w:rPr>
      </w:pPr>
      <w:r>
        <w:rPr>
          <w:rFonts w:hint="eastAsia" w:hAnsi="宋体"/>
          <w:sz w:val="24"/>
        </w:rPr>
        <w:t>⑹评标委员会经评审，认为所有投标都不符合招标文件要求的；</w:t>
      </w:r>
    </w:p>
    <w:p>
      <w:pPr>
        <w:spacing w:line="360" w:lineRule="auto"/>
        <w:ind w:firstLine="482"/>
        <w:rPr>
          <w:rFonts w:ascii="宋体" w:hAnsi="宋体" w:cs="宋体"/>
          <w:color w:val="000000"/>
          <w:kern w:val="0"/>
          <w:sz w:val="28"/>
          <w:szCs w:val="28"/>
        </w:rPr>
      </w:pPr>
      <w:r>
        <w:rPr>
          <w:rFonts w:hint="eastAsia" w:hAnsi="宋体"/>
          <w:sz w:val="24"/>
          <w:lang w:val="en-US" w:eastAsia="zh-CN"/>
        </w:rPr>
        <w:t>3.</w:t>
      </w:r>
      <w:r>
        <w:rPr>
          <w:rFonts w:hint="eastAsia" w:hAnsi="宋体"/>
          <w:sz w:val="24"/>
        </w:rPr>
        <w:t>解释权：本招标文件的最终解释权归招标人，当对一个问题有多种解释时以招标人的书面解释为准。招标文件未做须知明示，而又有相关法律、法规规定的，招标人对此所做解释以相关的法律、法规规定为依据。</w:t>
      </w:r>
    </w:p>
    <w:p>
      <w:pPr>
        <w:spacing w:line="520" w:lineRule="exact"/>
        <w:ind w:right="2"/>
        <w:rPr>
          <w:rFonts w:ascii="宋体" w:hAnsi="宋体"/>
          <w:b/>
          <w:sz w:val="28"/>
          <w:szCs w:val="28"/>
        </w:rPr>
      </w:pPr>
      <w:r>
        <w:rPr>
          <w:rFonts w:hint="eastAsia" w:ascii="宋体" w:hAnsi="宋体"/>
          <w:b/>
          <w:sz w:val="28"/>
          <w:szCs w:val="28"/>
        </w:rPr>
        <w:t>六、其他</w:t>
      </w:r>
    </w:p>
    <w:p>
      <w:pPr>
        <w:spacing w:line="360" w:lineRule="auto"/>
        <w:ind w:right="2" w:firstLine="480" w:firstLineChars="200"/>
        <w:rPr>
          <w:rFonts w:ascii="宋体" w:hAnsi="宋体"/>
          <w:sz w:val="24"/>
        </w:rPr>
      </w:pPr>
      <w:r>
        <w:rPr>
          <w:rFonts w:hint="eastAsia" w:ascii="宋体" w:hAnsi="宋体"/>
          <w:sz w:val="24"/>
        </w:rPr>
        <w:t>1.其余未尽事宜均以协议（或合同）约定为准。</w:t>
      </w:r>
    </w:p>
    <w:p>
      <w:pPr>
        <w:pStyle w:val="8"/>
        <w:spacing w:line="360" w:lineRule="auto"/>
        <w:ind w:firstLine="480" w:firstLineChars="200"/>
        <w:rPr>
          <w:rFonts w:hAnsi="宋体"/>
          <w:sz w:val="24"/>
          <w:szCs w:val="24"/>
        </w:rPr>
      </w:pPr>
      <w:r>
        <w:rPr>
          <w:rFonts w:hint="eastAsia" w:hAnsi="宋体"/>
          <w:sz w:val="24"/>
          <w:szCs w:val="24"/>
        </w:rPr>
        <w:t>2.要求招标人或相关合同签订单位提供的配合，在标书文件中说明。</w:t>
      </w:r>
    </w:p>
    <w:p>
      <w:pPr>
        <w:spacing w:line="360" w:lineRule="auto"/>
        <w:ind w:right="2" w:firstLine="480" w:firstLineChars="200"/>
        <w:rPr>
          <w:rFonts w:ascii="宋体" w:hAnsi="宋体"/>
          <w:spacing w:val="-4"/>
          <w:sz w:val="24"/>
        </w:rPr>
      </w:pPr>
      <w:r>
        <w:rPr>
          <w:rFonts w:hint="eastAsia" w:ascii="宋体" w:hAnsi="宋体"/>
          <w:sz w:val="24"/>
        </w:rPr>
        <w:t>3.凡对本次</w:t>
      </w:r>
      <w:r>
        <w:rPr>
          <w:rFonts w:hint="eastAsia" w:ascii="宋体" w:hAnsi="宋体"/>
          <w:spacing w:val="-4"/>
          <w:sz w:val="24"/>
        </w:rPr>
        <w:t>招标提出的问询，均以招标人的书面答复为准。招标人的任何工作人员对投标人所作的任何口头解释、介绍、答复，对招标人和投标人均无任何约束力。</w:t>
      </w:r>
    </w:p>
    <w:p>
      <w:pPr>
        <w:spacing w:line="360" w:lineRule="auto"/>
        <w:ind w:right="2" w:firstLine="480" w:firstLineChars="200"/>
        <w:rPr>
          <w:rFonts w:ascii="宋体" w:hAnsi="宋体"/>
          <w:sz w:val="28"/>
          <w:szCs w:val="28"/>
        </w:rPr>
      </w:pPr>
      <w:r>
        <w:rPr>
          <w:rFonts w:hint="eastAsia" w:ascii="宋体" w:hAnsi="宋体"/>
          <w:sz w:val="24"/>
        </w:rPr>
        <w:t>4.投标人应承担所有与准备和参加投标有关的全部费用，招标人在任何情况下均无义务和责任承担此费用。</w:t>
      </w:r>
    </w:p>
    <w:p>
      <w:pPr>
        <w:rPr>
          <w:rFonts w:ascii="宋体" w:hAnsi="宋体"/>
          <w:b/>
          <w:bCs/>
          <w:sz w:val="28"/>
          <w:szCs w:val="28"/>
        </w:rPr>
      </w:pPr>
      <w:r>
        <w:rPr>
          <w:rFonts w:hint="eastAsia" w:ascii="宋体" w:hAnsi="宋体"/>
          <w:b/>
          <w:bCs/>
          <w:sz w:val="28"/>
          <w:szCs w:val="28"/>
        </w:rPr>
        <w:t>七、本次招标最终解释权归中国重汽集团大同齿轮有限公司。</w:t>
      </w:r>
    </w:p>
    <w:p>
      <w:pPr>
        <w:pStyle w:val="8"/>
        <w:ind w:firstLine="560"/>
        <w:rPr>
          <w:rFonts w:hAnsi="宋体" w:cs="宋体"/>
          <w:color w:val="000000"/>
          <w:kern w:val="0"/>
          <w:sz w:val="28"/>
          <w:szCs w:val="28"/>
          <w:lang w:bidi="ar"/>
        </w:rPr>
      </w:pPr>
    </w:p>
    <w:p>
      <w:pPr>
        <w:spacing w:before="156" w:beforeLines="50" w:after="312" w:afterLines="100"/>
        <w:jc w:val="center"/>
        <w:outlineLvl w:val="0"/>
        <w:rPr>
          <w:rFonts w:ascii="宋体" w:hAnsi="宋体"/>
          <w:b/>
          <w:bCs/>
          <w:sz w:val="36"/>
          <w:szCs w:val="36"/>
        </w:rPr>
      </w:pPr>
      <w:bookmarkStart w:id="5" w:name="_Toc15792"/>
      <w:bookmarkStart w:id="6" w:name="_Toc7673"/>
      <w:r>
        <w:rPr>
          <w:rFonts w:hint="eastAsia" w:ascii="宋体" w:hAnsi="宋体"/>
          <w:b/>
          <w:bCs/>
          <w:sz w:val="36"/>
          <w:szCs w:val="36"/>
        </w:rPr>
        <w:t>第三章  投标文件格式</w:t>
      </w:r>
      <w:bookmarkEnd w:id="5"/>
      <w:bookmarkEnd w:id="6"/>
    </w:p>
    <w:p>
      <w:pPr>
        <w:pStyle w:val="8"/>
        <w:spacing w:line="360" w:lineRule="auto"/>
        <w:ind w:firstLine="562"/>
        <w:rPr>
          <w:rFonts w:hAnsi="宋体"/>
          <w:b/>
          <w:bCs/>
          <w:sz w:val="28"/>
          <w:szCs w:val="28"/>
        </w:rPr>
      </w:pPr>
      <w:r>
        <w:rPr>
          <w:rFonts w:hint="eastAsia" w:hAnsi="宋体"/>
          <w:b/>
          <w:bCs/>
          <w:sz w:val="28"/>
          <w:szCs w:val="28"/>
        </w:rPr>
        <w:t>一、投标文件的签署盖章</w:t>
      </w:r>
    </w:p>
    <w:p>
      <w:pPr>
        <w:pStyle w:val="8"/>
        <w:spacing w:line="360" w:lineRule="auto"/>
        <w:ind w:firstLine="480" w:firstLineChars="200"/>
        <w:rPr>
          <w:rFonts w:hAnsi="宋体"/>
          <w:sz w:val="24"/>
        </w:rPr>
      </w:pPr>
      <w:r>
        <w:rPr>
          <w:rFonts w:hint="eastAsia" w:hAnsi="宋体"/>
          <w:sz w:val="24"/>
        </w:rPr>
        <w:t>1.法定代表人或投标人授权代表必须按招标文件的规定在所有投标文件（正本、副本及各附件）、开标一览表上签字并加盖投标人单位公章，不得使用其它形式如带有“专用章”等字样的印章，否则投标将被视为无效。如投标人对投标文件进行了修改，则须由投标人的法定代表人或授权代表在修改的每一页上签字并加盖公章。</w:t>
      </w:r>
    </w:p>
    <w:p>
      <w:pPr>
        <w:pStyle w:val="8"/>
        <w:spacing w:line="360" w:lineRule="auto"/>
        <w:ind w:firstLine="480" w:firstLineChars="200"/>
        <w:rPr>
          <w:rFonts w:hAnsi="宋体"/>
          <w:sz w:val="24"/>
        </w:rPr>
      </w:pPr>
      <w:r>
        <w:rPr>
          <w:rFonts w:hint="eastAsia" w:hAnsi="宋体"/>
          <w:sz w:val="24"/>
        </w:rPr>
        <w:t>2.任何行间插字、涂改和增删，必须由投标人的法定代表人或授权代表签字并加盖公章后才有效。</w:t>
      </w:r>
    </w:p>
    <w:p>
      <w:pPr>
        <w:pStyle w:val="8"/>
        <w:spacing w:line="360" w:lineRule="auto"/>
        <w:ind w:firstLine="562"/>
        <w:rPr>
          <w:rFonts w:hAnsi="宋体"/>
          <w:b/>
          <w:bCs/>
          <w:sz w:val="28"/>
          <w:szCs w:val="28"/>
        </w:rPr>
      </w:pPr>
      <w:r>
        <w:rPr>
          <w:rFonts w:hint="eastAsia" w:hAnsi="宋体"/>
          <w:b/>
          <w:bCs/>
          <w:sz w:val="28"/>
          <w:szCs w:val="28"/>
        </w:rPr>
        <w:t>二、投标文件的密封标记</w:t>
      </w:r>
    </w:p>
    <w:p>
      <w:pPr>
        <w:pStyle w:val="8"/>
        <w:spacing w:line="360" w:lineRule="auto"/>
        <w:ind w:firstLine="562"/>
        <w:rPr>
          <w:rFonts w:hAnsi="宋体"/>
          <w:b/>
          <w:sz w:val="24"/>
        </w:rPr>
      </w:pPr>
      <w:r>
        <w:rPr>
          <w:rFonts w:hint="eastAsia" w:hAnsi="宋体"/>
          <w:b/>
          <w:bCs/>
          <w:sz w:val="28"/>
          <w:szCs w:val="28"/>
        </w:rPr>
        <w:t xml:space="preserve">  </w:t>
      </w:r>
      <w:r>
        <w:rPr>
          <w:rFonts w:hint="eastAsia" w:hAnsi="宋体"/>
          <w:b/>
          <w:bCs/>
          <w:sz w:val="24"/>
        </w:rPr>
        <w:t xml:space="preserve"> </w:t>
      </w:r>
      <w:r>
        <w:rPr>
          <w:rFonts w:hint="eastAsia" w:hAnsi="宋体"/>
          <w:b/>
          <w:sz w:val="24"/>
        </w:rPr>
        <w:t>1.</w:t>
      </w:r>
      <w:r>
        <w:rPr>
          <w:rFonts w:hint="eastAsia" w:hAnsi="宋体" w:cs="宋体"/>
          <w:b/>
          <w:bCs/>
          <w:sz w:val="24"/>
        </w:rPr>
        <w:t>需胶装密封的文件</w:t>
      </w:r>
    </w:p>
    <w:p>
      <w:pPr>
        <w:pStyle w:val="8"/>
        <w:spacing w:line="360" w:lineRule="auto"/>
        <w:ind w:firstLine="480"/>
        <w:rPr>
          <w:rFonts w:hAnsi="宋体" w:cs="宋体"/>
          <w:sz w:val="24"/>
        </w:rPr>
      </w:pPr>
      <w:r>
        <w:rPr>
          <w:rFonts w:hint="eastAsia" w:hAnsi="宋体" w:cs="宋体"/>
          <w:sz w:val="24"/>
        </w:rPr>
        <w:t>标书（内装1正、2副），标书中包括资质、报价表、企业概况、以往履行的合同、财务审计报告或财务报表等内容。</w:t>
      </w:r>
    </w:p>
    <w:p>
      <w:pPr>
        <w:pStyle w:val="8"/>
        <w:spacing w:line="360" w:lineRule="auto"/>
        <w:ind w:firstLine="482"/>
        <w:rPr>
          <w:rFonts w:hAnsi="宋体"/>
          <w:b/>
          <w:bCs/>
          <w:sz w:val="24"/>
        </w:rPr>
      </w:pPr>
      <w:r>
        <w:rPr>
          <w:rFonts w:hint="eastAsia" w:hAnsi="宋体"/>
          <w:b/>
          <w:sz w:val="24"/>
        </w:rPr>
        <w:t>2.密封文件的封面标记</w:t>
      </w:r>
    </w:p>
    <w:p>
      <w:pPr>
        <w:pStyle w:val="8"/>
        <w:spacing w:line="360" w:lineRule="auto"/>
        <w:ind w:firstLine="480" w:firstLineChars="200"/>
        <w:rPr>
          <w:rFonts w:hAnsi="宋体"/>
          <w:sz w:val="24"/>
        </w:rPr>
      </w:pPr>
      <w:r>
        <w:rPr>
          <w:rFonts w:hint="eastAsia" w:hAnsi="宋体"/>
          <w:sz w:val="24"/>
        </w:rPr>
        <w:t>⑴项目名称；</w:t>
      </w:r>
    </w:p>
    <w:p>
      <w:pPr>
        <w:pStyle w:val="8"/>
        <w:spacing w:line="360" w:lineRule="auto"/>
        <w:ind w:firstLine="480" w:firstLineChars="200"/>
        <w:rPr>
          <w:rFonts w:hAnsi="宋体"/>
          <w:sz w:val="24"/>
        </w:rPr>
      </w:pPr>
      <w:r>
        <w:rPr>
          <w:rFonts w:hint="eastAsia" w:hAnsi="宋体"/>
          <w:sz w:val="24"/>
        </w:rPr>
        <w:t>⑵投标人名称（加盖公章）、地址、邮编、电话、传真；</w:t>
      </w:r>
    </w:p>
    <w:p>
      <w:pPr>
        <w:pStyle w:val="8"/>
        <w:spacing w:line="360" w:lineRule="auto"/>
        <w:ind w:firstLine="480" w:firstLineChars="200"/>
        <w:rPr>
          <w:rFonts w:hAnsi="宋体"/>
          <w:sz w:val="24"/>
        </w:rPr>
      </w:pPr>
      <w:r>
        <w:rPr>
          <w:rFonts w:hint="eastAsia" w:hAnsi="宋体" w:cs="宋体"/>
          <w:sz w:val="24"/>
        </w:rPr>
        <w:t>⑶</w:t>
      </w:r>
      <w:r>
        <w:rPr>
          <w:rFonts w:hint="eastAsia" w:hAnsi="宋体"/>
          <w:sz w:val="24"/>
        </w:rPr>
        <w:t>密封文件在封口处加盖投标人公章；</w:t>
      </w:r>
    </w:p>
    <w:p>
      <w:pPr>
        <w:pStyle w:val="8"/>
        <w:spacing w:line="360" w:lineRule="auto"/>
        <w:ind w:firstLine="480" w:firstLineChars="200"/>
        <w:rPr>
          <w:rFonts w:hAnsi="宋体"/>
          <w:sz w:val="24"/>
        </w:rPr>
      </w:pPr>
      <w:r>
        <w:rPr>
          <w:rFonts w:hint="eastAsia" w:hAnsi="宋体"/>
          <w:sz w:val="24"/>
        </w:rPr>
        <w:t>⑷开标一览表、标书两份密封文件均需在封口处注明“</w:t>
      </w:r>
      <w:r>
        <w:rPr>
          <w:rFonts w:hint="eastAsia" w:hAnsi="宋体"/>
          <w:color w:val="FF0000"/>
          <w:sz w:val="24"/>
        </w:rPr>
        <w:t>于2025年X月X日X时X分之前不准启封”字样，时间可以实际开标时间</w:t>
      </w:r>
      <w:r>
        <w:rPr>
          <w:rFonts w:hint="eastAsia" w:hAnsi="宋体"/>
          <w:sz w:val="24"/>
        </w:rPr>
        <w:t>；</w:t>
      </w:r>
    </w:p>
    <w:p>
      <w:pPr>
        <w:pStyle w:val="8"/>
        <w:spacing w:line="360" w:lineRule="auto"/>
        <w:ind w:firstLine="480" w:firstLineChars="200"/>
        <w:rPr>
          <w:rFonts w:hAnsi="宋体"/>
          <w:sz w:val="24"/>
        </w:rPr>
      </w:pPr>
      <w:r>
        <w:rPr>
          <w:rFonts w:hint="eastAsia" w:hAnsi="宋体"/>
          <w:sz w:val="24"/>
        </w:rPr>
        <w:t>3.投标文件必须用A4幅面纸打印后装订成册，每份标书封面右上角注明“正本”或“副本”字样；</w:t>
      </w:r>
    </w:p>
    <w:p>
      <w:pPr>
        <w:pStyle w:val="8"/>
        <w:spacing w:line="360" w:lineRule="auto"/>
        <w:ind w:firstLine="480" w:firstLineChars="200"/>
        <w:rPr>
          <w:rFonts w:hAnsi="宋体"/>
          <w:sz w:val="24"/>
        </w:rPr>
      </w:pPr>
      <w:r>
        <w:rPr>
          <w:rFonts w:hint="eastAsia" w:hAnsi="宋体"/>
          <w:sz w:val="24"/>
        </w:rPr>
        <w:t>4.如果投标人未按上述要求对投标文件进行密封和标记，或因投标人密封不当造成投标文件的提前开封，招标人有权予以拒绝，并视为投标人主动放弃投标。</w:t>
      </w:r>
    </w:p>
    <w:p>
      <w:pPr>
        <w:pStyle w:val="8"/>
        <w:spacing w:line="360" w:lineRule="auto"/>
        <w:ind w:firstLine="562"/>
        <w:rPr>
          <w:rFonts w:hint="eastAsia" w:hAnsi="宋体"/>
          <w:b/>
          <w:bCs/>
          <w:sz w:val="28"/>
          <w:szCs w:val="28"/>
          <w:lang w:val="en-US" w:eastAsia="zh-CN"/>
        </w:rPr>
      </w:pPr>
      <w:r>
        <w:rPr>
          <w:rFonts w:hint="eastAsia" w:hAnsi="宋体"/>
          <w:b/>
          <w:bCs/>
          <w:sz w:val="28"/>
          <w:szCs w:val="28"/>
        </w:rPr>
        <w:t>三、投标文件附件格式</w:t>
      </w:r>
      <w:r>
        <w:rPr>
          <w:rFonts w:hint="eastAsia" w:hAnsi="宋体"/>
          <w:b/>
          <w:bCs/>
          <w:sz w:val="28"/>
          <w:szCs w:val="28"/>
          <w:lang w:val="en-US" w:eastAsia="zh-CN"/>
        </w:rPr>
        <w:t xml:space="preserve">    </w:t>
      </w:r>
    </w:p>
    <w:p>
      <w:pPr>
        <w:pStyle w:val="8"/>
        <w:spacing w:line="360" w:lineRule="auto"/>
        <w:ind w:firstLine="562"/>
        <w:rPr>
          <w:rFonts w:ascii="宋体" w:hAnsi="宋体"/>
          <w:b/>
          <w:bCs/>
          <w:sz w:val="28"/>
          <w:szCs w:val="22"/>
        </w:rPr>
      </w:pPr>
      <w:r>
        <w:rPr>
          <w:rFonts w:hint="eastAsia" w:hAnsi="宋体"/>
          <w:sz w:val="24"/>
        </w:rPr>
        <w:t>具体格式见附件1～附件</w:t>
      </w:r>
      <w:r>
        <w:rPr>
          <w:rFonts w:hint="eastAsia" w:hAnsi="宋体"/>
          <w:sz w:val="24"/>
          <w:lang w:val="en-US" w:eastAsia="zh-CN"/>
        </w:rPr>
        <w:t>10</w:t>
      </w:r>
      <w:r>
        <w:rPr>
          <w:rFonts w:hint="eastAsia" w:hAnsi="宋体"/>
          <w:sz w:val="24"/>
        </w:rPr>
        <w:t>.</w:t>
      </w:r>
    </w:p>
    <w:p>
      <w:pPr>
        <w:spacing w:line="360" w:lineRule="auto"/>
        <w:rPr>
          <w:rFonts w:hint="eastAsia" w:ascii="宋体" w:hAnsi="宋体" w:cs="宋体"/>
          <w:b/>
          <w:bCs/>
          <w:sz w:val="28"/>
          <w:szCs w:val="28"/>
        </w:rPr>
      </w:pPr>
    </w:p>
    <w:p>
      <w:pPr>
        <w:spacing w:line="360" w:lineRule="auto"/>
        <w:rPr>
          <w:rFonts w:hint="eastAsia" w:ascii="宋体" w:hAnsi="宋体" w:cs="宋体"/>
          <w:b/>
          <w:bCs/>
          <w:sz w:val="28"/>
          <w:szCs w:val="28"/>
        </w:rPr>
      </w:pPr>
    </w:p>
    <w:p>
      <w:pPr>
        <w:spacing w:line="360" w:lineRule="auto"/>
        <w:rPr>
          <w:rFonts w:hint="eastAsia" w:ascii="宋体" w:hAnsi="宋体" w:cs="宋体"/>
          <w:b/>
          <w:bCs/>
          <w:sz w:val="28"/>
          <w:szCs w:val="28"/>
        </w:rPr>
      </w:pPr>
    </w:p>
    <w:p>
      <w:pPr>
        <w:spacing w:line="360" w:lineRule="auto"/>
        <w:rPr>
          <w:rFonts w:hint="eastAsia" w:ascii="宋体" w:hAnsi="宋体" w:cs="宋体"/>
          <w:b/>
          <w:bCs/>
          <w:sz w:val="28"/>
          <w:szCs w:val="28"/>
        </w:rPr>
      </w:pPr>
    </w:p>
    <w:p>
      <w:pPr>
        <w:spacing w:line="360" w:lineRule="auto"/>
        <w:rPr>
          <w:rFonts w:hint="eastAsia" w:ascii="宋体" w:hAnsi="宋体" w:cs="宋体"/>
          <w:b/>
          <w:bCs/>
          <w:sz w:val="28"/>
          <w:szCs w:val="28"/>
        </w:rPr>
      </w:pPr>
    </w:p>
    <w:p>
      <w:pPr>
        <w:spacing w:line="360" w:lineRule="auto"/>
        <w:rPr>
          <w:rFonts w:hint="eastAsia" w:ascii="宋体" w:hAnsi="宋体" w:cs="宋体"/>
          <w:b/>
          <w:bCs/>
          <w:sz w:val="28"/>
          <w:szCs w:val="28"/>
        </w:rPr>
      </w:pPr>
    </w:p>
    <w:p>
      <w:pPr>
        <w:spacing w:line="360" w:lineRule="auto"/>
        <w:rPr>
          <w:rFonts w:hint="eastAsia" w:ascii="宋体" w:hAnsi="宋体" w:cs="宋体"/>
          <w:b/>
          <w:bCs/>
          <w:sz w:val="28"/>
          <w:szCs w:val="28"/>
        </w:rPr>
      </w:pPr>
    </w:p>
    <w:p>
      <w:pPr>
        <w:spacing w:line="360" w:lineRule="auto"/>
        <w:rPr>
          <w:rFonts w:hint="eastAsia" w:ascii="宋体" w:hAnsi="宋体" w:cs="宋体"/>
          <w:b/>
          <w:bCs/>
          <w:sz w:val="28"/>
          <w:szCs w:val="28"/>
        </w:rPr>
      </w:pPr>
    </w:p>
    <w:p>
      <w:pPr>
        <w:spacing w:line="360" w:lineRule="auto"/>
        <w:rPr>
          <w:rFonts w:hint="eastAsia" w:ascii="宋体" w:hAnsi="宋体" w:cs="宋体"/>
          <w:b/>
          <w:bCs/>
          <w:sz w:val="28"/>
          <w:szCs w:val="28"/>
        </w:rPr>
      </w:pPr>
    </w:p>
    <w:p>
      <w:pPr>
        <w:spacing w:line="360" w:lineRule="auto"/>
        <w:rPr>
          <w:rFonts w:hint="eastAsia" w:ascii="宋体" w:hAnsi="宋体" w:cs="宋体"/>
          <w:b/>
          <w:bCs/>
          <w:sz w:val="28"/>
          <w:szCs w:val="28"/>
        </w:rPr>
      </w:pPr>
    </w:p>
    <w:p>
      <w:pPr>
        <w:spacing w:line="360" w:lineRule="auto"/>
        <w:rPr>
          <w:rFonts w:hint="eastAsia" w:ascii="宋体" w:hAnsi="宋体" w:cs="宋体"/>
          <w:b/>
          <w:bCs/>
          <w:sz w:val="28"/>
          <w:szCs w:val="28"/>
        </w:rPr>
      </w:pPr>
    </w:p>
    <w:p>
      <w:pPr>
        <w:spacing w:line="360" w:lineRule="auto"/>
        <w:rPr>
          <w:rFonts w:hint="eastAsia" w:ascii="宋体" w:hAnsi="宋体" w:cs="宋体"/>
          <w:b/>
          <w:bCs/>
          <w:sz w:val="28"/>
          <w:szCs w:val="28"/>
        </w:rPr>
      </w:pPr>
    </w:p>
    <w:p>
      <w:pPr>
        <w:spacing w:line="360" w:lineRule="auto"/>
        <w:rPr>
          <w:rFonts w:hint="eastAsia" w:ascii="宋体" w:hAnsi="宋体" w:cs="宋体"/>
          <w:b/>
          <w:bCs/>
          <w:sz w:val="28"/>
          <w:szCs w:val="28"/>
        </w:rPr>
      </w:pPr>
    </w:p>
    <w:p>
      <w:pPr>
        <w:spacing w:line="360" w:lineRule="auto"/>
        <w:rPr>
          <w:rFonts w:hint="eastAsia" w:ascii="宋体" w:hAnsi="宋体" w:cs="宋体"/>
          <w:b/>
          <w:bCs/>
          <w:sz w:val="28"/>
          <w:szCs w:val="28"/>
        </w:rPr>
      </w:pPr>
    </w:p>
    <w:p>
      <w:pPr>
        <w:spacing w:line="360" w:lineRule="auto"/>
        <w:rPr>
          <w:rFonts w:hint="eastAsia" w:ascii="宋体" w:hAnsi="宋体" w:cs="宋体"/>
          <w:b/>
          <w:bCs/>
          <w:sz w:val="28"/>
          <w:szCs w:val="28"/>
        </w:rPr>
      </w:pPr>
    </w:p>
    <w:p>
      <w:pPr>
        <w:spacing w:line="360" w:lineRule="auto"/>
        <w:rPr>
          <w:rFonts w:hint="eastAsia" w:ascii="宋体" w:hAnsi="宋体" w:cs="宋体"/>
          <w:b/>
          <w:bCs/>
          <w:sz w:val="28"/>
          <w:szCs w:val="28"/>
        </w:rPr>
      </w:pPr>
    </w:p>
    <w:p>
      <w:pPr>
        <w:spacing w:line="360" w:lineRule="auto"/>
        <w:rPr>
          <w:rFonts w:hint="eastAsia" w:ascii="宋体" w:hAnsi="宋体" w:cs="宋体"/>
          <w:b/>
          <w:bCs/>
          <w:sz w:val="28"/>
          <w:szCs w:val="28"/>
        </w:rPr>
      </w:pPr>
    </w:p>
    <w:p>
      <w:pPr>
        <w:spacing w:line="360" w:lineRule="auto"/>
        <w:rPr>
          <w:rFonts w:ascii="宋体" w:hAnsi="宋体" w:cs="宋体"/>
          <w:b/>
          <w:bCs/>
          <w:sz w:val="28"/>
          <w:szCs w:val="28"/>
        </w:rPr>
      </w:pPr>
      <w:r>
        <w:rPr>
          <w:rFonts w:hint="eastAsia" w:ascii="宋体" w:hAnsi="宋体" w:cs="宋体"/>
          <w:b/>
          <w:bCs/>
          <w:sz w:val="28"/>
          <w:szCs w:val="28"/>
        </w:rPr>
        <w:t>附件1</w:t>
      </w:r>
    </w:p>
    <w:p>
      <w:pPr>
        <w:jc w:val="center"/>
        <w:rPr>
          <w:rFonts w:eastAsia="黑体"/>
          <w:b/>
          <w:bCs/>
          <w:sz w:val="24"/>
        </w:rPr>
      </w:pPr>
      <w:r>
        <w:rPr>
          <w:rFonts w:hint="eastAsia" w:eastAsia="黑体"/>
          <w:b/>
          <w:bCs/>
          <w:sz w:val="24"/>
        </w:rPr>
        <w:t>投标书</w:t>
      </w:r>
    </w:p>
    <w:p>
      <w:pPr>
        <w:spacing w:line="360" w:lineRule="auto"/>
        <w:rPr>
          <w:rFonts w:ascii="宋体"/>
          <w:sz w:val="24"/>
          <w:u w:val="single"/>
        </w:rPr>
      </w:pPr>
      <w:r>
        <w:rPr>
          <w:rFonts w:hint="eastAsia" w:ascii="宋体"/>
          <w:sz w:val="24"/>
        </w:rPr>
        <w:t>致</w:t>
      </w:r>
      <w:r>
        <w:rPr>
          <w:rFonts w:hint="eastAsia" w:ascii="宋体"/>
          <w:sz w:val="24"/>
          <w:u w:val="single"/>
        </w:rPr>
        <w:t>（招标人名称）                            ：</w:t>
      </w:r>
    </w:p>
    <w:p>
      <w:pPr>
        <w:spacing w:line="360" w:lineRule="auto"/>
        <w:ind w:firstLine="645"/>
        <w:rPr>
          <w:rFonts w:ascii="宋体"/>
          <w:sz w:val="24"/>
        </w:rPr>
      </w:pPr>
      <w:r>
        <w:rPr>
          <w:rFonts w:hint="eastAsia" w:ascii="宋体"/>
          <w:sz w:val="24"/>
        </w:rPr>
        <w:t>根据贵方为（</w:t>
      </w:r>
      <w:r>
        <w:rPr>
          <w:rFonts w:hint="eastAsia" w:ascii="宋体"/>
          <w:sz w:val="24"/>
          <w:u w:val="single"/>
        </w:rPr>
        <w:t xml:space="preserve">项目名称）                         </w:t>
      </w:r>
      <w:r>
        <w:rPr>
          <w:rFonts w:hint="eastAsia" w:ascii="宋体"/>
          <w:sz w:val="24"/>
        </w:rPr>
        <w:t>招标书，签字代表</w:t>
      </w:r>
      <w:r>
        <w:rPr>
          <w:rFonts w:hint="eastAsia" w:ascii="宋体"/>
          <w:sz w:val="24"/>
          <w:u w:val="single"/>
        </w:rPr>
        <w:t xml:space="preserve">（全名、职务）           </w:t>
      </w:r>
      <w:r>
        <w:rPr>
          <w:rFonts w:hint="eastAsia" w:ascii="宋体"/>
          <w:sz w:val="24"/>
        </w:rPr>
        <w:t>经正式授权并代表投标人</w:t>
      </w:r>
      <w:r>
        <w:rPr>
          <w:rFonts w:hint="eastAsia" w:ascii="宋体"/>
          <w:sz w:val="24"/>
          <w:u w:val="single"/>
        </w:rPr>
        <w:t xml:space="preserve">（投标人名称、地址）              </w:t>
      </w:r>
      <w:r>
        <w:rPr>
          <w:rFonts w:hint="eastAsia" w:ascii="宋体"/>
          <w:sz w:val="24"/>
        </w:rPr>
        <w:t>提交下述文件：</w:t>
      </w:r>
    </w:p>
    <w:p>
      <w:pPr>
        <w:spacing w:line="360" w:lineRule="auto"/>
        <w:rPr>
          <w:rFonts w:ascii="宋体"/>
          <w:sz w:val="24"/>
        </w:rPr>
      </w:pPr>
      <w:r>
        <w:rPr>
          <w:rFonts w:hint="eastAsia" w:ascii="宋体"/>
          <w:sz w:val="24"/>
        </w:rPr>
        <w:t>标书（正本</w:t>
      </w:r>
      <w:r>
        <w:rPr>
          <w:rFonts w:hint="eastAsia" w:ascii="宋体"/>
          <w:sz w:val="24"/>
          <w:u w:val="single"/>
        </w:rPr>
        <w:t>X</w:t>
      </w:r>
      <w:r>
        <w:rPr>
          <w:rFonts w:hint="eastAsia" w:ascii="宋体"/>
          <w:sz w:val="24"/>
        </w:rPr>
        <w:t>份和副本一式</w:t>
      </w:r>
      <w:r>
        <w:rPr>
          <w:rFonts w:hint="eastAsia" w:ascii="宋体"/>
          <w:sz w:val="24"/>
          <w:u w:val="single"/>
        </w:rPr>
        <w:t>X</w:t>
      </w:r>
      <w:r>
        <w:rPr>
          <w:rFonts w:hint="eastAsia" w:ascii="宋体"/>
          <w:sz w:val="24"/>
        </w:rPr>
        <w:t>份）</w:t>
      </w:r>
    </w:p>
    <w:p>
      <w:pPr>
        <w:spacing w:line="360" w:lineRule="auto"/>
        <w:rPr>
          <w:rFonts w:ascii="宋体"/>
          <w:sz w:val="24"/>
        </w:rPr>
      </w:pPr>
      <w:r>
        <w:rPr>
          <w:rFonts w:hint="eastAsia" w:ascii="宋体"/>
          <w:sz w:val="24"/>
        </w:rPr>
        <w:t>据此，签字代表宣布同意如下：</w:t>
      </w:r>
    </w:p>
    <w:p>
      <w:pPr>
        <w:numPr>
          <w:ilvl w:val="0"/>
          <w:numId w:val="2"/>
        </w:numPr>
        <w:spacing w:line="360" w:lineRule="auto"/>
        <w:rPr>
          <w:rFonts w:ascii="宋体"/>
          <w:sz w:val="24"/>
          <w:u w:val="single"/>
        </w:rPr>
      </w:pPr>
      <w:r>
        <w:rPr>
          <w:rFonts w:hint="eastAsia" w:ascii="宋体"/>
          <w:sz w:val="24"/>
        </w:rPr>
        <w:t>所附投标报价表中规定的应提供的投标总价</w:t>
      </w:r>
      <w:r>
        <w:rPr>
          <w:rFonts w:hint="eastAsia" w:ascii="宋体"/>
          <w:b/>
          <w:bCs/>
          <w:sz w:val="24"/>
        </w:rPr>
        <w:t>（含税</w:t>
      </w:r>
      <w:r>
        <w:rPr>
          <w:rFonts w:hint="eastAsia" w:ascii="宋体"/>
          <w:sz w:val="24"/>
        </w:rPr>
        <w:t>）为</w:t>
      </w:r>
      <w:r>
        <w:rPr>
          <w:rFonts w:hint="eastAsia" w:ascii="宋体"/>
          <w:sz w:val="24"/>
          <w:u w:val="single"/>
        </w:rPr>
        <w:t>（注明币种和金额）    ，</w:t>
      </w:r>
    </w:p>
    <w:p>
      <w:pPr>
        <w:spacing w:line="360" w:lineRule="auto"/>
        <w:ind w:firstLine="960" w:firstLineChars="400"/>
        <w:rPr>
          <w:rFonts w:ascii="宋体"/>
          <w:sz w:val="24"/>
        </w:rPr>
      </w:pPr>
      <w:r>
        <w:rPr>
          <w:rFonts w:hint="eastAsia" w:ascii="宋体"/>
          <w:sz w:val="24"/>
          <w:u w:val="single"/>
        </w:rPr>
        <w:t xml:space="preserve">即（中文文字描述）                                      </w:t>
      </w:r>
      <w:r>
        <w:rPr>
          <w:rFonts w:hint="eastAsia" w:ascii="宋体"/>
          <w:sz w:val="24"/>
        </w:rPr>
        <w:t>。</w:t>
      </w:r>
    </w:p>
    <w:p>
      <w:pPr>
        <w:numPr>
          <w:ilvl w:val="0"/>
          <w:numId w:val="2"/>
        </w:numPr>
        <w:spacing w:line="360" w:lineRule="auto"/>
        <w:rPr>
          <w:rFonts w:ascii="宋体"/>
          <w:sz w:val="24"/>
        </w:rPr>
      </w:pPr>
      <w:r>
        <w:rPr>
          <w:rFonts w:hint="eastAsia" w:ascii="宋体"/>
          <w:sz w:val="24"/>
        </w:rPr>
        <w:t>投标人将按招标文件的规定履行合同责任和义务。</w:t>
      </w:r>
    </w:p>
    <w:p>
      <w:pPr>
        <w:numPr>
          <w:ilvl w:val="0"/>
          <w:numId w:val="2"/>
        </w:numPr>
        <w:spacing w:line="360" w:lineRule="auto"/>
        <w:rPr>
          <w:rFonts w:ascii="宋体"/>
          <w:sz w:val="24"/>
        </w:rPr>
      </w:pPr>
      <w:r>
        <w:rPr>
          <w:rFonts w:hint="eastAsia" w:ascii="宋体"/>
          <w:sz w:val="24"/>
        </w:rPr>
        <w:t>投标人已详细审查全部招标文件，包括修改文件（如有的话）以及全部参考资料和有关附件，我们完全理解并同意放弃对这方面有不明及误解的权利。</w:t>
      </w:r>
    </w:p>
    <w:p>
      <w:pPr>
        <w:numPr>
          <w:ilvl w:val="0"/>
          <w:numId w:val="2"/>
        </w:numPr>
        <w:spacing w:line="360" w:lineRule="auto"/>
        <w:rPr>
          <w:rFonts w:ascii="宋体"/>
          <w:sz w:val="24"/>
        </w:rPr>
      </w:pPr>
      <w:r>
        <w:rPr>
          <w:rFonts w:hint="eastAsia"/>
          <w:sz w:val="24"/>
        </w:rPr>
        <w:t>投标有效期：自投标截止之日起至合同签署日一直有效</w:t>
      </w:r>
      <w:r>
        <w:rPr>
          <w:rFonts w:hint="eastAsia" w:ascii="宋体"/>
          <w:sz w:val="24"/>
        </w:rPr>
        <w:t>。</w:t>
      </w:r>
    </w:p>
    <w:p>
      <w:pPr>
        <w:numPr>
          <w:ilvl w:val="0"/>
          <w:numId w:val="2"/>
        </w:numPr>
        <w:spacing w:line="360" w:lineRule="auto"/>
        <w:rPr>
          <w:rFonts w:ascii="宋体"/>
          <w:sz w:val="24"/>
        </w:rPr>
      </w:pPr>
      <w:r>
        <w:rPr>
          <w:rFonts w:hint="eastAsia" w:ascii="宋体"/>
          <w:sz w:val="24"/>
        </w:rPr>
        <w:t>投标人同意提供贵方要求的可能与投标有关的一切数据和资料，完全理解贵方不一定要接受最低价的投标或收到的任何投标。</w:t>
      </w:r>
    </w:p>
    <w:p>
      <w:pPr>
        <w:numPr>
          <w:ilvl w:val="0"/>
          <w:numId w:val="2"/>
        </w:numPr>
        <w:spacing w:line="360" w:lineRule="auto"/>
        <w:rPr>
          <w:rFonts w:ascii="宋体"/>
          <w:sz w:val="24"/>
        </w:rPr>
      </w:pPr>
      <w:r>
        <w:rPr>
          <w:rFonts w:hint="eastAsia" w:ascii="宋体"/>
          <w:sz w:val="24"/>
        </w:rPr>
        <w:t>投标人承诺所提供的所有数据和资料均真实有效，如存在虚报情况，投标人愿为此承担一切法律责任，并主动退出本项目竞标。</w:t>
      </w:r>
    </w:p>
    <w:p>
      <w:pPr>
        <w:numPr>
          <w:ilvl w:val="0"/>
          <w:numId w:val="2"/>
        </w:numPr>
        <w:spacing w:line="360" w:lineRule="auto"/>
        <w:rPr>
          <w:rFonts w:ascii="宋体"/>
          <w:sz w:val="24"/>
        </w:rPr>
      </w:pPr>
      <w:r>
        <w:rPr>
          <w:rFonts w:hint="eastAsia" w:ascii="宋体"/>
          <w:sz w:val="24"/>
        </w:rPr>
        <w:t>与本投标有关的一切正式往来通讯请寄：</w:t>
      </w:r>
    </w:p>
    <w:p>
      <w:pPr>
        <w:spacing w:line="360" w:lineRule="auto"/>
        <w:ind w:left="795"/>
        <w:rPr>
          <w:rFonts w:ascii="宋体"/>
          <w:sz w:val="24"/>
        </w:rPr>
      </w:pPr>
      <w:r>
        <w:rPr>
          <w:rFonts w:hint="eastAsia" w:ascii="宋体"/>
          <w:sz w:val="24"/>
        </w:rPr>
        <w:t>地址：                                   邮编：</w:t>
      </w:r>
    </w:p>
    <w:p>
      <w:pPr>
        <w:spacing w:line="360" w:lineRule="auto"/>
        <w:ind w:left="795"/>
        <w:rPr>
          <w:rFonts w:ascii="宋体"/>
          <w:sz w:val="24"/>
        </w:rPr>
      </w:pPr>
      <w:r>
        <w:rPr>
          <w:rFonts w:hint="eastAsia" w:ascii="宋体"/>
          <w:sz w:val="24"/>
        </w:rPr>
        <w:t>电话：                                   传真：</w:t>
      </w:r>
    </w:p>
    <w:p>
      <w:pPr>
        <w:spacing w:line="360" w:lineRule="auto"/>
        <w:ind w:left="795"/>
        <w:rPr>
          <w:sz w:val="24"/>
        </w:rPr>
      </w:pPr>
    </w:p>
    <w:p>
      <w:pPr>
        <w:ind w:left="795"/>
        <w:rPr>
          <w:sz w:val="24"/>
        </w:rPr>
      </w:pPr>
    </w:p>
    <w:p>
      <w:pPr>
        <w:rPr>
          <w:sz w:val="24"/>
        </w:rPr>
      </w:pPr>
      <w:r>
        <w:rPr>
          <w:rFonts w:hint="eastAsia"/>
          <w:sz w:val="24"/>
        </w:rPr>
        <w:t>投标人授权代表签字：              职务：              日期：</w:t>
      </w:r>
    </w:p>
    <w:p>
      <w:pPr>
        <w:spacing w:line="480" w:lineRule="auto"/>
        <w:rPr>
          <w:sz w:val="24"/>
        </w:rPr>
      </w:pPr>
      <w:r>
        <w:rPr>
          <w:rFonts w:hint="eastAsia"/>
          <w:sz w:val="24"/>
        </w:rPr>
        <w:t>投标人名称（及公章）：</w:t>
      </w:r>
    </w:p>
    <w:p>
      <w:pPr>
        <w:rPr>
          <w:sz w:val="24"/>
        </w:rPr>
      </w:pPr>
      <w:r>
        <w:rPr>
          <w:rFonts w:hint="eastAsia"/>
          <w:sz w:val="24"/>
        </w:rPr>
        <w:t>日期：        年       月       日</w:t>
      </w:r>
    </w:p>
    <w:p>
      <w:pPr>
        <w:spacing w:line="360" w:lineRule="auto"/>
        <w:rPr>
          <w:rFonts w:ascii="宋体" w:hAnsi="宋体"/>
          <w:b/>
          <w:bCs/>
          <w:sz w:val="28"/>
          <w:szCs w:val="22"/>
        </w:rPr>
      </w:pPr>
    </w:p>
    <w:p>
      <w:pPr>
        <w:spacing w:line="360" w:lineRule="auto"/>
        <w:rPr>
          <w:rFonts w:ascii="宋体" w:hAnsi="宋体"/>
          <w:b/>
          <w:bCs/>
          <w:sz w:val="28"/>
          <w:szCs w:val="22"/>
        </w:rPr>
      </w:pPr>
    </w:p>
    <w:p>
      <w:pPr>
        <w:spacing w:line="360" w:lineRule="auto"/>
        <w:rPr>
          <w:rFonts w:ascii="宋体" w:hAnsi="宋体" w:cs="宋体"/>
          <w:b/>
          <w:bCs/>
          <w:sz w:val="28"/>
          <w:szCs w:val="28"/>
        </w:rPr>
      </w:pPr>
      <w:r>
        <w:rPr>
          <w:rFonts w:hint="eastAsia" w:ascii="宋体" w:hAnsi="宋体" w:cs="宋体"/>
          <w:b/>
          <w:bCs/>
          <w:sz w:val="28"/>
          <w:szCs w:val="28"/>
        </w:rPr>
        <w:t>附件2</w:t>
      </w:r>
    </w:p>
    <w:p>
      <w:pPr>
        <w:spacing w:line="360" w:lineRule="auto"/>
        <w:jc w:val="center"/>
        <w:rPr>
          <w:rFonts w:eastAsia="黑体"/>
          <w:b/>
          <w:bCs/>
          <w:sz w:val="28"/>
          <w:szCs w:val="22"/>
        </w:rPr>
      </w:pPr>
      <w:r>
        <w:rPr>
          <w:rFonts w:hint="eastAsia" w:eastAsia="黑体"/>
          <w:b/>
          <w:bCs/>
          <w:sz w:val="28"/>
          <w:szCs w:val="22"/>
        </w:rPr>
        <w:t>法人授权委托书</w:t>
      </w:r>
    </w:p>
    <w:p>
      <w:pPr>
        <w:spacing w:line="360" w:lineRule="auto"/>
        <w:rPr>
          <w:rFonts w:ascii="宋体"/>
          <w:sz w:val="24"/>
          <w:szCs w:val="22"/>
          <w:u w:val="single"/>
        </w:rPr>
      </w:pPr>
      <w:r>
        <w:rPr>
          <w:rFonts w:hint="eastAsia" w:ascii="宋体"/>
          <w:sz w:val="24"/>
          <w:szCs w:val="22"/>
        </w:rPr>
        <w:t>致</w:t>
      </w:r>
      <w:r>
        <w:rPr>
          <w:rFonts w:hint="eastAsia" w:ascii="宋体"/>
          <w:sz w:val="24"/>
          <w:szCs w:val="22"/>
          <w:u w:val="single"/>
        </w:rPr>
        <w:t>（招标人名称）                            ：</w:t>
      </w:r>
    </w:p>
    <w:p>
      <w:pPr>
        <w:spacing w:line="360" w:lineRule="auto"/>
        <w:ind w:firstLine="480" w:firstLineChars="200"/>
        <w:rPr>
          <w:rFonts w:ascii="宋体"/>
          <w:kern w:val="0"/>
          <w:sz w:val="24"/>
          <w:szCs w:val="22"/>
        </w:rPr>
      </w:pPr>
      <w:r>
        <w:rPr>
          <w:rFonts w:hint="eastAsia" w:ascii="宋体"/>
          <w:kern w:val="0"/>
          <w:sz w:val="24"/>
          <w:szCs w:val="22"/>
        </w:rPr>
        <w:t>本授权委托书声明：我</w:t>
      </w:r>
      <w:r>
        <w:rPr>
          <w:rFonts w:hint="eastAsia" w:ascii="宋体"/>
          <w:kern w:val="0"/>
          <w:sz w:val="24"/>
          <w:szCs w:val="22"/>
          <w:u w:val="single"/>
        </w:rPr>
        <w:t xml:space="preserve">（法人姓名）       </w:t>
      </w:r>
      <w:r>
        <w:rPr>
          <w:rFonts w:hint="eastAsia" w:ascii="宋体"/>
          <w:kern w:val="0"/>
          <w:sz w:val="24"/>
          <w:szCs w:val="22"/>
        </w:rPr>
        <w:t>系</w:t>
      </w:r>
      <w:r>
        <w:rPr>
          <w:rFonts w:hint="eastAsia" w:ascii="宋体"/>
          <w:sz w:val="24"/>
          <w:szCs w:val="22"/>
          <w:u w:val="single"/>
        </w:rPr>
        <w:t>（投标人名称）</w:t>
      </w:r>
      <w:r>
        <w:rPr>
          <w:rFonts w:hint="eastAsia" w:ascii="宋体"/>
          <w:kern w:val="0"/>
          <w:sz w:val="24"/>
          <w:szCs w:val="22"/>
        </w:rPr>
        <w:t>的法定代表人，现授权委托</w:t>
      </w:r>
      <w:r>
        <w:rPr>
          <w:rFonts w:hint="eastAsia" w:ascii="宋体"/>
          <w:sz w:val="24"/>
          <w:szCs w:val="22"/>
          <w:u w:val="single"/>
        </w:rPr>
        <w:t>（投标人名称）</w:t>
      </w:r>
      <w:r>
        <w:rPr>
          <w:rFonts w:hint="eastAsia" w:ascii="宋体"/>
          <w:kern w:val="0"/>
          <w:sz w:val="24"/>
          <w:szCs w:val="22"/>
        </w:rPr>
        <w:t>的</w:t>
      </w:r>
      <w:r>
        <w:rPr>
          <w:rFonts w:hint="eastAsia" w:ascii="宋体"/>
          <w:kern w:val="0"/>
          <w:sz w:val="24"/>
          <w:szCs w:val="22"/>
          <w:u w:val="single"/>
        </w:rPr>
        <w:t xml:space="preserve"> （授权委托代理人姓名）        </w:t>
      </w:r>
      <w:r>
        <w:rPr>
          <w:rFonts w:hint="eastAsia" w:ascii="宋体"/>
          <w:kern w:val="0"/>
          <w:sz w:val="24"/>
          <w:szCs w:val="22"/>
        </w:rPr>
        <w:t>为我公司参加贵方组织的</w:t>
      </w:r>
      <w:r>
        <w:rPr>
          <w:rFonts w:hint="eastAsia" w:cs="宋体"/>
          <w:kern w:val="0"/>
          <w:sz w:val="24"/>
          <w:szCs w:val="22"/>
          <w:u w:val="single"/>
        </w:rPr>
        <w:t xml:space="preserve"> XX项目 </w:t>
      </w:r>
      <w:r>
        <w:rPr>
          <w:rFonts w:hint="eastAsia" w:ascii="宋体"/>
          <w:kern w:val="0"/>
          <w:sz w:val="24"/>
          <w:szCs w:val="22"/>
        </w:rPr>
        <w:t>的法定代表人授权委托代理人，全权代表本公司处理投标过程的一切事宜，包括：投标、参与开标、谈判、签约等。投标人授权代表在投标过程中所签署的一切文件和处理与之有关的一切事务，我公司均予认可并对此承担全部责任。</w:t>
      </w:r>
    </w:p>
    <w:p>
      <w:pPr>
        <w:spacing w:line="360" w:lineRule="auto"/>
        <w:ind w:firstLine="480" w:firstLineChars="200"/>
        <w:rPr>
          <w:rFonts w:ascii="宋体"/>
          <w:kern w:val="0"/>
          <w:sz w:val="24"/>
          <w:szCs w:val="22"/>
        </w:rPr>
      </w:pPr>
      <w:r>
        <w:rPr>
          <w:rFonts w:hint="eastAsia" w:ascii="宋体"/>
          <w:kern w:val="0"/>
          <w:sz w:val="24"/>
          <w:szCs w:val="22"/>
        </w:rPr>
        <w:t>委托期限：</w:t>
      </w:r>
      <w:r>
        <w:rPr>
          <w:rFonts w:ascii="宋体"/>
          <w:kern w:val="0"/>
          <w:sz w:val="24"/>
          <w:szCs w:val="22"/>
          <w:u w:val="single"/>
        </w:rPr>
        <w:t>20</w:t>
      </w:r>
      <w:r>
        <w:rPr>
          <w:rFonts w:hint="eastAsia" w:ascii="宋体"/>
          <w:kern w:val="0"/>
          <w:sz w:val="24"/>
          <w:szCs w:val="22"/>
          <w:u w:val="single"/>
        </w:rPr>
        <w:t>XX年X月X日至</w:t>
      </w:r>
      <w:r>
        <w:rPr>
          <w:rFonts w:ascii="宋体"/>
          <w:kern w:val="0"/>
          <w:sz w:val="24"/>
          <w:szCs w:val="22"/>
          <w:u w:val="single"/>
        </w:rPr>
        <w:t xml:space="preserve"> 20</w:t>
      </w:r>
      <w:r>
        <w:rPr>
          <w:rFonts w:hint="eastAsia" w:ascii="宋体"/>
          <w:kern w:val="0"/>
          <w:sz w:val="24"/>
          <w:szCs w:val="22"/>
          <w:u w:val="single"/>
        </w:rPr>
        <w:t>XX年X月X日</w:t>
      </w:r>
    </w:p>
    <w:p>
      <w:pPr>
        <w:spacing w:line="360" w:lineRule="auto"/>
        <w:ind w:firstLine="480" w:firstLineChars="200"/>
        <w:rPr>
          <w:rFonts w:ascii="宋体"/>
          <w:kern w:val="0"/>
          <w:sz w:val="24"/>
          <w:szCs w:val="22"/>
        </w:rPr>
      </w:pPr>
      <w:r>
        <w:rPr>
          <w:rFonts w:hint="eastAsia" w:ascii="宋体"/>
          <w:kern w:val="0"/>
          <w:sz w:val="24"/>
          <w:szCs w:val="22"/>
        </w:rPr>
        <w:t>代理人无转委托权，特此委托。</w:t>
      </w:r>
    </w:p>
    <w:p>
      <w:pPr>
        <w:spacing w:line="360" w:lineRule="auto"/>
        <w:ind w:firstLine="480" w:firstLineChars="200"/>
        <w:rPr>
          <w:rFonts w:ascii="宋体"/>
          <w:kern w:val="0"/>
          <w:sz w:val="24"/>
          <w:szCs w:val="22"/>
        </w:rPr>
      </w:pPr>
      <w:r>
        <w:rPr>
          <w:rFonts w:hint="eastAsia" w:ascii="宋体"/>
          <w:kern w:val="0"/>
          <w:sz w:val="24"/>
          <w:szCs w:val="22"/>
        </w:rPr>
        <w:t>代理人姓名：性别：年龄：</w:t>
      </w:r>
    </w:p>
    <w:p>
      <w:pPr>
        <w:spacing w:line="360" w:lineRule="auto"/>
        <w:ind w:firstLine="480" w:firstLineChars="200"/>
        <w:rPr>
          <w:rFonts w:ascii="宋体"/>
          <w:kern w:val="0"/>
          <w:sz w:val="24"/>
          <w:szCs w:val="22"/>
        </w:rPr>
      </w:pPr>
      <w:r>
        <w:rPr>
          <w:rFonts w:hint="eastAsia" w:ascii="宋体"/>
          <w:kern w:val="0"/>
          <w:sz w:val="24"/>
          <w:szCs w:val="22"/>
        </w:rPr>
        <w:t>身份证号码：职务：</w:t>
      </w:r>
    </w:p>
    <w:p>
      <w:pPr>
        <w:spacing w:line="360" w:lineRule="auto"/>
        <w:ind w:firstLine="480" w:firstLineChars="200"/>
        <w:rPr>
          <w:rFonts w:ascii="宋体"/>
          <w:kern w:val="0"/>
          <w:sz w:val="24"/>
          <w:szCs w:val="22"/>
        </w:rPr>
      </w:pPr>
      <w:r>
        <w:rPr>
          <w:rFonts w:hint="eastAsia" w:ascii="宋体"/>
          <w:kern w:val="0"/>
          <w:sz w:val="24"/>
          <w:szCs w:val="22"/>
        </w:rPr>
        <w:t>投标人名称：（盖单位公章）</w:t>
      </w:r>
    </w:p>
    <w:p>
      <w:pPr>
        <w:spacing w:line="360" w:lineRule="auto"/>
        <w:ind w:firstLine="480" w:firstLineChars="200"/>
        <w:rPr>
          <w:rFonts w:ascii="宋体" w:hAnsi="宋体" w:cs="宋体"/>
          <w:sz w:val="24"/>
          <w:szCs w:val="22"/>
        </w:rPr>
      </w:pPr>
      <w:r>
        <w:rPr>
          <w:rFonts w:hint="eastAsia" w:ascii="宋体"/>
          <w:kern w:val="0"/>
          <w:sz w:val="24"/>
          <w:szCs w:val="22"/>
        </w:rPr>
        <w:t>法定代表人：（签字）</w:t>
      </w:r>
    </w:p>
    <w:p>
      <w:pPr>
        <w:spacing w:line="360" w:lineRule="auto"/>
        <w:ind w:firstLine="240" w:firstLineChars="100"/>
        <w:rPr>
          <w:rFonts w:ascii="宋体" w:hAnsi="宋体" w:cs="宋体"/>
          <w:sz w:val="24"/>
          <w:szCs w:val="22"/>
        </w:rPr>
      </w:pPr>
      <w:r>
        <w:rPr>
          <w:rFonts w:hint="eastAsia" w:ascii="宋体" w:hAnsi="宋体" w:cs="宋体"/>
          <w:sz w:val="24"/>
          <w:szCs w:val="22"/>
        </w:rPr>
        <mc:AlternateContent>
          <mc:Choice Requires="wps">
            <w:drawing>
              <wp:anchor distT="0" distB="0" distL="114300" distR="114300" simplePos="0" relativeHeight="251660288" behindDoc="0" locked="0" layoutInCell="1" allowOverlap="1">
                <wp:simplePos x="0" y="0"/>
                <wp:positionH relativeFrom="column">
                  <wp:posOffset>2869565</wp:posOffset>
                </wp:positionH>
                <wp:positionV relativeFrom="paragraph">
                  <wp:posOffset>260350</wp:posOffset>
                </wp:positionV>
                <wp:extent cx="2716530" cy="1581150"/>
                <wp:effectExtent l="4445" t="4445" r="22225" b="14605"/>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3021554" cy="1581374"/>
                        </a:xfrm>
                        <a:prstGeom prst="rect">
                          <a:avLst/>
                        </a:prstGeom>
                        <a:solidFill>
                          <a:srgbClr val="FFFFFF"/>
                        </a:solidFill>
                        <a:ln w="9525">
                          <a:solidFill>
                            <a:srgbClr val="000000"/>
                          </a:solidFill>
                          <a:miter lim="800000"/>
                        </a:ln>
                        <a:effectLst/>
                      </wps:spPr>
                      <wps:txbx>
                        <w:txbxContent>
                          <w:p>
                            <w:pPr>
                              <w:rPr>
                                <w:szCs w:val="22"/>
                              </w:rPr>
                            </w:pPr>
                          </w:p>
                          <w:p>
                            <w:pPr>
                              <w:rPr>
                                <w:szCs w:val="22"/>
                              </w:rPr>
                            </w:pPr>
                          </w:p>
                          <w:p>
                            <w:pPr>
                              <w:rPr>
                                <w:szCs w:val="22"/>
                              </w:rPr>
                            </w:pPr>
                          </w:p>
                          <w:p>
                            <w:pPr>
                              <w:jc w:val="center"/>
                              <w:rPr>
                                <w:szCs w:val="22"/>
                              </w:rPr>
                            </w:pPr>
                            <w:r>
                              <w:rPr>
                                <w:rFonts w:hint="eastAsia"/>
                                <w:szCs w:val="22"/>
                              </w:rPr>
                              <w:t>身份证反面复印件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25.95pt;margin-top:20.5pt;height:124.5pt;width:213.9pt;z-index:251660288;mso-width-relative:page;mso-height-relative:page;" fillcolor="#FFFFFF" filled="t" stroked="t" coordsize="21600,21600" o:gfxdata="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AnR7RXZAAAACgEAAA8AAAAAAAAA&#10;AQAgAAAAIgAAAGRycy9kb3ducmV2LnhtbFBLAQIUABQAAAAIAIdO4kD92OpJSQIAAJYEAAAOAAAA&#10;AAAAAAEAIAAAACgBAABkcnMvZTJvRG9jLnhtbFBLBQYAAAAABgAGAFkBAADjBQAAAAA=&#10;">
                <v:fill on="t" focussize="0,0"/>
                <v:stroke color="#000000" miterlimit="8" joinstyle="miter"/>
                <v:imagedata o:title=""/>
                <o:lock v:ext="edit" aspectratio="f"/>
                <v:textbox>
                  <w:txbxContent>
                    <w:p>
                      <w:pPr>
                        <w:rPr>
                          <w:szCs w:val="22"/>
                        </w:rPr>
                      </w:pPr>
                    </w:p>
                    <w:p>
                      <w:pPr>
                        <w:rPr>
                          <w:szCs w:val="22"/>
                        </w:rPr>
                      </w:pPr>
                    </w:p>
                    <w:p>
                      <w:pPr>
                        <w:rPr>
                          <w:szCs w:val="22"/>
                        </w:rPr>
                      </w:pPr>
                    </w:p>
                    <w:p>
                      <w:pPr>
                        <w:jc w:val="center"/>
                        <w:rPr>
                          <w:szCs w:val="22"/>
                        </w:rPr>
                      </w:pPr>
                      <w:r>
                        <w:rPr>
                          <w:rFonts w:hint="eastAsia"/>
                          <w:szCs w:val="22"/>
                        </w:rPr>
                        <w:t>身份证反面复印件</w:t>
                      </w:r>
                    </w:p>
                  </w:txbxContent>
                </v:textbox>
              </v:shape>
            </w:pict>
          </mc:Fallback>
        </mc:AlternateContent>
      </w:r>
      <w:r>
        <w:rPr>
          <w:rFonts w:hint="eastAsia" w:ascii="宋体" w:hAnsi="宋体" w:cs="宋体"/>
          <w:sz w:val="24"/>
          <w:szCs w:val="22"/>
        </w:rPr>
        <mc:AlternateContent>
          <mc:Choice Requires="wps">
            <w:drawing>
              <wp:anchor distT="0" distB="0" distL="114300" distR="114300" simplePos="0" relativeHeight="251659264" behindDoc="0" locked="0" layoutInCell="1" allowOverlap="1">
                <wp:simplePos x="0" y="0"/>
                <wp:positionH relativeFrom="column">
                  <wp:posOffset>-180975</wp:posOffset>
                </wp:positionH>
                <wp:positionV relativeFrom="paragraph">
                  <wp:posOffset>259080</wp:posOffset>
                </wp:positionV>
                <wp:extent cx="2880995" cy="1581150"/>
                <wp:effectExtent l="4445" t="5080" r="10160" b="1397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3010797" cy="1581375"/>
                        </a:xfrm>
                        <a:prstGeom prst="rect">
                          <a:avLst/>
                        </a:prstGeom>
                        <a:solidFill>
                          <a:srgbClr val="FFFFFF"/>
                        </a:solidFill>
                        <a:ln w="9525">
                          <a:solidFill>
                            <a:srgbClr val="000000"/>
                          </a:solidFill>
                          <a:miter lim="800000"/>
                        </a:ln>
                        <a:effectLst/>
                      </wps:spPr>
                      <wps:txbx>
                        <w:txbxContent>
                          <w:p>
                            <w:pPr>
                              <w:ind w:firstLine="630" w:firstLineChars="300"/>
                              <w:rPr>
                                <w:szCs w:val="22"/>
                              </w:rPr>
                            </w:pPr>
                          </w:p>
                          <w:p>
                            <w:pPr>
                              <w:ind w:firstLine="630" w:firstLineChars="300"/>
                              <w:rPr>
                                <w:szCs w:val="22"/>
                              </w:rPr>
                            </w:pPr>
                          </w:p>
                          <w:p>
                            <w:pPr>
                              <w:ind w:firstLine="630" w:firstLineChars="300"/>
                              <w:rPr>
                                <w:szCs w:val="22"/>
                              </w:rPr>
                            </w:pPr>
                          </w:p>
                          <w:p>
                            <w:pPr>
                              <w:jc w:val="center"/>
                              <w:rPr>
                                <w:szCs w:val="22"/>
                              </w:rPr>
                            </w:pPr>
                            <w:r>
                              <w:rPr>
                                <w:rFonts w:hint="eastAsia"/>
                                <w:szCs w:val="22"/>
                              </w:rPr>
                              <w:t>身份证正面复印件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4.25pt;margin-top:20.4pt;height:124.5pt;width:226.85pt;z-index:251659264;mso-width-relative:page;mso-height-relative:page;" fillcolor="#FFFFFF" filled="t" stroked="t" coordsize="21600,21600" o:gfxdata="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BwccD7ZAAAACgEAAA8AAAAAAAAA&#10;AQAgAAAAIgAAAGRycy9kb3ducmV2LnhtbFBLAQIUABQAAAAIAIdO4kByv6CeSQIAAJYEAAAOAAAA&#10;AAAAAAEAIAAAACgBAABkcnMvZTJvRG9jLnhtbFBLBQYAAAAABgAGAFkBAADjBQAAAAA=&#10;">
                <v:fill on="t" focussize="0,0"/>
                <v:stroke color="#000000" miterlimit="8" joinstyle="miter"/>
                <v:imagedata o:title=""/>
                <o:lock v:ext="edit" aspectratio="f"/>
                <v:textbox>
                  <w:txbxContent>
                    <w:p>
                      <w:pPr>
                        <w:ind w:firstLine="630" w:firstLineChars="300"/>
                        <w:rPr>
                          <w:szCs w:val="22"/>
                        </w:rPr>
                      </w:pPr>
                    </w:p>
                    <w:p>
                      <w:pPr>
                        <w:ind w:firstLine="630" w:firstLineChars="300"/>
                        <w:rPr>
                          <w:szCs w:val="22"/>
                        </w:rPr>
                      </w:pPr>
                    </w:p>
                    <w:p>
                      <w:pPr>
                        <w:ind w:firstLine="630" w:firstLineChars="300"/>
                        <w:rPr>
                          <w:szCs w:val="22"/>
                        </w:rPr>
                      </w:pPr>
                    </w:p>
                    <w:p>
                      <w:pPr>
                        <w:jc w:val="center"/>
                        <w:rPr>
                          <w:szCs w:val="22"/>
                        </w:rPr>
                      </w:pPr>
                      <w:r>
                        <w:rPr>
                          <w:rFonts w:hint="eastAsia"/>
                          <w:szCs w:val="22"/>
                        </w:rPr>
                        <w:t>身份证正面复印件</w:t>
                      </w:r>
                    </w:p>
                  </w:txbxContent>
                </v:textbox>
              </v:shape>
            </w:pict>
          </mc:Fallback>
        </mc:AlternateContent>
      </w:r>
      <w:r>
        <w:rPr>
          <w:rFonts w:hint="eastAsia" w:ascii="宋体" w:hAnsi="宋体" w:cs="宋体"/>
          <w:sz w:val="24"/>
          <w:szCs w:val="22"/>
        </w:rPr>
        <w:t xml:space="preserve"> 授权人身份证正反面复印件：</w:t>
      </w:r>
    </w:p>
    <w:p>
      <w:pPr>
        <w:spacing w:line="360" w:lineRule="auto"/>
        <w:ind w:firstLine="600"/>
        <w:rPr>
          <w:rFonts w:ascii="宋体" w:hAnsi="宋体" w:cs="宋体"/>
          <w:sz w:val="24"/>
          <w:szCs w:val="22"/>
        </w:rPr>
      </w:pPr>
    </w:p>
    <w:p>
      <w:pPr>
        <w:widowControl/>
        <w:spacing w:line="360" w:lineRule="auto"/>
        <w:jc w:val="left"/>
        <w:rPr>
          <w:rFonts w:ascii="宋体" w:hAnsi="宋体" w:cs="宋体"/>
          <w:color w:val="000000"/>
          <w:kern w:val="0"/>
          <w:sz w:val="24"/>
          <w:szCs w:val="22"/>
        </w:rPr>
      </w:pPr>
    </w:p>
    <w:p>
      <w:pPr>
        <w:spacing w:line="360" w:lineRule="auto"/>
        <w:rPr>
          <w:rFonts w:ascii="宋体" w:hAnsi="宋体" w:cs="宋体"/>
          <w:sz w:val="24"/>
          <w:szCs w:val="22"/>
        </w:rPr>
      </w:pPr>
    </w:p>
    <w:p>
      <w:pPr>
        <w:spacing w:line="360" w:lineRule="auto"/>
        <w:ind w:left="472" w:right="69" w:rightChars="33" w:hanging="472" w:hangingChars="196"/>
        <w:rPr>
          <w:rFonts w:ascii="宋体" w:hAnsi="宋体" w:cs="宋体"/>
          <w:b/>
          <w:sz w:val="24"/>
          <w:szCs w:val="22"/>
        </w:rPr>
      </w:pPr>
    </w:p>
    <w:p>
      <w:pPr>
        <w:widowControl/>
        <w:spacing w:after="120" w:line="360" w:lineRule="auto"/>
        <w:jc w:val="left"/>
        <w:rPr>
          <w:rFonts w:ascii="宋体" w:hAnsi="宋体" w:cs="宋体"/>
          <w:b/>
          <w:kern w:val="0"/>
          <w:sz w:val="24"/>
          <w:szCs w:val="20"/>
          <w:lang w:val="de-DE"/>
        </w:rPr>
      </w:pPr>
    </w:p>
    <w:p>
      <w:pPr>
        <w:spacing w:line="360" w:lineRule="auto"/>
        <w:rPr>
          <w:rFonts w:ascii="宋体" w:hAnsi="宋体" w:cs="宋体"/>
          <w:sz w:val="24"/>
          <w:szCs w:val="22"/>
        </w:rPr>
      </w:pPr>
      <w:r>
        <w:rPr>
          <w:sz w:val="30"/>
          <w:szCs w:val="30"/>
        </w:rPr>
        <mc:AlternateContent>
          <mc:Choice Requires="wps">
            <w:drawing>
              <wp:anchor distT="0" distB="0" distL="114300" distR="114300" simplePos="0" relativeHeight="251661312" behindDoc="0" locked="0" layoutInCell="1" allowOverlap="1">
                <wp:simplePos x="0" y="0"/>
                <wp:positionH relativeFrom="column">
                  <wp:posOffset>-175260</wp:posOffset>
                </wp:positionH>
                <wp:positionV relativeFrom="paragraph">
                  <wp:posOffset>245110</wp:posOffset>
                </wp:positionV>
                <wp:extent cx="2795905" cy="1624330"/>
                <wp:effectExtent l="4445" t="4445" r="19050" b="9525"/>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3053827" cy="1624404"/>
                        </a:xfrm>
                        <a:prstGeom prst="rect">
                          <a:avLst/>
                        </a:prstGeom>
                        <a:solidFill>
                          <a:srgbClr val="FFFFFF"/>
                        </a:solidFill>
                        <a:ln w="9525">
                          <a:solidFill>
                            <a:srgbClr val="000000"/>
                          </a:solidFill>
                          <a:miter lim="800000"/>
                        </a:ln>
                        <a:effectLst/>
                      </wps:spPr>
                      <wps:txbx>
                        <w:txbxContent>
                          <w:p>
                            <w:pPr>
                              <w:ind w:firstLine="630" w:firstLineChars="300"/>
                              <w:rPr>
                                <w:szCs w:val="22"/>
                              </w:rPr>
                            </w:pPr>
                          </w:p>
                          <w:p>
                            <w:pPr>
                              <w:ind w:firstLine="630" w:firstLineChars="300"/>
                              <w:rPr>
                                <w:szCs w:val="22"/>
                              </w:rPr>
                            </w:pPr>
                          </w:p>
                          <w:p>
                            <w:pPr>
                              <w:rPr>
                                <w:szCs w:val="22"/>
                              </w:rPr>
                            </w:pPr>
                          </w:p>
                          <w:p>
                            <w:pPr>
                              <w:jc w:val="center"/>
                              <w:rPr>
                                <w:szCs w:val="22"/>
                              </w:rPr>
                            </w:pPr>
                            <w:r>
                              <w:rPr>
                                <w:rFonts w:hint="eastAsia"/>
                                <w:szCs w:val="22"/>
                              </w:rPr>
                              <w:t>身份证正面复印件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3.8pt;margin-top:19.3pt;height:127.9pt;width:220.15pt;z-index:251661312;mso-width-relative:page;mso-height-relative:page;" fillcolor="#FFFFFF" filled="t" stroked="t" coordsize="21600,21600" o:gfxdata="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CF2zR42gAAAAoBAAAPAAAAAAAA&#10;AAEAIAAAACIAAABkcnMvZG93bnJldi54bWxQSwECFAAUAAAACACHTuJAFaXBvEkCAACWBAAADgAA&#10;AAAAAAABACAAAAApAQAAZHJzL2Uyb0RvYy54bWxQSwUGAAAAAAYABgBZAQAA5AUAAAAA&#10;">
                <v:fill on="t" focussize="0,0"/>
                <v:stroke color="#000000" miterlimit="8" joinstyle="miter"/>
                <v:imagedata o:title=""/>
                <o:lock v:ext="edit" aspectratio="f"/>
                <v:textbox>
                  <w:txbxContent>
                    <w:p>
                      <w:pPr>
                        <w:ind w:firstLine="630" w:firstLineChars="300"/>
                        <w:rPr>
                          <w:szCs w:val="22"/>
                        </w:rPr>
                      </w:pPr>
                    </w:p>
                    <w:p>
                      <w:pPr>
                        <w:ind w:firstLine="630" w:firstLineChars="300"/>
                        <w:rPr>
                          <w:szCs w:val="22"/>
                        </w:rPr>
                      </w:pPr>
                    </w:p>
                    <w:p>
                      <w:pPr>
                        <w:rPr>
                          <w:szCs w:val="22"/>
                        </w:rPr>
                      </w:pPr>
                    </w:p>
                    <w:p>
                      <w:pPr>
                        <w:jc w:val="center"/>
                        <w:rPr>
                          <w:szCs w:val="22"/>
                        </w:rPr>
                      </w:pPr>
                      <w:r>
                        <w:rPr>
                          <w:rFonts w:hint="eastAsia"/>
                          <w:szCs w:val="22"/>
                        </w:rPr>
                        <w:t>身份证正面复印件</w:t>
                      </w:r>
                    </w:p>
                  </w:txbxContent>
                </v:textbox>
              </v:shape>
            </w:pict>
          </mc:Fallback>
        </mc:AlternateContent>
      </w:r>
      <w:r>
        <w:rPr>
          <w:rFonts w:eastAsia="仿宋_GB2312"/>
          <w:sz w:val="30"/>
          <w:szCs w:val="30"/>
        </w:rPr>
        <mc:AlternateContent>
          <mc:Choice Requires="wps">
            <w:drawing>
              <wp:anchor distT="0" distB="0" distL="114300" distR="114300" simplePos="0" relativeHeight="251662336" behindDoc="0" locked="0" layoutInCell="1" allowOverlap="1">
                <wp:simplePos x="0" y="0"/>
                <wp:positionH relativeFrom="column">
                  <wp:posOffset>2856230</wp:posOffset>
                </wp:positionH>
                <wp:positionV relativeFrom="paragraph">
                  <wp:posOffset>264160</wp:posOffset>
                </wp:positionV>
                <wp:extent cx="2713355" cy="1581150"/>
                <wp:effectExtent l="4445" t="4445" r="6350" b="14605"/>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3010797" cy="1581375"/>
                        </a:xfrm>
                        <a:prstGeom prst="rect">
                          <a:avLst/>
                        </a:prstGeom>
                        <a:solidFill>
                          <a:srgbClr val="FFFFFF"/>
                        </a:solidFill>
                        <a:ln w="9525">
                          <a:solidFill>
                            <a:srgbClr val="000000"/>
                          </a:solidFill>
                          <a:miter lim="800000"/>
                        </a:ln>
                        <a:effectLst/>
                      </wps:spPr>
                      <wps:txbx>
                        <w:txbxContent>
                          <w:p>
                            <w:pPr>
                              <w:ind w:firstLine="630" w:firstLineChars="300"/>
                              <w:rPr>
                                <w:szCs w:val="22"/>
                              </w:rPr>
                            </w:pPr>
                          </w:p>
                          <w:p>
                            <w:pPr>
                              <w:ind w:firstLine="630" w:firstLineChars="300"/>
                              <w:rPr>
                                <w:szCs w:val="22"/>
                              </w:rPr>
                            </w:pPr>
                          </w:p>
                          <w:p>
                            <w:pPr>
                              <w:ind w:firstLine="630" w:firstLineChars="300"/>
                              <w:rPr>
                                <w:szCs w:val="22"/>
                              </w:rPr>
                            </w:pPr>
                          </w:p>
                          <w:p>
                            <w:pPr>
                              <w:jc w:val="center"/>
                              <w:rPr>
                                <w:szCs w:val="22"/>
                              </w:rPr>
                            </w:pPr>
                            <w:r>
                              <w:rPr>
                                <w:rFonts w:hint="eastAsia"/>
                                <w:szCs w:val="22"/>
                              </w:rPr>
                              <w:t>身份证反面复印件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24.9pt;margin-top:20.8pt;height:124.5pt;width:213.65pt;z-index:251662336;mso-width-relative:page;mso-height-relative:page;" fillcolor="#FFFFFF" filled="t" stroked="t" coordsize="21600,21600" o:gfxdata="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nEyzhNkAAAAKAQAADwAAAAAAAAAB&#10;ACAAAAAiAAAAZHJzL2Rvd25yZXYueG1sUEsBAhQAFAAAAAgAh07iQLKMEgZIAgAAlgQAAA4AAAAA&#10;AAAAAQAgAAAAKAEAAGRycy9lMm9Eb2MueG1sUEsFBgAAAAAGAAYAWQEAAOIFAAAAAA==&#10;">
                <v:fill on="t" focussize="0,0"/>
                <v:stroke color="#000000" miterlimit="8" joinstyle="miter"/>
                <v:imagedata o:title=""/>
                <o:lock v:ext="edit" aspectratio="f"/>
                <v:textbox>
                  <w:txbxContent>
                    <w:p>
                      <w:pPr>
                        <w:ind w:firstLine="630" w:firstLineChars="300"/>
                        <w:rPr>
                          <w:szCs w:val="22"/>
                        </w:rPr>
                      </w:pPr>
                    </w:p>
                    <w:p>
                      <w:pPr>
                        <w:ind w:firstLine="630" w:firstLineChars="300"/>
                        <w:rPr>
                          <w:szCs w:val="22"/>
                        </w:rPr>
                      </w:pPr>
                    </w:p>
                    <w:p>
                      <w:pPr>
                        <w:ind w:firstLine="630" w:firstLineChars="300"/>
                        <w:rPr>
                          <w:szCs w:val="22"/>
                        </w:rPr>
                      </w:pPr>
                    </w:p>
                    <w:p>
                      <w:pPr>
                        <w:jc w:val="center"/>
                        <w:rPr>
                          <w:szCs w:val="22"/>
                        </w:rPr>
                      </w:pPr>
                      <w:r>
                        <w:rPr>
                          <w:rFonts w:hint="eastAsia"/>
                          <w:szCs w:val="22"/>
                        </w:rPr>
                        <w:t>身份证反面复印件</w:t>
                      </w:r>
                    </w:p>
                  </w:txbxContent>
                </v:textbox>
              </v:shape>
            </w:pict>
          </mc:Fallback>
        </mc:AlternateContent>
      </w:r>
      <w:r>
        <w:rPr>
          <w:rFonts w:hint="eastAsia" w:ascii="宋体" w:hAnsi="宋体" w:cs="宋体"/>
          <w:sz w:val="24"/>
          <w:szCs w:val="22"/>
        </w:rPr>
        <w:t>被授权人身份证正反面复印件：</w:t>
      </w:r>
    </w:p>
    <w:p>
      <w:pPr>
        <w:autoSpaceDE w:val="0"/>
        <w:autoSpaceDN w:val="0"/>
        <w:adjustRightInd w:val="0"/>
        <w:spacing w:line="360" w:lineRule="auto"/>
        <w:rPr>
          <w:rFonts w:ascii="宋体" w:hAnsi="宋体" w:cs="宋体"/>
          <w:b/>
          <w:color w:val="000000"/>
          <w:sz w:val="24"/>
        </w:rPr>
      </w:pPr>
    </w:p>
    <w:p>
      <w:pPr>
        <w:autoSpaceDE w:val="0"/>
        <w:autoSpaceDN w:val="0"/>
        <w:adjustRightInd w:val="0"/>
        <w:spacing w:line="360" w:lineRule="auto"/>
        <w:rPr>
          <w:rFonts w:eastAsia="NKGHNB+Arial" w:cs="NKGHNB+Arial"/>
          <w:b/>
          <w:color w:val="000000"/>
          <w:sz w:val="24"/>
        </w:rPr>
      </w:pPr>
    </w:p>
    <w:p>
      <w:pPr>
        <w:autoSpaceDE w:val="0"/>
        <w:autoSpaceDN w:val="0"/>
        <w:adjustRightInd w:val="0"/>
        <w:spacing w:line="360" w:lineRule="auto"/>
        <w:rPr>
          <w:rFonts w:eastAsia="NKGHNB+Arial" w:cs="NKGHNB+Arial"/>
          <w:b/>
          <w:color w:val="000000"/>
          <w:sz w:val="24"/>
        </w:rPr>
      </w:pPr>
    </w:p>
    <w:p>
      <w:pPr>
        <w:autoSpaceDE w:val="0"/>
        <w:autoSpaceDN w:val="0"/>
        <w:adjustRightInd w:val="0"/>
        <w:spacing w:line="360" w:lineRule="auto"/>
        <w:rPr>
          <w:rFonts w:eastAsia="NKGHNB+Arial" w:cs="NKGHNB+Arial"/>
          <w:b/>
          <w:color w:val="000000"/>
          <w:sz w:val="24"/>
        </w:rPr>
      </w:pPr>
    </w:p>
    <w:p>
      <w:pPr>
        <w:spacing w:line="360" w:lineRule="auto"/>
        <w:rPr>
          <w:szCs w:val="22"/>
        </w:rPr>
      </w:pPr>
      <w:r>
        <w:rPr>
          <w:rFonts w:hint="eastAsia"/>
          <w:szCs w:val="22"/>
        </w:rPr>
        <w:t xml:space="preserve">附件3                                             </w:t>
      </w:r>
    </w:p>
    <w:p>
      <w:pPr>
        <w:spacing w:line="360" w:lineRule="auto"/>
        <w:jc w:val="right"/>
        <w:rPr>
          <w:rFonts w:ascii="宋体" w:hAnsi="宋体"/>
          <w:b/>
          <w:bCs/>
          <w:sz w:val="28"/>
        </w:rPr>
      </w:pPr>
      <w:r>
        <w:rPr>
          <w:rFonts w:eastAsia="仿宋_GB2312"/>
          <w:sz w:val="28"/>
          <w:szCs w:val="28"/>
        </w:rPr>
        <w:t>日期：</w:t>
      </w:r>
      <w:r>
        <w:rPr>
          <w:rFonts w:hint="eastAsia" w:eastAsia="仿宋_GB2312"/>
          <w:sz w:val="28"/>
          <w:szCs w:val="28"/>
        </w:rPr>
        <w:t>2025</w:t>
      </w:r>
      <w:r>
        <w:rPr>
          <w:rFonts w:eastAsia="仿宋_GB2312"/>
          <w:sz w:val="28"/>
          <w:szCs w:val="28"/>
        </w:rPr>
        <w:t xml:space="preserve"> 年  月  日</w:t>
      </w:r>
    </w:p>
    <w:p>
      <w:pPr>
        <w:rPr>
          <w:rFonts w:ascii="宋体" w:hAnsi="宋体" w:cs="宋体"/>
          <w:b/>
          <w:bCs/>
          <w:sz w:val="28"/>
          <w:szCs w:val="28"/>
        </w:rPr>
      </w:pPr>
      <w:r>
        <w:rPr>
          <w:rFonts w:hint="eastAsia" w:ascii="宋体" w:hAnsi="宋体" w:cs="宋体"/>
          <w:b/>
          <w:bCs/>
          <w:sz w:val="28"/>
          <w:szCs w:val="28"/>
        </w:rPr>
        <w:t>附件3</w:t>
      </w:r>
    </w:p>
    <w:p>
      <w:pPr>
        <w:jc w:val="center"/>
        <w:rPr>
          <w:rFonts w:ascii="宋体" w:hAnsi="宋体"/>
          <w:b/>
          <w:bCs/>
          <w:sz w:val="28"/>
          <w:szCs w:val="28"/>
        </w:rPr>
      </w:pPr>
      <w:r>
        <w:rPr>
          <w:rFonts w:hint="eastAsia" w:ascii="宋体" w:hAnsi="宋体"/>
          <w:b/>
          <w:bCs/>
          <w:sz w:val="28"/>
          <w:szCs w:val="28"/>
        </w:rPr>
        <w:t>报价单</w:t>
      </w:r>
    </w:p>
    <w:tbl>
      <w:tblPr>
        <w:tblStyle w:val="13"/>
        <w:tblW w:w="10152" w:type="dxa"/>
        <w:jc w:val="center"/>
        <w:tblLayout w:type="fixed"/>
        <w:tblCellMar>
          <w:top w:w="0" w:type="dxa"/>
          <w:left w:w="108" w:type="dxa"/>
          <w:bottom w:w="0" w:type="dxa"/>
          <w:right w:w="108" w:type="dxa"/>
        </w:tblCellMar>
      </w:tblPr>
      <w:tblGrid>
        <w:gridCol w:w="993"/>
        <w:gridCol w:w="2491"/>
        <w:gridCol w:w="2010"/>
        <w:gridCol w:w="738"/>
        <w:gridCol w:w="882"/>
        <w:gridCol w:w="1778"/>
        <w:gridCol w:w="1260"/>
      </w:tblGrid>
      <w:tr>
        <w:tblPrEx>
          <w:tblCellMar>
            <w:top w:w="0" w:type="dxa"/>
            <w:left w:w="108" w:type="dxa"/>
            <w:bottom w:w="0" w:type="dxa"/>
            <w:right w:w="108" w:type="dxa"/>
          </w:tblCellMar>
        </w:tblPrEx>
        <w:trPr>
          <w:trHeight w:val="657" w:hRule="atLeast"/>
          <w:jc w:val="center"/>
        </w:trPr>
        <w:tc>
          <w:tcPr>
            <w:tcW w:w="549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项目总报价</w:t>
            </w:r>
            <w:r>
              <w:rPr>
                <w:rFonts w:hint="eastAsia"/>
              </w:rPr>
              <w:br w:type="textWrapping"/>
            </w:r>
            <w:r>
              <w:rPr>
                <w:rFonts w:hint="eastAsia"/>
              </w:rPr>
              <w:t>（人民币，元，含税）</w:t>
            </w:r>
          </w:p>
        </w:tc>
        <w:tc>
          <w:tcPr>
            <w:tcW w:w="4658" w:type="dxa"/>
            <w:gridSpan w:val="4"/>
            <w:tcBorders>
              <w:top w:val="single" w:color="auto" w:sz="4" w:space="0"/>
              <w:left w:val="nil"/>
              <w:bottom w:val="single" w:color="auto" w:sz="4" w:space="0"/>
              <w:right w:val="single" w:color="auto" w:sz="4" w:space="0"/>
            </w:tcBorders>
            <w:shd w:val="clear" w:color="auto" w:fill="auto"/>
            <w:noWrap/>
            <w:vAlign w:val="center"/>
          </w:tcPr>
          <w:p>
            <w:r>
              <w:rPr>
                <w:rFonts w:hint="eastAsia"/>
              </w:rPr>
              <w:t>　</w:t>
            </w:r>
          </w:p>
        </w:tc>
      </w:tr>
      <w:tr>
        <w:tblPrEx>
          <w:tblCellMar>
            <w:top w:w="0" w:type="dxa"/>
            <w:left w:w="108" w:type="dxa"/>
            <w:bottom w:w="0" w:type="dxa"/>
            <w:right w:w="108" w:type="dxa"/>
          </w:tblCellMar>
        </w:tblPrEx>
        <w:trPr>
          <w:trHeight w:val="1098" w:hRule="atLeast"/>
          <w:jc w:val="center"/>
        </w:trPr>
        <w:tc>
          <w:tcPr>
            <w:tcW w:w="549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是否响应本招标书的各项条款及要求（如响应，在该栏中填写“是”字；如不响应，在该栏中填写“否”字并在相关条款偏离表中予以具体注明）</w:t>
            </w:r>
          </w:p>
        </w:tc>
        <w:tc>
          <w:tcPr>
            <w:tcW w:w="4658" w:type="dxa"/>
            <w:gridSpan w:val="4"/>
            <w:tcBorders>
              <w:top w:val="single" w:color="auto" w:sz="4" w:space="0"/>
              <w:left w:val="nil"/>
              <w:bottom w:val="single" w:color="auto" w:sz="4" w:space="0"/>
              <w:right w:val="single" w:color="auto" w:sz="4" w:space="0"/>
            </w:tcBorders>
            <w:shd w:val="clear" w:color="auto" w:fill="auto"/>
            <w:noWrap/>
            <w:vAlign w:val="center"/>
          </w:tcPr>
          <w:p>
            <w:r>
              <w:rPr>
                <w:rFonts w:hint="eastAsia"/>
              </w:rPr>
              <w:t>　</w:t>
            </w:r>
          </w:p>
        </w:tc>
      </w:tr>
      <w:tr>
        <w:tblPrEx>
          <w:tblCellMar>
            <w:top w:w="0" w:type="dxa"/>
            <w:left w:w="108" w:type="dxa"/>
            <w:bottom w:w="0" w:type="dxa"/>
            <w:right w:w="108" w:type="dxa"/>
          </w:tblCellMar>
        </w:tblPrEx>
        <w:trPr>
          <w:trHeight w:val="514" w:hRule="atLeast"/>
          <w:jc w:val="center"/>
        </w:trPr>
        <w:tc>
          <w:tcPr>
            <w:tcW w:w="993" w:type="dxa"/>
            <w:tcBorders>
              <w:top w:val="nil"/>
              <w:left w:val="single" w:color="auto" w:sz="4" w:space="0"/>
              <w:bottom w:val="single" w:color="auto" w:sz="4" w:space="0"/>
              <w:right w:val="single" w:color="auto" w:sz="4" w:space="0"/>
            </w:tcBorders>
            <w:shd w:val="clear" w:color="auto" w:fill="auto"/>
            <w:noWrap/>
            <w:vAlign w:val="center"/>
          </w:tcPr>
          <w:p>
            <w:pPr>
              <w:jc w:val="center"/>
            </w:pPr>
            <w:r>
              <w:rPr>
                <w:rFonts w:hint="eastAsia"/>
              </w:rPr>
              <w:t>序号</w:t>
            </w:r>
          </w:p>
        </w:tc>
        <w:tc>
          <w:tcPr>
            <w:tcW w:w="2491" w:type="dxa"/>
            <w:tcBorders>
              <w:top w:val="nil"/>
              <w:left w:val="nil"/>
              <w:bottom w:val="single" w:color="auto" w:sz="4" w:space="0"/>
              <w:right w:val="single" w:color="auto" w:sz="4" w:space="0"/>
            </w:tcBorders>
            <w:shd w:val="clear" w:color="auto" w:fill="auto"/>
            <w:vAlign w:val="center"/>
          </w:tcPr>
          <w:p>
            <w:r>
              <w:rPr>
                <w:rFonts w:hint="eastAsia"/>
              </w:rPr>
              <w:t>物资名称</w:t>
            </w:r>
          </w:p>
        </w:tc>
        <w:tc>
          <w:tcPr>
            <w:tcW w:w="2010" w:type="dxa"/>
            <w:tcBorders>
              <w:top w:val="nil"/>
              <w:left w:val="nil"/>
              <w:bottom w:val="single" w:color="auto" w:sz="4" w:space="0"/>
              <w:right w:val="single" w:color="auto" w:sz="4" w:space="0"/>
            </w:tcBorders>
            <w:shd w:val="clear" w:color="auto" w:fill="auto"/>
            <w:vAlign w:val="center"/>
          </w:tcPr>
          <w:p>
            <w:r>
              <w:rPr>
                <w:rFonts w:hint="eastAsia"/>
              </w:rPr>
              <w:t>品牌、型号规格</w:t>
            </w:r>
          </w:p>
        </w:tc>
        <w:tc>
          <w:tcPr>
            <w:tcW w:w="738" w:type="dxa"/>
            <w:tcBorders>
              <w:top w:val="nil"/>
              <w:left w:val="nil"/>
              <w:bottom w:val="single" w:color="auto" w:sz="4" w:space="0"/>
              <w:right w:val="single" w:color="auto" w:sz="4" w:space="0"/>
            </w:tcBorders>
            <w:shd w:val="clear" w:color="auto" w:fill="auto"/>
            <w:vAlign w:val="center"/>
          </w:tcPr>
          <w:p>
            <w:r>
              <w:rPr>
                <w:rFonts w:hint="eastAsia"/>
              </w:rPr>
              <w:t>单位</w:t>
            </w:r>
          </w:p>
        </w:tc>
        <w:tc>
          <w:tcPr>
            <w:tcW w:w="882" w:type="dxa"/>
            <w:tcBorders>
              <w:top w:val="nil"/>
              <w:left w:val="nil"/>
              <w:bottom w:val="single" w:color="auto" w:sz="4" w:space="0"/>
              <w:right w:val="single" w:color="auto" w:sz="4" w:space="0"/>
            </w:tcBorders>
            <w:shd w:val="clear" w:color="auto" w:fill="auto"/>
            <w:vAlign w:val="center"/>
          </w:tcPr>
          <w:p>
            <w:pPr>
              <w:jc w:val="center"/>
            </w:pPr>
            <w:r>
              <w:rPr>
                <w:rFonts w:hint="eastAsia"/>
              </w:rPr>
              <w:t>数量</w:t>
            </w:r>
          </w:p>
        </w:tc>
        <w:tc>
          <w:tcPr>
            <w:tcW w:w="1778" w:type="dxa"/>
            <w:tcBorders>
              <w:top w:val="nil"/>
              <w:left w:val="nil"/>
              <w:bottom w:val="single" w:color="auto" w:sz="4" w:space="0"/>
              <w:right w:val="single" w:color="auto" w:sz="4" w:space="0"/>
            </w:tcBorders>
            <w:shd w:val="clear" w:color="auto" w:fill="auto"/>
            <w:vAlign w:val="center"/>
          </w:tcPr>
          <w:p>
            <w:pPr>
              <w:jc w:val="center"/>
            </w:pPr>
            <w:r>
              <w:rPr>
                <w:rFonts w:hint="eastAsia"/>
              </w:rPr>
              <w:t>单价</w:t>
            </w:r>
          </w:p>
        </w:tc>
        <w:tc>
          <w:tcPr>
            <w:tcW w:w="1260" w:type="dxa"/>
            <w:tcBorders>
              <w:top w:val="nil"/>
              <w:left w:val="nil"/>
              <w:bottom w:val="single" w:color="auto" w:sz="4" w:space="0"/>
              <w:right w:val="single" w:color="auto" w:sz="4" w:space="0"/>
            </w:tcBorders>
            <w:shd w:val="clear" w:color="auto" w:fill="auto"/>
            <w:noWrap/>
            <w:vAlign w:val="center"/>
          </w:tcPr>
          <w:p>
            <w:pPr>
              <w:jc w:val="center"/>
            </w:pPr>
            <w:r>
              <w:rPr>
                <w:rFonts w:hint="eastAsia"/>
              </w:rPr>
              <w:t>备注</w:t>
            </w:r>
          </w:p>
        </w:tc>
      </w:tr>
      <w:tr>
        <w:tblPrEx>
          <w:tblCellMar>
            <w:top w:w="0" w:type="dxa"/>
            <w:left w:w="108" w:type="dxa"/>
            <w:bottom w:w="0" w:type="dxa"/>
            <w:right w:w="108" w:type="dxa"/>
          </w:tblCellMar>
        </w:tblPrEx>
        <w:trPr>
          <w:trHeight w:val="555" w:hRule="atLeast"/>
          <w:jc w:val="center"/>
        </w:trPr>
        <w:tc>
          <w:tcPr>
            <w:tcW w:w="993" w:type="dxa"/>
            <w:tcBorders>
              <w:top w:val="nil"/>
              <w:left w:val="single" w:color="auto" w:sz="4" w:space="0"/>
              <w:bottom w:val="single" w:color="auto" w:sz="4" w:space="0"/>
              <w:right w:val="single" w:color="auto" w:sz="4" w:space="0"/>
            </w:tcBorders>
            <w:shd w:val="clear" w:color="auto" w:fill="auto"/>
            <w:noWrap/>
            <w:vAlign w:val="center"/>
          </w:tcPr>
          <w:p>
            <w:pPr>
              <w:jc w:val="center"/>
            </w:pPr>
            <w:r>
              <w:rPr>
                <w:rFonts w:hint="eastAsia"/>
              </w:rPr>
              <w:t>1</w:t>
            </w:r>
          </w:p>
        </w:tc>
        <w:tc>
          <w:tcPr>
            <w:tcW w:w="2491" w:type="dxa"/>
            <w:tcBorders>
              <w:top w:val="nil"/>
              <w:left w:val="nil"/>
              <w:bottom w:val="single" w:color="auto" w:sz="4" w:space="0"/>
              <w:right w:val="single" w:color="auto" w:sz="4" w:space="0"/>
            </w:tcBorders>
            <w:shd w:val="clear" w:color="auto" w:fill="auto"/>
            <w:vAlign w:val="center"/>
          </w:tcPr>
          <w:p>
            <w:r>
              <w:rPr>
                <w:rFonts w:hint="eastAsia"/>
              </w:rPr>
              <w:t>VR蛋仓安全培训系统</w:t>
            </w:r>
          </w:p>
        </w:tc>
        <w:tc>
          <w:tcPr>
            <w:tcW w:w="2010" w:type="dxa"/>
            <w:tcBorders>
              <w:top w:val="nil"/>
              <w:left w:val="nil"/>
              <w:bottom w:val="single" w:color="auto" w:sz="4" w:space="0"/>
              <w:right w:val="single" w:color="auto" w:sz="4" w:space="0"/>
            </w:tcBorders>
            <w:shd w:val="clear" w:color="auto" w:fill="auto"/>
            <w:vAlign w:val="center"/>
          </w:tcPr>
          <w:p/>
        </w:tc>
        <w:tc>
          <w:tcPr>
            <w:tcW w:w="738" w:type="dxa"/>
            <w:tcBorders>
              <w:top w:val="nil"/>
              <w:left w:val="nil"/>
              <w:bottom w:val="single" w:color="auto" w:sz="4" w:space="0"/>
              <w:right w:val="single" w:color="auto" w:sz="4" w:space="0"/>
            </w:tcBorders>
            <w:shd w:val="clear" w:color="auto" w:fill="auto"/>
            <w:vAlign w:val="center"/>
          </w:tcPr>
          <w:p>
            <w:r>
              <w:rPr>
                <w:rFonts w:hint="eastAsia"/>
              </w:rPr>
              <w:t>套</w:t>
            </w:r>
          </w:p>
        </w:tc>
        <w:tc>
          <w:tcPr>
            <w:tcW w:w="882" w:type="dxa"/>
            <w:tcBorders>
              <w:top w:val="nil"/>
              <w:left w:val="nil"/>
              <w:bottom w:val="single" w:color="auto" w:sz="4" w:space="0"/>
              <w:right w:val="single" w:color="auto" w:sz="4" w:space="0"/>
            </w:tcBorders>
            <w:shd w:val="clear" w:color="auto" w:fill="auto"/>
            <w:noWrap/>
            <w:vAlign w:val="center"/>
          </w:tcPr>
          <w:p>
            <w:pPr>
              <w:jc w:val="center"/>
            </w:pPr>
            <w:r>
              <w:rPr>
                <w:rFonts w:hint="eastAsia"/>
              </w:rPr>
              <w:t>1</w:t>
            </w:r>
          </w:p>
        </w:tc>
        <w:tc>
          <w:tcPr>
            <w:tcW w:w="1778" w:type="dxa"/>
            <w:tcBorders>
              <w:top w:val="nil"/>
              <w:left w:val="nil"/>
              <w:bottom w:val="single" w:color="auto" w:sz="4" w:space="0"/>
              <w:right w:val="single" w:color="auto" w:sz="4" w:space="0"/>
            </w:tcBorders>
            <w:shd w:val="clear" w:color="auto" w:fill="auto"/>
            <w:noWrap/>
            <w:vAlign w:val="center"/>
          </w:tcPr>
          <w:p>
            <w:pPr>
              <w:jc w:val="center"/>
            </w:pP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pPr>
          </w:p>
        </w:tc>
      </w:tr>
      <w:tr>
        <w:tblPrEx>
          <w:tblCellMar>
            <w:top w:w="0" w:type="dxa"/>
            <w:left w:w="108" w:type="dxa"/>
            <w:bottom w:w="0" w:type="dxa"/>
            <w:right w:w="108" w:type="dxa"/>
          </w:tblCellMar>
        </w:tblPrEx>
        <w:trPr>
          <w:trHeight w:val="416" w:hRule="atLeast"/>
          <w:jc w:val="center"/>
        </w:trPr>
        <w:tc>
          <w:tcPr>
            <w:tcW w:w="993" w:type="dxa"/>
            <w:tcBorders>
              <w:top w:val="nil"/>
              <w:left w:val="single" w:color="auto" w:sz="4" w:space="0"/>
              <w:bottom w:val="single" w:color="auto" w:sz="4" w:space="0"/>
              <w:right w:val="single" w:color="auto" w:sz="4" w:space="0"/>
            </w:tcBorders>
            <w:shd w:val="clear" w:color="auto" w:fill="auto"/>
            <w:noWrap/>
            <w:vAlign w:val="center"/>
          </w:tcPr>
          <w:p>
            <w:pPr>
              <w:jc w:val="center"/>
            </w:pPr>
            <w:r>
              <w:rPr>
                <w:rFonts w:hint="eastAsia"/>
              </w:rPr>
              <w:t>2</w:t>
            </w:r>
          </w:p>
        </w:tc>
        <w:tc>
          <w:tcPr>
            <w:tcW w:w="2491" w:type="dxa"/>
            <w:tcBorders>
              <w:top w:val="nil"/>
              <w:left w:val="nil"/>
              <w:bottom w:val="single" w:color="auto" w:sz="4" w:space="0"/>
              <w:right w:val="single" w:color="auto" w:sz="4" w:space="0"/>
            </w:tcBorders>
            <w:shd w:val="clear" w:color="auto" w:fill="auto"/>
            <w:vAlign w:val="center"/>
          </w:tcPr>
          <w:p>
            <w:r>
              <w:rPr>
                <w:rFonts w:hint="eastAsia"/>
              </w:rPr>
              <w:t>机械伤害高速卷入</w:t>
            </w:r>
          </w:p>
        </w:tc>
        <w:tc>
          <w:tcPr>
            <w:tcW w:w="2010" w:type="dxa"/>
            <w:tcBorders>
              <w:top w:val="nil"/>
              <w:left w:val="nil"/>
              <w:bottom w:val="single" w:color="auto" w:sz="4" w:space="0"/>
              <w:right w:val="single" w:color="auto" w:sz="4" w:space="0"/>
            </w:tcBorders>
            <w:shd w:val="clear" w:color="auto" w:fill="auto"/>
            <w:vAlign w:val="center"/>
          </w:tcPr>
          <w:p/>
        </w:tc>
        <w:tc>
          <w:tcPr>
            <w:tcW w:w="738" w:type="dxa"/>
            <w:tcBorders>
              <w:top w:val="nil"/>
              <w:left w:val="nil"/>
              <w:bottom w:val="single" w:color="auto" w:sz="4" w:space="0"/>
              <w:right w:val="single" w:color="auto" w:sz="4" w:space="0"/>
            </w:tcBorders>
            <w:shd w:val="clear" w:color="auto" w:fill="auto"/>
            <w:vAlign w:val="center"/>
          </w:tcPr>
          <w:p>
            <w:r>
              <w:rPr>
                <w:rFonts w:hint="eastAsia"/>
              </w:rPr>
              <w:t>套</w:t>
            </w:r>
          </w:p>
        </w:tc>
        <w:tc>
          <w:tcPr>
            <w:tcW w:w="882" w:type="dxa"/>
            <w:tcBorders>
              <w:top w:val="nil"/>
              <w:left w:val="nil"/>
              <w:bottom w:val="single" w:color="auto" w:sz="4" w:space="0"/>
              <w:right w:val="single" w:color="auto" w:sz="4" w:space="0"/>
            </w:tcBorders>
            <w:shd w:val="clear" w:color="auto" w:fill="auto"/>
            <w:noWrap/>
            <w:vAlign w:val="center"/>
          </w:tcPr>
          <w:p>
            <w:pPr>
              <w:jc w:val="center"/>
            </w:pPr>
            <w:r>
              <w:rPr>
                <w:rFonts w:hint="eastAsia"/>
              </w:rPr>
              <w:t>1</w:t>
            </w:r>
          </w:p>
        </w:tc>
        <w:tc>
          <w:tcPr>
            <w:tcW w:w="1778" w:type="dxa"/>
            <w:tcBorders>
              <w:top w:val="nil"/>
              <w:left w:val="nil"/>
              <w:bottom w:val="single" w:color="auto" w:sz="4" w:space="0"/>
              <w:right w:val="single" w:color="auto" w:sz="4" w:space="0"/>
            </w:tcBorders>
            <w:shd w:val="clear" w:color="auto" w:fill="auto"/>
            <w:noWrap/>
            <w:vAlign w:val="center"/>
          </w:tcPr>
          <w:p>
            <w:pPr>
              <w:jc w:val="center"/>
            </w:pP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pPr>
          </w:p>
        </w:tc>
      </w:tr>
      <w:tr>
        <w:tblPrEx>
          <w:tblCellMar>
            <w:top w:w="0" w:type="dxa"/>
            <w:left w:w="108" w:type="dxa"/>
            <w:bottom w:w="0" w:type="dxa"/>
            <w:right w:w="108" w:type="dxa"/>
          </w:tblCellMar>
        </w:tblPrEx>
        <w:trPr>
          <w:trHeight w:val="552" w:hRule="atLeast"/>
          <w:jc w:val="center"/>
        </w:trPr>
        <w:tc>
          <w:tcPr>
            <w:tcW w:w="993" w:type="dxa"/>
            <w:tcBorders>
              <w:top w:val="nil"/>
              <w:left w:val="single" w:color="auto" w:sz="4" w:space="0"/>
              <w:bottom w:val="single" w:color="auto" w:sz="4" w:space="0"/>
              <w:right w:val="single" w:color="auto" w:sz="4" w:space="0"/>
            </w:tcBorders>
            <w:shd w:val="clear" w:color="auto" w:fill="auto"/>
            <w:noWrap/>
            <w:vAlign w:val="center"/>
          </w:tcPr>
          <w:p>
            <w:pPr>
              <w:jc w:val="center"/>
            </w:pPr>
            <w:r>
              <w:rPr>
                <w:rFonts w:hint="eastAsia"/>
              </w:rPr>
              <w:t>3</w:t>
            </w:r>
          </w:p>
        </w:tc>
        <w:tc>
          <w:tcPr>
            <w:tcW w:w="2491" w:type="dxa"/>
            <w:tcBorders>
              <w:top w:val="nil"/>
              <w:left w:val="nil"/>
              <w:bottom w:val="single" w:color="auto" w:sz="4" w:space="0"/>
              <w:right w:val="single" w:color="auto" w:sz="4" w:space="0"/>
            </w:tcBorders>
            <w:shd w:val="clear" w:color="auto" w:fill="auto"/>
            <w:vAlign w:val="center"/>
          </w:tcPr>
          <w:p>
            <w:r>
              <w:rPr>
                <w:rFonts w:hint="eastAsia"/>
              </w:rPr>
              <w:t>心肺复苏体验</w:t>
            </w:r>
          </w:p>
        </w:tc>
        <w:tc>
          <w:tcPr>
            <w:tcW w:w="2010" w:type="dxa"/>
            <w:tcBorders>
              <w:top w:val="nil"/>
              <w:left w:val="nil"/>
              <w:bottom w:val="single" w:color="auto" w:sz="4" w:space="0"/>
              <w:right w:val="single" w:color="auto" w:sz="4" w:space="0"/>
            </w:tcBorders>
            <w:shd w:val="clear" w:color="auto" w:fill="auto"/>
            <w:vAlign w:val="center"/>
          </w:tcPr>
          <w:p/>
        </w:tc>
        <w:tc>
          <w:tcPr>
            <w:tcW w:w="738" w:type="dxa"/>
            <w:tcBorders>
              <w:top w:val="nil"/>
              <w:left w:val="nil"/>
              <w:bottom w:val="single" w:color="auto" w:sz="4" w:space="0"/>
              <w:right w:val="single" w:color="auto" w:sz="4" w:space="0"/>
            </w:tcBorders>
            <w:shd w:val="clear" w:color="auto" w:fill="auto"/>
            <w:vAlign w:val="center"/>
          </w:tcPr>
          <w:p>
            <w:r>
              <w:rPr>
                <w:rFonts w:hint="eastAsia"/>
              </w:rPr>
              <w:t>台</w:t>
            </w:r>
          </w:p>
        </w:tc>
        <w:tc>
          <w:tcPr>
            <w:tcW w:w="882" w:type="dxa"/>
            <w:tcBorders>
              <w:top w:val="nil"/>
              <w:left w:val="nil"/>
              <w:bottom w:val="single" w:color="auto" w:sz="4" w:space="0"/>
              <w:right w:val="single" w:color="auto" w:sz="4" w:space="0"/>
            </w:tcBorders>
            <w:shd w:val="clear" w:color="auto" w:fill="auto"/>
            <w:noWrap/>
            <w:vAlign w:val="center"/>
          </w:tcPr>
          <w:p>
            <w:pPr>
              <w:jc w:val="center"/>
            </w:pPr>
            <w:r>
              <w:rPr>
                <w:rFonts w:hint="eastAsia"/>
              </w:rPr>
              <w:t>1</w:t>
            </w:r>
          </w:p>
        </w:tc>
        <w:tc>
          <w:tcPr>
            <w:tcW w:w="1778" w:type="dxa"/>
            <w:tcBorders>
              <w:top w:val="nil"/>
              <w:left w:val="nil"/>
              <w:bottom w:val="single" w:color="auto" w:sz="4" w:space="0"/>
              <w:right w:val="single" w:color="auto" w:sz="4" w:space="0"/>
            </w:tcBorders>
            <w:shd w:val="clear" w:color="auto" w:fill="auto"/>
            <w:noWrap/>
            <w:vAlign w:val="center"/>
          </w:tcPr>
          <w:p>
            <w:pPr>
              <w:jc w:val="center"/>
            </w:pP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pPr>
          </w:p>
        </w:tc>
      </w:tr>
      <w:tr>
        <w:tblPrEx>
          <w:tblCellMar>
            <w:top w:w="0" w:type="dxa"/>
            <w:left w:w="108" w:type="dxa"/>
            <w:bottom w:w="0" w:type="dxa"/>
            <w:right w:w="108" w:type="dxa"/>
          </w:tblCellMar>
        </w:tblPrEx>
        <w:trPr>
          <w:trHeight w:val="794" w:hRule="atLeast"/>
          <w:jc w:val="center"/>
        </w:trPr>
        <w:tc>
          <w:tcPr>
            <w:tcW w:w="993" w:type="dxa"/>
            <w:tcBorders>
              <w:top w:val="nil"/>
              <w:left w:val="single" w:color="auto" w:sz="4" w:space="0"/>
              <w:bottom w:val="single" w:color="auto" w:sz="4" w:space="0"/>
              <w:right w:val="single" w:color="auto" w:sz="4" w:space="0"/>
            </w:tcBorders>
            <w:shd w:val="clear" w:color="auto" w:fill="auto"/>
            <w:noWrap/>
            <w:vAlign w:val="center"/>
          </w:tcPr>
          <w:p>
            <w:pPr>
              <w:jc w:val="center"/>
            </w:pPr>
            <w:r>
              <w:rPr>
                <w:rFonts w:hint="eastAsia"/>
              </w:rPr>
              <w:t>4</w:t>
            </w:r>
          </w:p>
        </w:tc>
        <w:tc>
          <w:tcPr>
            <w:tcW w:w="2491" w:type="dxa"/>
            <w:tcBorders>
              <w:top w:val="nil"/>
              <w:left w:val="nil"/>
              <w:bottom w:val="single" w:color="auto" w:sz="4" w:space="0"/>
              <w:right w:val="single" w:color="auto" w:sz="4" w:space="0"/>
            </w:tcBorders>
            <w:shd w:val="clear" w:color="auto" w:fill="auto"/>
            <w:vAlign w:val="center"/>
          </w:tcPr>
          <w:p>
            <w:r>
              <w:rPr>
                <w:rFonts w:hint="eastAsia"/>
              </w:rPr>
              <w:t>机械伤害（四合一）体验装置（安全帽撞击&amp;安全鞋冲击&amp;辊子夹手&amp;触电）</w:t>
            </w:r>
          </w:p>
        </w:tc>
        <w:tc>
          <w:tcPr>
            <w:tcW w:w="2010" w:type="dxa"/>
            <w:tcBorders>
              <w:top w:val="nil"/>
              <w:left w:val="nil"/>
              <w:bottom w:val="single" w:color="auto" w:sz="4" w:space="0"/>
              <w:right w:val="single" w:color="auto" w:sz="4" w:space="0"/>
            </w:tcBorders>
            <w:shd w:val="clear" w:color="auto" w:fill="auto"/>
            <w:vAlign w:val="center"/>
          </w:tcPr>
          <w:p/>
        </w:tc>
        <w:tc>
          <w:tcPr>
            <w:tcW w:w="738" w:type="dxa"/>
            <w:tcBorders>
              <w:top w:val="nil"/>
              <w:left w:val="nil"/>
              <w:bottom w:val="single" w:color="auto" w:sz="4" w:space="0"/>
              <w:right w:val="single" w:color="auto" w:sz="4" w:space="0"/>
            </w:tcBorders>
            <w:shd w:val="clear" w:color="auto" w:fill="auto"/>
            <w:vAlign w:val="center"/>
          </w:tcPr>
          <w:p>
            <w:r>
              <w:rPr>
                <w:rFonts w:hint="eastAsia"/>
              </w:rPr>
              <w:t>套</w:t>
            </w:r>
          </w:p>
        </w:tc>
        <w:tc>
          <w:tcPr>
            <w:tcW w:w="882" w:type="dxa"/>
            <w:tcBorders>
              <w:top w:val="nil"/>
              <w:left w:val="nil"/>
              <w:bottom w:val="single" w:color="auto" w:sz="4" w:space="0"/>
              <w:right w:val="single" w:color="auto" w:sz="4" w:space="0"/>
            </w:tcBorders>
            <w:shd w:val="clear" w:color="auto" w:fill="auto"/>
            <w:noWrap/>
            <w:vAlign w:val="center"/>
          </w:tcPr>
          <w:p>
            <w:pPr>
              <w:jc w:val="center"/>
            </w:pPr>
            <w:r>
              <w:rPr>
                <w:rFonts w:hint="eastAsia"/>
              </w:rPr>
              <w:t>1</w:t>
            </w:r>
          </w:p>
        </w:tc>
        <w:tc>
          <w:tcPr>
            <w:tcW w:w="1778" w:type="dxa"/>
            <w:tcBorders>
              <w:top w:val="nil"/>
              <w:left w:val="nil"/>
              <w:bottom w:val="single" w:color="auto" w:sz="4" w:space="0"/>
              <w:right w:val="single" w:color="auto" w:sz="4" w:space="0"/>
            </w:tcBorders>
            <w:shd w:val="clear" w:color="auto" w:fill="auto"/>
            <w:noWrap/>
            <w:vAlign w:val="center"/>
          </w:tcPr>
          <w:p>
            <w:pPr>
              <w:jc w:val="center"/>
            </w:pP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pPr>
          </w:p>
        </w:tc>
      </w:tr>
      <w:tr>
        <w:tblPrEx>
          <w:tblCellMar>
            <w:top w:w="0" w:type="dxa"/>
            <w:left w:w="108" w:type="dxa"/>
            <w:bottom w:w="0" w:type="dxa"/>
            <w:right w:w="108" w:type="dxa"/>
          </w:tblCellMar>
        </w:tblPrEx>
        <w:trPr>
          <w:trHeight w:val="422" w:hRule="atLeast"/>
          <w:jc w:val="center"/>
        </w:trPr>
        <w:tc>
          <w:tcPr>
            <w:tcW w:w="993" w:type="dxa"/>
            <w:tcBorders>
              <w:top w:val="nil"/>
              <w:left w:val="single" w:color="auto" w:sz="4" w:space="0"/>
              <w:bottom w:val="single" w:color="auto" w:sz="4" w:space="0"/>
              <w:right w:val="single" w:color="auto" w:sz="4" w:space="0"/>
            </w:tcBorders>
            <w:shd w:val="clear" w:color="auto" w:fill="auto"/>
            <w:noWrap/>
            <w:vAlign w:val="center"/>
          </w:tcPr>
          <w:p>
            <w:pPr>
              <w:jc w:val="center"/>
            </w:pPr>
            <w:r>
              <w:rPr>
                <w:rFonts w:hint="eastAsia"/>
              </w:rPr>
              <w:t>5</w:t>
            </w:r>
          </w:p>
        </w:tc>
        <w:tc>
          <w:tcPr>
            <w:tcW w:w="2491" w:type="dxa"/>
            <w:tcBorders>
              <w:top w:val="nil"/>
              <w:left w:val="nil"/>
              <w:bottom w:val="single" w:color="auto" w:sz="4" w:space="0"/>
              <w:right w:val="single" w:color="auto" w:sz="4" w:space="0"/>
            </w:tcBorders>
            <w:shd w:val="clear" w:color="auto" w:fill="auto"/>
            <w:vAlign w:val="center"/>
          </w:tcPr>
          <w:p>
            <w:r>
              <w:rPr>
                <w:rFonts w:hint="eastAsia"/>
              </w:rPr>
              <w:t>有限空间体验项目</w:t>
            </w:r>
          </w:p>
        </w:tc>
        <w:tc>
          <w:tcPr>
            <w:tcW w:w="2010" w:type="dxa"/>
            <w:tcBorders>
              <w:top w:val="nil"/>
              <w:left w:val="nil"/>
              <w:bottom w:val="single" w:color="auto" w:sz="4" w:space="0"/>
              <w:right w:val="single" w:color="auto" w:sz="4" w:space="0"/>
            </w:tcBorders>
            <w:shd w:val="clear" w:color="auto" w:fill="auto"/>
            <w:vAlign w:val="center"/>
          </w:tcPr>
          <w:p/>
        </w:tc>
        <w:tc>
          <w:tcPr>
            <w:tcW w:w="738" w:type="dxa"/>
            <w:tcBorders>
              <w:top w:val="nil"/>
              <w:left w:val="nil"/>
              <w:bottom w:val="single" w:color="auto" w:sz="4" w:space="0"/>
              <w:right w:val="single" w:color="auto" w:sz="4" w:space="0"/>
            </w:tcBorders>
            <w:shd w:val="clear" w:color="auto" w:fill="auto"/>
            <w:vAlign w:val="center"/>
          </w:tcPr>
          <w:p>
            <w:r>
              <w:rPr>
                <w:rFonts w:hint="eastAsia"/>
              </w:rPr>
              <w:t>套</w:t>
            </w:r>
          </w:p>
        </w:tc>
        <w:tc>
          <w:tcPr>
            <w:tcW w:w="882" w:type="dxa"/>
            <w:tcBorders>
              <w:top w:val="nil"/>
              <w:left w:val="nil"/>
              <w:bottom w:val="single" w:color="auto" w:sz="4" w:space="0"/>
              <w:right w:val="single" w:color="auto" w:sz="4" w:space="0"/>
            </w:tcBorders>
            <w:shd w:val="clear" w:color="auto" w:fill="auto"/>
            <w:noWrap/>
            <w:vAlign w:val="center"/>
          </w:tcPr>
          <w:p>
            <w:pPr>
              <w:jc w:val="center"/>
            </w:pPr>
            <w:r>
              <w:rPr>
                <w:rFonts w:hint="eastAsia"/>
              </w:rPr>
              <w:t>1</w:t>
            </w:r>
          </w:p>
        </w:tc>
        <w:tc>
          <w:tcPr>
            <w:tcW w:w="1778" w:type="dxa"/>
            <w:tcBorders>
              <w:top w:val="nil"/>
              <w:left w:val="nil"/>
              <w:bottom w:val="single" w:color="auto" w:sz="4" w:space="0"/>
              <w:right w:val="single" w:color="auto" w:sz="4" w:space="0"/>
            </w:tcBorders>
            <w:shd w:val="clear" w:color="auto" w:fill="auto"/>
            <w:noWrap/>
            <w:vAlign w:val="center"/>
          </w:tcPr>
          <w:p>
            <w:pPr>
              <w:jc w:val="center"/>
            </w:pP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pPr>
          </w:p>
        </w:tc>
      </w:tr>
      <w:tr>
        <w:tblPrEx>
          <w:tblCellMar>
            <w:top w:w="0" w:type="dxa"/>
            <w:left w:w="108" w:type="dxa"/>
            <w:bottom w:w="0" w:type="dxa"/>
            <w:right w:w="108" w:type="dxa"/>
          </w:tblCellMar>
        </w:tblPrEx>
        <w:trPr>
          <w:trHeight w:val="335" w:hRule="atLeast"/>
          <w:jc w:val="center"/>
        </w:trPr>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pPr>
            <w:r>
              <w:rPr>
                <w:rFonts w:hint="eastAsia"/>
              </w:rPr>
              <w:t>6</w:t>
            </w:r>
          </w:p>
        </w:tc>
        <w:tc>
          <w:tcPr>
            <w:tcW w:w="2491" w:type="dxa"/>
            <w:tcBorders>
              <w:top w:val="single" w:color="auto" w:sz="4" w:space="0"/>
              <w:left w:val="single" w:color="auto" w:sz="4" w:space="0"/>
              <w:bottom w:val="single" w:color="auto" w:sz="4" w:space="0"/>
              <w:right w:val="single" w:color="auto" w:sz="4" w:space="0"/>
            </w:tcBorders>
            <w:shd w:val="clear" w:color="auto" w:fill="auto"/>
            <w:vAlign w:val="center"/>
          </w:tcPr>
          <w:p>
            <w:r>
              <w:rPr>
                <w:rFonts w:hint="eastAsia"/>
              </w:rPr>
              <w:t>室内布展</w:t>
            </w:r>
          </w:p>
        </w:tc>
        <w:tc>
          <w:tcPr>
            <w:tcW w:w="2010" w:type="dxa"/>
            <w:tcBorders>
              <w:top w:val="single" w:color="auto" w:sz="4" w:space="0"/>
              <w:left w:val="single" w:color="auto" w:sz="4" w:space="0"/>
              <w:bottom w:val="single" w:color="auto" w:sz="4" w:space="0"/>
              <w:right w:val="single" w:color="auto" w:sz="4" w:space="0"/>
            </w:tcBorders>
            <w:shd w:val="clear" w:color="auto" w:fill="auto"/>
            <w:vAlign w:val="center"/>
          </w:tcPr>
          <w:p/>
        </w:tc>
        <w:tc>
          <w:tcPr>
            <w:tcW w:w="738" w:type="dxa"/>
            <w:tcBorders>
              <w:top w:val="single" w:color="auto" w:sz="4" w:space="0"/>
              <w:left w:val="single" w:color="auto" w:sz="4" w:space="0"/>
              <w:bottom w:val="single" w:color="auto" w:sz="4" w:space="0"/>
              <w:right w:val="single" w:color="auto" w:sz="4" w:space="0"/>
            </w:tcBorders>
            <w:shd w:val="clear" w:color="auto" w:fill="auto"/>
            <w:vAlign w:val="center"/>
          </w:tcPr>
          <w:p>
            <w:r>
              <w:rPr>
                <w:rFonts w:hint="eastAsia"/>
              </w:rPr>
              <w:t>㎡</w:t>
            </w:r>
          </w:p>
        </w:tc>
        <w:tc>
          <w:tcPr>
            <w:tcW w:w="882"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pPr>
            <w:r>
              <w:rPr>
                <w:rFonts w:hint="eastAsia"/>
              </w:rPr>
              <w:t>60㎡</w:t>
            </w:r>
          </w:p>
        </w:tc>
        <w:tc>
          <w:tcPr>
            <w:tcW w:w="177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pP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pPr>
          </w:p>
        </w:tc>
      </w:tr>
      <w:tr>
        <w:tblPrEx>
          <w:tblCellMar>
            <w:top w:w="0" w:type="dxa"/>
            <w:left w:w="108" w:type="dxa"/>
            <w:bottom w:w="0" w:type="dxa"/>
            <w:right w:w="108" w:type="dxa"/>
          </w:tblCellMar>
        </w:tblPrEx>
        <w:trPr>
          <w:trHeight w:val="442" w:hRule="atLeast"/>
          <w:jc w:val="center"/>
        </w:trPr>
        <w:tc>
          <w:tcPr>
            <w:tcW w:w="3484" w:type="dxa"/>
            <w:gridSpan w:val="2"/>
            <w:tcBorders>
              <w:top w:val="nil"/>
              <w:left w:val="single" w:color="auto" w:sz="4" w:space="0"/>
              <w:bottom w:val="single" w:color="auto" w:sz="4" w:space="0"/>
              <w:right w:val="single" w:color="auto" w:sz="4" w:space="0"/>
            </w:tcBorders>
            <w:shd w:val="clear" w:color="auto" w:fill="auto"/>
            <w:noWrap/>
            <w:vAlign w:val="center"/>
          </w:tcPr>
          <w:p>
            <w:r>
              <w:rPr>
                <w:rFonts w:hint="eastAsia"/>
              </w:rPr>
              <w:t>不含税金额</w:t>
            </w:r>
          </w:p>
        </w:tc>
        <w:tc>
          <w:tcPr>
            <w:tcW w:w="6668" w:type="dxa"/>
            <w:gridSpan w:val="5"/>
            <w:tcBorders>
              <w:top w:val="nil"/>
              <w:left w:val="nil"/>
              <w:bottom w:val="single" w:color="auto" w:sz="4" w:space="0"/>
              <w:right w:val="single" w:color="auto" w:sz="4" w:space="0"/>
            </w:tcBorders>
            <w:shd w:val="clear" w:color="auto" w:fill="auto"/>
            <w:vAlign w:val="center"/>
          </w:tcPr>
          <w:p/>
        </w:tc>
      </w:tr>
      <w:tr>
        <w:tblPrEx>
          <w:tblCellMar>
            <w:top w:w="0" w:type="dxa"/>
            <w:left w:w="108" w:type="dxa"/>
            <w:bottom w:w="0" w:type="dxa"/>
            <w:right w:w="108" w:type="dxa"/>
          </w:tblCellMar>
        </w:tblPrEx>
        <w:trPr>
          <w:trHeight w:val="341" w:hRule="atLeast"/>
          <w:jc w:val="center"/>
        </w:trPr>
        <w:tc>
          <w:tcPr>
            <w:tcW w:w="3484" w:type="dxa"/>
            <w:gridSpan w:val="2"/>
            <w:tcBorders>
              <w:top w:val="nil"/>
              <w:left w:val="single" w:color="auto" w:sz="4" w:space="0"/>
              <w:bottom w:val="single" w:color="auto" w:sz="4" w:space="0"/>
              <w:right w:val="single" w:color="auto" w:sz="4" w:space="0"/>
            </w:tcBorders>
            <w:shd w:val="clear" w:color="auto" w:fill="auto"/>
            <w:noWrap/>
            <w:vAlign w:val="center"/>
          </w:tcPr>
          <w:p>
            <w:r>
              <w:rPr>
                <w:rFonts w:hint="eastAsia"/>
              </w:rPr>
              <w:t>税率</w:t>
            </w:r>
          </w:p>
        </w:tc>
        <w:tc>
          <w:tcPr>
            <w:tcW w:w="6668" w:type="dxa"/>
            <w:gridSpan w:val="5"/>
            <w:tcBorders>
              <w:top w:val="nil"/>
              <w:left w:val="nil"/>
              <w:bottom w:val="single" w:color="auto" w:sz="4" w:space="0"/>
              <w:right w:val="single" w:color="auto" w:sz="4" w:space="0"/>
            </w:tcBorders>
            <w:shd w:val="clear" w:color="auto" w:fill="auto"/>
            <w:vAlign w:val="center"/>
          </w:tcPr>
          <w:p/>
        </w:tc>
      </w:tr>
      <w:tr>
        <w:tblPrEx>
          <w:tblCellMar>
            <w:top w:w="0" w:type="dxa"/>
            <w:left w:w="108" w:type="dxa"/>
            <w:bottom w:w="0" w:type="dxa"/>
            <w:right w:w="108" w:type="dxa"/>
          </w:tblCellMar>
        </w:tblPrEx>
        <w:trPr>
          <w:trHeight w:val="442" w:hRule="atLeast"/>
          <w:jc w:val="center"/>
        </w:trPr>
        <w:tc>
          <w:tcPr>
            <w:tcW w:w="3484" w:type="dxa"/>
            <w:gridSpan w:val="2"/>
            <w:tcBorders>
              <w:top w:val="nil"/>
              <w:left w:val="single" w:color="auto" w:sz="4" w:space="0"/>
              <w:bottom w:val="single" w:color="auto" w:sz="4" w:space="0"/>
              <w:right w:val="single" w:color="auto" w:sz="4" w:space="0"/>
            </w:tcBorders>
            <w:shd w:val="clear" w:color="auto" w:fill="auto"/>
            <w:noWrap/>
            <w:vAlign w:val="center"/>
          </w:tcPr>
          <w:p>
            <w:r>
              <w:rPr>
                <w:rFonts w:hint="eastAsia"/>
              </w:rPr>
              <w:t>价税合计金额</w:t>
            </w:r>
          </w:p>
        </w:tc>
        <w:tc>
          <w:tcPr>
            <w:tcW w:w="6668" w:type="dxa"/>
            <w:gridSpan w:val="5"/>
            <w:tcBorders>
              <w:top w:val="nil"/>
              <w:left w:val="nil"/>
              <w:bottom w:val="single" w:color="auto" w:sz="4" w:space="0"/>
              <w:right w:val="single" w:color="auto" w:sz="4" w:space="0"/>
            </w:tcBorders>
            <w:shd w:val="clear" w:color="auto" w:fill="auto"/>
            <w:vAlign w:val="center"/>
          </w:tcPr>
          <w:p/>
        </w:tc>
      </w:tr>
      <w:tr>
        <w:tblPrEx>
          <w:tblCellMar>
            <w:top w:w="0" w:type="dxa"/>
            <w:left w:w="108" w:type="dxa"/>
            <w:bottom w:w="0" w:type="dxa"/>
            <w:right w:w="108" w:type="dxa"/>
          </w:tblCellMar>
        </w:tblPrEx>
        <w:trPr>
          <w:trHeight w:val="438" w:hRule="atLeast"/>
          <w:jc w:val="center"/>
        </w:trPr>
        <w:tc>
          <w:tcPr>
            <w:tcW w:w="3484" w:type="dxa"/>
            <w:gridSpan w:val="2"/>
            <w:tcBorders>
              <w:top w:val="nil"/>
              <w:left w:val="single" w:color="auto" w:sz="4" w:space="0"/>
              <w:bottom w:val="single" w:color="auto" w:sz="4" w:space="0"/>
              <w:right w:val="single" w:color="auto" w:sz="4" w:space="0"/>
            </w:tcBorders>
            <w:shd w:val="clear" w:color="auto" w:fill="auto"/>
            <w:noWrap/>
            <w:vAlign w:val="center"/>
          </w:tcPr>
          <w:p>
            <w:r>
              <w:rPr>
                <w:rFonts w:hint="eastAsia"/>
              </w:rPr>
              <w:t>大写</w:t>
            </w:r>
          </w:p>
        </w:tc>
        <w:tc>
          <w:tcPr>
            <w:tcW w:w="6668" w:type="dxa"/>
            <w:gridSpan w:val="5"/>
            <w:tcBorders>
              <w:top w:val="nil"/>
              <w:left w:val="nil"/>
              <w:bottom w:val="single" w:color="auto" w:sz="4" w:space="0"/>
              <w:right w:val="single" w:color="auto" w:sz="4" w:space="0"/>
            </w:tcBorders>
            <w:shd w:val="clear" w:color="auto" w:fill="auto"/>
            <w:vAlign w:val="center"/>
          </w:tcPr>
          <w:p/>
        </w:tc>
      </w:tr>
      <w:tr>
        <w:tblPrEx>
          <w:tblCellMar>
            <w:top w:w="0" w:type="dxa"/>
            <w:left w:w="108" w:type="dxa"/>
            <w:bottom w:w="0" w:type="dxa"/>
            <w:right w:w="108" w:type="dxa"/>
          </w:tblCellMar>
        </w:tblPrEx>
        <w:trPr>
          <w:trHeight w:val="2641" w:hRule="atLeast"/>
          <w:jc w:val="center"/>
        </w:trPr>
        <w:tc>
          <w:tcPr>
            <w:tcW w:w="10152" w:type="dxa"/>
            <w:gridSpan w:val="7"/>
            <w:tcBorders>
              <w:top w:val="nil"/>
              <w:left w:val="single" w:color="auto" w:sz="4" w:space="0"/>
              <w:bottom w:val="single" w:color="auto" w:sz="4" w:space="0"/>
              <w:right w:val="single" w:color="auto" w:sz="4" w:space="0"/>
            </w:tcBorders>
            <w:shd w:val="clear" w:color="auto" w:fill="auto"/>
            <w:noWrap/>
            <w:vAlign w:val="center"/>
          </w:tcPr>
          <w:p>
            <w:r>
              <w:rPr>
                <w:rFonts w:hint="eastAsia"/>
              </w:rPr>
              <w:t>注释：　</w:t>
            </w:r>
          </w:p>
          <w:p>
            <w:r>
              <w:rPr>
                <w:rFonts w:hint="eastAsia"/>
              </w:rPr>
              <w:t>　1.室内装修工程须符合招标方需求，建议投标人现场踏勘测算实际工程量进行报价。</w:t>
            </w:r>
          </w:p>
          <w:p>
            <w:r>
              <w:rPr>
                <w:rFonts w:hint="eastAsia"/>
              </w:rPr>
              <w:t>2.固定总价承包的报价方式，投标人报价时应考虑合同执行过程中的所有因素及风险（投标人踏勘现场，自行前往现场踏勘，踏勘现场所发生的费用由投标人自己承担）。</w:t>
            </w:r>
          </w:p>
          <w:p>
            <w:r>
              <w:rPr>
                <w:rFonts w:hint="eastAsia"/>
              </w:rPr>
              <w:t>3.每一项目的报价应仅含该项本身内容的报价，投标人不得将其他项目的价格（如安装调试费、技术服务费、运费等）含在上述一项或多项中作为整体报价。如果投标人未填报某一或若干分项，则此项或若干项的费用则被认为已经包含在报价清单的其他项目中投标人在投标报价（含分项报价）中，没有注明或填写价格的，该项费用为免费或由投标人自行内部消化。</w:t>
            </w:r>
          </w:p>
          <w:p>
            <w:r>
              <w:rPr>
                <w:rFonts w:hint="eastAsia"/>
              </w:rPr>
              <w:t>4.投标人需结合我司实际情况，自行编写项目实施方案。</w:t>
            </w:r>
          </w:p>
        </w:tc>
      </w:tr>
    </w:tbl>
    <w:p>
      <w:pPr>
        <w:spacing w:line="360" w:lineRule="auto"/>
        <w:rPr>
          <w:rFonts w:ascii="宋体" w:hAnsi="宋体"/>
          <w:sz w:val="24"/>
        </w:rPr>
      </w:pPr>
      <w:r>
        <w:rPr>
          <w:rFonts w:hint="eastAsia" w:ascii="宋体" w:hAnsi="宋体"/>
          <w:sz w:val="24"/>
        </w:rPr>
        <w:t>投标人名称：                  授权代表签字：            日期：</w:t>
      </w:r>
    </w:p>
    <w:p>
      <w:pPr>
        <w:spacing w:line="360" w:lineRule="auto"/>
        <w:rPr>
          <w:rFonts w:ascii="宋体" w:hAnsi="宋体"/>
          <w:sz w:val="24"/>
        </w:rPr>
      </w:pPr>
      <w:r>
        <w:rPr>
          <w:rFonts w:hint="eastAsia" w:ascii="宋体" w:hAnsi="宋体"/>
          <w:b/>
          <w:sz w:val="24"/>
        </w:rPr>
        <w:t>注：</w:t>
      </w:r>
      <w:r>
        <w:rPr>
          <w:rFonts w:hint="eastAsia" w:ascii="宋体" w:hAnsi="宋体"/>
          <w:sz w:val="24"/>
        </w:rPr>
        <w:t xml:space="preserve"> 1</w:t>
      </w:r>
      <w:r>
        <w:rPr>
          <w:rFonts w:ascii="宋体" w:hAnsi="宋体"/>
          <w:sz w:val="24"/>
        </w:rPr>
        <w:t>.</w:t>
      </w:r>
      <w:r>
        <w:rPr>
          <w:rFonts w:hint="eastAsia" w:ascii="宋体" w:hAnsi="宋体"/>
          <w:sz w:val="24"/>
        </w:rPr>
        <w:t>请按照以上内容填写报价，可增项、不可缺项。</w:t>
      </w:r>
    </w:p>
    <w:p>
      <w:pPr>
        <w:spacing w:line="360" w:lineRule="auto"/>
        <w:ind w:firstLine="600" w:firstLineChars="250"/>
        <w:rPr>
          <w:rFonts w:ascii="宋体" w:hAnsi="宋体"/>
          <w:sz w:val="24"/>
        </w:rPr>
      </w:pPr>
      <w:r>
        <w:rPr>
          <w:rFonts w:hint="eastAsia" w:ascii="宋体" w:hAnsi="宋体"/>
          <w:sz w:val="24"/>
        </w:rPr>
        <w:t>2.分项总价为各投标物品的合计单项价之和。</w:t>
      </w:r>
    </w:p>
    <w:p>
      <w:pPr>
        <w:spacing w:line="360" w:lineRule="auto"/>
        <w:ind w:firstLine="600" w:firstLineChars="250"/>
        <w:rPr>
          <w:rFonts w:ascii="宋体" w:hAnsi="宋体"/>
          <w:sz w:val="24"/>
        </w:rPr>
      </w:pPr>
      <w:r>
        <w:rPr>
          <w:rFonts w:hint="eastAsia" w:ascii="宋体" w:hAnsi="宋体"/>
          <w:sz w:val="24"/>
        </w:rPr>
        <w:t>3.本表用于开标宣读用，请单独封存。</w:t>
      </w:r>
    </w:p>
    <w:p>
      <w:pPr>
        <w:spacing w:line="360" w:lineRule="auto"/>
        <w:ind w:firstLine="600" w:firstLineChars="250"/>
        <w:rPr>
          <w:rFonts w:ascii="宋体" w:hAnsi="宋体"/>
          <w:sz w:val="24"/>
        </w:rPr>
      </w:pPr>
      <w:r>
        <w:rPr>
          <w:rFonts w:hint="eastAsia" w:ascii="宋体" w:hAnsi="宋体"/>
          <w:sz w:val="24"/>
        </w:rPr>
        <w:t>4.报价含税；如不能开具增值税发票，报价为直接支付价格。</w:t>
      </w:r>
    </w:p>
    <w:p>
      <w:pPr>
        <w:spacing w:line="360" w:lineRule="auto"/>
        <w:rPr>
          <w:rFonts w:ascii="宋体" w:hAnsi="宋体"/>
          <w:b/>
          <w:bCs/>
          <w:sz w:val="28"/>
        </w:rPr>
      </w:pPr>
      <w:r>
        <w:rPr>
          <w:rFonts w:hint="eastAsia" w:ascii="宋体" w:hAnsi="宋体"/>
          <w:b/>
          <w:bCs/>
          <w:sz w:val="28"/>
        </w:rPr>
        <w:t>附件</w:t>
      </w:r>
      <w:r>
        <w:rPr>
          <w:rFonts w:ascii="宋体" w:hAnsi="宋体"/>
          <w:b/>
          <w:bCs/>
          <w:sz w:val="28"/>
        </w:rPr>
        <w:t>4</w:t>
      </w:r>
    </w:p>
    <w:p>
      <w:pPr>
        <w:pStyle w:val="8"/>
        <w:ind w:firstLine="440"/>
      </w:pPr>
    </w:p>
    <w:p>
      <w:pPr>
        <w:pStyle w:val="4"/>
        <w:spacing w:before="156" w:beforeLines="50" w:after="156" w:afterLines="50" w:line="240" w:lineRule="auto"/>
        <w:jc w:val="center"/>
        <w:rPr>
          <w:rFonts w:ascii="宋体" w:hAnsi="宋体"/>
          <w:b w:val="0"/>
          <w:bCs w:val="0"/>
          <w:sz w:val="28"/>
        </w:rPr>
      </w:pPr>
      <w:r>
        <w:rPr>
          <w:rFonts w:hint="eastAsia" w:ascii="宋体" w:hAnsi="宋体"/>
          <w:b w:val="0"/>
          <w:bCs w:val="0"/>
          <w:sz w:val="28"/>
        </w:rPr>
        <w:t>偏离表</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080"/>
        <w:gridCol w:w="2891"/>
        <w:gridCol w:w="1110"/>
        <w:gridCol w:w="26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Merge w:val="restart"/>
            <w:vAlign w:val="center"/>
          </w:tcPr>
          <w:p>
            <w:pPr>
              <w:spacing w:line="360" w:lineRule="auto"/>
              <w:jc w:val="center"/>
              <w:rPr>
                <w:rFonts w:ascii="宋体" w:hAnsi="宋体"/>
                <w:sz w:val="24"/>
              </w:rPr>
            </w:pPr>
            <w:r>
              <w:rPr>
                <w:rFonts w:hint="eastAsia" w:ascii="宋体" w:hAnsi="宋体"/>
                <w:sz w:val="24"/>
              </w:rPr>
              <w:t>序号</w:t>
            </w:r>
          </w:p>
        </w:tc>
        <w:tc>
          <w:tcPr>
            <w:tcW w:w="3971" w:type="dxa"/>
            <w:gridSpan w:val="2"/>
            <w:vAlign w:val="center"/>
          </w:tcPr>
          <w:p>
            <w:pPr>
              <w:spacing w:line="360" w:lineRule="auto"/>
              <w:jc w:val="center"/>
              <w:rPr>
                <w:rFonts w:ascii="宋体" w:hAnsi="宋体"/>
                <w:sz w:val="24"/>
              </w:rPr>
            </w:pPr>
            <w:r>
              <w:rPr>
                <w:rFonts w:hint="eastAsia" w:ascii="宋体" w:hAnsi="宋体"/>
                <w:sz w:val="24"/>
              </w:rPr>
              <w:t>招标文件条款</w:t>
            </w:r>
          </w:p>
        </w:tc>
        <w:tc>
          <w:tcPr>
            <w:tcW w:w="3723" w:type="dxa"/>
            <w:gridSpan w:val="2"/>
            <w:vAlign w:val="center"/>
          </w:tcPr>
          <w:p>
            <w:pPr>
              <w:spacing w:line="360" w:lineRule="auto"/>
              <w:jc w:val="center"/>
              <w:rPr>
                <w:rFonts w:ascii="宋体" w:hAnsi="宋体"/>
                <w:sz w:val="24"/>
              </w:rPr>
            </w:pPr>
            <w:r>
              <w:rPr>
                <w:rFonts w:hint="eastAsia" w:ascii="宋体" w:hAnsi="宋体"/>
                <w:sz w:val="24"/>
              </w:rPr>
              <w:t>投标书条款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Merge w:val="continue"/>
            <w:vAlign w:val="center"/>
          </w:tcPr>
          <w:p>
            <w:pPr>
              <w:spacing w:line="360" w:lineRule="auto"/>
              <w:rPr>
                <w:rFonts w:ascii="宋体" w:hAnsi="宋体"/>
                <w:sz w:val="24"/>
              </w:rPr>
            </w:pPr>
          </w:p>
        </w:tc>
        <w:tc>
          <w:tcPr>
            <w:tcW w:w="1080" w:type="dxa"/>
            <w:vAlign w:val="center"/>
          </w:tcPr>
          <w:p>
            <w:pPr>
              <w:spacing w:line="360" w:lineRule="auto"/>
              <w:jc w:val="center"/>
              <w:rPr>
                <w:rFonts w:ascii="宋体" w:hAnsi="宋体"/>
                <w:sz w:val="24"/>
              </w:rPr>
            </w:pPr>
          </w:p>
        </w:tc>
        <w:tc>
          <w:tcPr>
            <w:tcW w:w="2891" w:type="dxa"/>
            <w:vAlign w:val="center"/>
          </w:tcPr>
          <w:p>
            <w:pPr>
              <w:spacing w:line="360" w:lineRule="auto"/>
              <w:jc w:val="center"/>
              <w:rPr>
                <w:rFonts w:ascii="宋体" w:hAnsi="宋体"/>
                <w:sz w:val="24"/>
              </w:rPr>
            </w:pPr>
            <w:r>
              <w:rPr>
                <w:rFonts w:hint="eastAsia" w:ascii="宋体" w:hAnsi="宋体"/>
                <w:sz w:val="24"/>
              </w:rPr>
              <w:t>偏离</w:t>
            </w:r>
          </w:p>
        </w:tc>
        <w:tc>
          <w:tcPr>
            <w:tcW w:w="1110" w:type="dxa"/>
            <w:vAlign w:val="center"/>
          </w:tcPr>
          <w:p>
            <w:pPr>
              <w:spacing w:line="360" w:lineRule="auto"/>
              <w:jc w:val="center"/>
              <w:rPr>
                <w:rFonts w:ascii="宋体" w:hAnsi="宋体"/>
                <w:sz w:val="24"/>
              </w:rPr>
            </w:pPr>
          </w:p>
        </w:tc>
        <w:tc>
          <w:tcPr>
            <w:tcW w:w="2613" w:type="dxa"/>
            <w:vAlign w:val="center"/>
          </w:tcPr>
          <w:p>
            <w:pPr>
              <w:spacing w:line="360" w:lineRule="auto"/>
              <w:jc w:val="center"/>
              <w:rPr>
                <w:rFonts w:ascii="宋体" w:hAnsi="宋体"/>
                <w:sz w:val="24"/>
              </w:rPr>
            </w:pPr>
            <w:r>
              <w:rPr>
                <w:rFonts w:hint="eastAsia" w:ascii="宋体" w:hAnsi="宋体"/>
                <w:sz w:val="24"/>
              </w:rPr>
              <w:t>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pPr>
              <w:spacing w:line="360" w:lineRule="auto"/>
              <w:jc w:val="center"/>
              <w:rPr>
                <w:rFonts w:ascii="宋体" w:hAnsi="宋体"/>
                <w:sz w:val="24"/>
              </w:rPr>
            </w:pPr>
            <w:r>
              <w:rPr>
                <w:rFonts w:hint="eastAsia" w:ascii="宋体" w:hAnsi="宋体"/>
                <w:sz w:val="24"/>
              </w:rPr>
              <w:t>1</w:t>
            </w:r>
          </w:p>
        </w:tc>
        <w:tc>
          <w:tcPr>
            <w:tcW w:w="1080" w:type="dxa"/>
            <w:vAlign w:val="center"/>
          </w:tcPr>
          <w:p>
            <w:pPr>
              <w:spacing w:line="360" w:lineRule="auto"/>
              <w:rPr>
                <w:rFonts w:ascii="宋体" w:hAnsi="宋体"/>
                <w:sz w:val="24"/>
              </w:rPr>
            </w:pPr>
          </w:p>
        </w:tc>
        <w:tc>
          <w:tcPr>
            <w:tcW w:w="2891" w:type="dxa"/>
            <w:vAlign w:val="center"/>
          </w:tcPr>
          <w:p>
            <w:pPr>
              <w:spacing w:line="360" w:lineRule="auto"/>
              <w:rPr>
                <w:rFonts w:ascii="宋体" w:hAnsi="宋体"/>
                <w:sz w:val="24"/>
              </w:rPr>
            </w:pPr>
          </w:p>
        </w:tc>
        <w:tc>
          <w:tcPr>
            <w:tcW w:w="1110" w:type="dxa"/>
            <w:vAlign w:val="center"/>
          </w:tcPr>
          <w:p>
            <w:pPr>
              <w:spacing w:line="360" w:lineRule="auto"/>
              <w:rPr>
                <w:rFonts w:ascii="宋体" w:hAnsi="宋体"/>
                <w:sz w:val="24"/>
              </w:rPr>
            </w:pPr>
          </w:p>
        </w:tc>
        <w:tc>
          <w:tcPr>
            <w:tcW w:w="2613" w:type="dxa"/>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pPr>
              <w:spacing w:line="360" w:lineRule="auto"/>
              <w:jc w:val="center"/>
              <w:rPr>
                <w:rFonts w:ascii="宋体" w:hAnsi="宋体"/>
                <w:sz w:val="24"/>
              </w:rPr>
            </w:pPr>
            <w:r>
              <w:rPr>
                <w:rFonts w:hint="eastAsia" w:ascii="宋体" w:hAnsi="宋体"/>
                <w:sz w:val="24"/>
              </w:rPr>
              <w:t>2</w:t>
            </w:r>
          </w:p>
        </w:tc>
        <w:tc>
          <w:tcPr>
            <w:tcW w:w="1080" w:type="dxa"/>
            <w:vAlign w:val="center"/>
          </w:tcPr>
          <w:p>
            <w:pPr>
              <w:spacing w:line="360" w:lineRule="auto"/>
              <w:rPr>
                <w:rFonts w:ascii="宋体" w:hAnsi="宋体"/>
                <w:sz w:val="24"/>
              </w:rPr>
            </w:pPr>
          </w:p>
        </w:tc>
        <w:tc>
          <w:tcPr>
            <w:tcW w:w="2891" w:type="dxa"/>
            <w:vAlign w:val="center"/>
          </w:tcPr>
          <w:p>
            <w:pPr>
              <w:spacing w:line="360" w:lineRule="auto"/>
              <w:rPr>
                <w:rFonts w:ascii="宋体" w:hAnsi="宋体"/>
                <w:sz w:val="24"/>
              </w:rPr>
            </w:pPr>
          </w:p>
        </w:tc>
        <w:tc>
          <w:tcPr>
            <w:tcW w:w="1110" w:type="dxa"/>
            <w:vAlign w:val="center"/>
          </w:tcPr>
          <w:p>
            <w:pPr>
              <w:spacing w:line="360" w:lineRule="auto"/>
              <w:rPr>
                <w:rFonts w:ascii="宋体" w:hAnsi="宋体"/>
                <w:sz w:val="24"/>
              </w:rPr>
            </w:pPr>
          </w:p>
        </w:tc>
        <w:tc>
          <w:tcPr>
            <w:tcW w:w="2613" w:type="dxa"/>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pPr>
              <w:spacing w:line="360" w:lineRule="auto"/>
              <w:jc w:val="center"/>
              <w:rPr>
                <w:rFonts w:ascii="宋体" w:hAnsi="宋体"/>
                <w:sz w:val="24"/>
              </w:rPr>
            </w:pPr>
            <w:r>
              <w:rPr>
                <w:rFonts w:hint="eastAsia" w:ascii="宋体" w:hAnsi="宋体"/>
                <w:sz w:val="24"/>
              </w:rPr>
              <w:t>3</w:t>
            </w:r>
          </w:p>
        </w:tc>
        <w:tc>
          <w:tcPr>
            <w:tcW w:w="1080" w:type="dxa"/>
            <w:vAlign w:val="center"/>
          </w:tcPr>
          <w:p>
            <w:pPr>
              <w:spacing w:line="360" w:lineRule="auto"/>
              <w:rPr>
                <w:rFonts w:ascii="宋体" w:hAnsi="宋体"/>
                <w:sz w:val="24"/>
              </w:rPr>
            </w:pPr>
          </w:p>
        </w:tc>
        <w:tc>
          <w:tcPr>
            <w:tcW w:w="2891" w:type="dxa"/>
            <w:vAlign w:val="center"/>
          </w:tcPr>
          <w:p>
            <w:pPr>
              <w:spacing w:line="360" w:lineRule="auto"/>
              <w:rPr>
                <w:rFonts w:ascii="宋体" w:hAnsi="宋体"/>
                <w:sz w:val="24"/>
              </w:rPr>
            </w:pPr>
          </w:p>
        </w:tc>
        <w:tc>
          <w:tcPr>
            <w:tcW w:w="1110" w:type="dxa"/>
            <w:vAlign w:val="center"/>
          </w:tcPr>
          <w:p>
            <w:pPr>
              <w:spacing w:line="360" w:lineRule="auto"/>
              <w:rPr>
                <w:rFonts w:ascii="宋体" w:hAnsi="宋体"/>
                <w:sz w:val="24"/>
              </w:rPr>
            </w:pPr>
          </w:p>
        </w:tc>
        <w:tc>
          <w:tcPr>
            <w:tcW w:w="2613" w:type="dxa"/>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pPr>
              <w:spacing w:line="360" w:lineRule="auto"/>
              <w:jc w:val="center"/>
              <w:rPr>
                <w:rFonts w:ascii="宋体" w:hAnsi="宋体"/>
                <w:sz w:val="24"/>
              </w:rPr>
            </w:pPr>
            <w:r>
              <w:rPr>
                <w:rFonts w:hint="eastAsia" w:ascii="宋体" w:hAnsi="宋体"/>
                <w:sz w:val="24"/>
              </w:rPr>
              <w:t>4</w:t>
            </w:r>
          </w:p>
        </w:tc>
        <w:tc>
          <w:tcPr>
            <w:tcW w:w="1080" w:type="dxa"/>
            <w:vAlign w:val="center"/>
          </w:tcPr>
          <w:p>
            <w:pPr>
              <w:spacing w:line="360" w:lineRule="auto"/>
              <w:rPr>
                <w:rFonts w:ascii="宋体" w:hAnsi="宋体"/>
                <w:sz w:val="24"/>
              </w:rPr>
            </w:pPr>
          </w:p>
        </w:tc>
        <w:tc>
          <w:tcPr>
            <w:tcW w:w="2891" w:type="dxa"/>
            <w:vAlign w:val="center"/>
          </w:tcPr>
          <w:p>
            <w:pPr>
              <w:spacing w:line="360" w:lineRule="auto"/>
              <w:rPr>
                <w:rFonts w:ascii="宋体" w:hAnsi="宋体"/>
                <w:sz w:val="24"/>
              </w:rPr>
            </w:pPr>
          </w:p>
        </w:tc>
        <w:tc>
          <w:tcPr>
            <w:tcW w:w="1110" w:type="dxa"/>
            <w:vAlign w:val="center"/>
          </w:tcPr>
          <w:p>
            <w:pPr>
              <w:spacing w:line="360" w:lineRule="auto"/>
              <w:rPr>
                <w:rFonts w:ascii="宋体" w:hAnsi="宋体"/>
                <w:sz w:val="24"/>
              </w:rPr>
            </w:pPr>
          </w:p>
        </w:tc>
        <w:tc>
          <w:tcPr>
            <w:tcW w:w="2613" w:type="dxa"/>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pPr>
              <w:spacing w:line="360" w:lineRule="auto"/>
              <w:jc w:val="center"/>
              <w:rPr>
                <w:rFonts w:ascii="宋体" w:hAnsi="宋体"/>
                <w:sz w:val="24"/>
              </w:rPr>
            </w:pPr>
            <w:r>
              <w:rPr>
                <w:rFonts w:hint="eastAsia" w:ascii="宋体" w:hAnsi="宋体"/>
                <w:sz w:val="24"/>
              </w:rPr>
              <w:t>5</w:t>
            </w:r>
          </w:p>
        </w:tc>
        <w:tc>
          <w:tcPr>
            <w:tcW w:w="1080" w:type="dxa"/>
            <w:vAlign w:val="center"/>
          </w:tcPr>
          <w:p>
            <w:pPr>
              <w:spacing w:line="360" w:lineRule="auto"/>
              <w:rPr>
                <w:rFonts w:ascii="宋体" w:hAnsi="宋体"/>
                <w:sz w:val="24"/>
              </w:rPr>
            </w:pPr>
          </w:p>
        </w:tc>
        <w:tc>
          <w:tcPr>
            <w:tcW w:w="2891" w:type="dxa"/>
            <w:vAlign w:val="center"/>
          </w:tcPr>
          <w:p>
            <w:pPr>
              <w:spacing w:line="360" w:lineRule="auto"/>
              <w:rPr>
                <w:rFonts w:ascii="宋体" w:hAnsi="宋体"/>
                <w:sz w:val="24"/>
              </w:rPr>
            </w:pPr>
          </w:p>
        </w:tc>
        <w:tc>
          <w:tcPr>
            <w:tcW w:w="1110" w:type="dxa"/>
            <w:vAlign w:val="center"/>
          </w:tcPr>
          <w:p>
            <w:pPr>
              <w:spacing w:line="360" w:lineRule="auto"/>
              <w:rPr>
                <w:rFonts w:ascii="宋体" w:hAnsi="宋体"/>
                <w:sz w:val="24"/>
              </w:rPr>
            </w:pPr>
          </w:p>
        </w:tc>
        <w:tc>
          <w:tcPr>
            <w:tcW w:w="2613" w:type="dxa"/>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pPr>
              <w:spacing w:line="360" w:lineRule="auto"/>
              <w:jc w:val="center"/>
              <w:rPr>
                <w:rFonts w:ascii="宋体" w:hAnsi="宋体"/>
                <w:sz w:val="24"/>
              </w:rPr>
            </w:pPr>
            <w:r>
              <w:rPr>
                <w:rFonts w:hint="eastAsia" w:ascii="宋体" w:hAnsi="宋体"/>
                <w:sz w:val="24"/>
              </w:rPr>
              <w:t>6</w:t>
            </w:r>
          </w:p>
        </w:tc>
        <w:tc>
          <w:tcPr>
            <w:tcW w:w="1080" w:type="dxa"/>
            <w:vAlign w:val="center"/>
          </w:tcPr>
          <w:p>
            <w:pPr>
              <w:spacing w:line="360" w:lineRule="auto"/>
              <w:rPr>
                <w:rFonts w:ascii="宋体" w:hAnsi="宋体"/>
                <w:sz w:val="24"/>
              </w:rPr>
            </w:pPr>
          </w:p>
        </w:tc>
        <w:tc>
          <w:tcPr>
            <w:tcW w:w="2891" w:type="dxa"/>
            <w:vAlign w:val="center"/>
          </w:tcPr>
          <w:p>
            <w:pPr>
              <w:spacing w:line="360" w:lineRule="auto"/>
              <w:rPr>
                <w:rFonts w:ascii="宋体" w:hAnsi="宋体"/>
                <w:sz w:val="24"/>
              </w:rPr>
            </w:pPr>
          </w:p>
        </w:tc>
        <w:tc>
          <w:tcPr>
            <w:tcW w:w="1110" w:type="dxa"/>
            <w:vAlign w:val="center"/>
          </w:tcPr>
          <w:p>
            <w:pPr>
              <w:spacing w:line="360" w:lineRule="auto"/>
              <w:rPr>
                <w:rFonts w:ascii="宋体" w:hAnsi="宋体"/>
                <w:sz w:val="24"/>
              </w:rPr>
            </w:pPr>
          </w:p>
        </w:tc>
        <w:tc>
          <w:tcPr>
            <w:tcW w:w="2613" w:type="dxa"/>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pPr>
              <w:spacing w:line="360" w:lineRule="auto"/>
              <w:jc w:val="center"/>
              <w:rPr>
                <w:rFonts w:ascii="宋体" w:hAnsi="宋体"/>
                <w:sz w:val="24"/>
              </w:rPr>
            </w:pPr>
            <w:r>
              <w:rPr>
                <w:rFonts w:hint="eastAsia" w:ascii="宋体" w:hAnsi="宋体"/>
                <w:sz w:val="24"/>
              </w:rPr>
              <w:t>7</w:t>
            </w:r>
          </w:p>
        </w:tc>
        <w:tc>
          <w:tcPr>
            <w:tcW w:w="1080" w:type="dxa"/>
            <w:vAlign w:val="center"/>
          </w:tcPr>
          <w:p>
            <w:pPr>
              <w:spacing w:line="360" w:lineRule="auto"/>
              <w:rPr>
                <w:rFonts w:ascii="宋体" w:hAnsi="宋体"/>
                <w:sz w:val="24"/>
              </w:rPr>
            </w:pPr>
          </w:p>
        </w:tc>
        <w:tc>
          <w:tcPr>
            <w:tcW w:w="2891" w:type="dxa"/>
            <w:vAlign w:val="center"/>
          </w:tcPr>
          <w:p>
            <w:pPr>
              <w:spacing w:line="360" w:lineRule="auto"/>
              <w:rPr>
                <w:rFonts w:ascii="宋体" w:hAnsi="宋体"/>
                <w:sz w:val="24"/>
              </w:rPr>
            </w:pPr>
          </w:p>
        </w:tc>
        <w:tc>
          <w:tcPr>
            <w:tcW w:w="1110" w:type="dxa"/>
            <w:vAlign w:val="center"/>
          </w:tcPr>
          <w:p>
            <w:pPr>
              <w:spacing w:line="360" w:lineRule="auto"/>
              <w:rPr>
                <w:rFonts w:ascii="宋体" w:hAnsi="宋体"/>
                <w:sz w:val="24"/>
              </w:rPr>
            </w:pPr>
          </w:p>
        </w:tc>
        <w:tc>
          <w:tcPr>
            <w:tcW w:w="2613" w:type="dxa"/>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pPr>
              <w:spacing w:line="360" w:lineRule="auto"/>
              <w:jc w:val="center"/>
              <w:rPr>
                <w:rFonts w:ascii="宋体" w:hAnsi="宋体"/>
                <w:sz w:val="24"/>
              </w:rPr>
            </w:pPr>
            <w:r>
              <w:rPr>
                <w:rFonts w:hint="eastAsia" w:ascii="宋体" w:hAnsi="宋体"/>
                <w:sz w:val="24"/>
              </w:rPr>
              <w:t>8</w:t>
            </w:r>
          </w:p>
        </w:tc>
        <w:tc>
          <w:tcPr>
            <w:tcW w:w="1080" w:type="dxa"/>
            <w:vAlign w:val="center"/>
          </w:tcPr>
          <w:p>
            <w:pPr>
              <w:spacing w:line="360" w:lineRule="auto"/>
              <w:rPr>
                <w:rFonts w:ascii="宋体" w:hAnsi="宋体"/>
                <w:sz w:val="24"/>
              </w:rPr>
            </w:pPr>
          </w:p>
        </w:tc>
        <w:tc>
          <w:tcPr>
            <w:tcW w:w="2891" w:type="dxa"/>
            <w:vAlign w:val="center"/>
          </w:tcPr>
          <w:p>
            <w:pPr>
              <w:spacing w:line="360" w:lineRule="auto"/>
              <w:rPr>
                <w:rFonts w:ascii="宋体" w:hAnsi="宋体"/>
                <w:sz w:val="24"/>
              </w:rPr>
            </w:pPr>
          </w:p>
        </w:tc>
        <w:tc>
          <w:tcPr>
            <w:tcW w:w="1110" w:type="dxa"/>
            <w:vAlign w:val="center"/>
          </w:tcPr>
          <w:p>
            <w:pPr>
              <w:spacing w:line="360" w:lineRule="auto"/>
              <w:rPr>
                <w:rFonts w:ascii="宋体" w:hAnsi="宋体"/>
                <w:sz w:val="24"/>
              </w:rPr>
            </w:pPr>
          </w:p>
        </w:tc>
        <w:tc>
          <w:tcPr>
            <w:tcW w:w="2613" w:type="dxa"/>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pPr>
              <w:spacing w:line="360" w:lineRule="auto"/>
              <w:jc w:val="center"/>
              <w:rPr>
                <w:rFonts w:ascii="宋体" w:hAnsi="宋体"/>
                <w:sz w:val="24"/>
              </w:rPr>
            </w:pPr>
            <w:r>
              <w:rPr>
                <w:rFonts w:hint="eastAsia" w:ascii="宋体" w:hAnsi="宋体"/>
                <w:sz w:val="24"/>
              </w:rPr>
              <w:t>9</w:t>
            </w:r>
          </w:p>
        </w:tc>
        <w:tc>
          <w:tcPr>
            <w:tcW w:w="1080" w:type="dxa"/>
            <w:vAlign w:val="center"/>
          </w:tcPr>
          <w:p>
            <w:pPr>
              <w:spacing w:line="360" w:lineRule="auto"/>
              <w:rPr>
                <w:rFonts w:ascii="宋体" w:hAnsi="宋体"/>
                <w:sz w:val="24"/>
              </w:rPr>
            </w:pPr>
          </w:p>
        </w:tc>
        <w:tc>
          <w:tcPr>
            <w:tcW w:w="2891" w:type="dxa"/>
            <w:vAlign w:val="center"/>
          </w:tcPr>
          <w:p>
            <w:pPr>
              <w:spacing w:line="360" w:lineRule="auto"/>
              <w:rPr>
                <w:rFonts w:ascii="宋体" w:hAnsi="宋体"/>
                <w:sz w:val="24"/>
              </w:rPr>
            </w:pPr>
          </w:p>
        </w:tc>
        <w:tc>
          <w:tcPr>
            <w:tcW w:w="1110" w:type="dxa"/>
            <w:vAlign w:val="center"/>
          </w:tcPr>
          <w:p>
            <w:pPr>
              <w:spacing w:line="360" w:lineRule="auto"/>
              <w:rPr>
                <w:rFonts w:ascii="宋体" w:hAnsi="宋体"/>
                <w:sz w:val="24"/>
              </w:rPr>
            </w:pPr>
          </w:p>
        </w:tc>
        <w:tc>
          <w:tcPr>
            <w:tcW w:w="2613" w:type="dxa"/>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pPr>
              <w:spacing w:line="360" w:lineRule="auto"/>
              <w:jc w:val="center"/>
              <w:rPr>
                <w:rFonts w:ascii="宋体" w:hAnsi="宋体"/>
                <w:sz w:val="24"/>
              </w:rPr>
            </w:pPr>
            <w:r>
              <w:rPr>
                <w:rFonts w:hint="eastAsia" w:ascii="宋体" w:hAnsi="宋体"/>
                <w:sz w:val="24"/>
              </w:rPr>
              <w:t>10</w:t>
            </w:r>
          </w:p>
        </w:tc>
        <w:tc>
          <w:tcPr>
            <w:tcW w:w="1080" w:type="dxa"/>
            <w:vAlign w:val="center"/>
          </w:tcPr>
          <w:p>
            <w:pPr>
              <w:spacing w:line="360" w:lineRule="auto"/>
              <w:rPr>
                <w:rFonts w:ascii="宋体" w:hAnsi="宋体"/>
                <w:sz w:val="24"/>
              </w:rPr>
            </w:pPr>
          </w:p>
        </w:tc>
        <w:tc>
          <w:tcPr>
            <w:tcW w:w="2891" w:type="dxa"/>
            <w:vAlign w:val="center"/>
          </w:tcPr>
          <w:p>
            <w:pPr>
              <w:spacing w:line="360" w:lineRule="auto"/>
              <w:rPr>
                <w:rFonts w:ascii="宋体" w:hAnsi="宋体"/>
                <w:sz w:val="24"/>
              </w:rPr>
            </w:pPr>
          </w:p>
        </w:tc>
        <w:tc>
          <w:tcPr>
            <w:tcW w:w="1110" w:type="dxa"/>
            <w:vAlign w:val="center"/>
          </w:tcPr>
          <w:p>
            <w:pPr>
              <w:spacing w:line="360" w:lineRule="auto"/>
              <w:rPr>
                <w:rFonts w:ascii="宋体" w:hAnsi="宋体"/>
                <w:sz w:val="24"/>
              </w:rPr>
            </w:pPr>
          </w:p>
        </w:tc>
        <w:tc>
          <w:tcPr>
            <w:tcW w:w="2613" w:type="dxa"/>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pPr>
              <w:spacing w:line="360" w:lineRule="auto"/>
              <w:jc w:val="center"/>
              <w:rPr>
                <w:rFonts w:ascii="宋体" w:hAnsi="宋体"/>
                <w:sz w:val="24"/>
              </w:rPr>
            </w:pPr>
            <w:r>
              <w:rPr>
                <w:rFonts w:hint="eastAsia" w:ascii="宋体" w:hAnsi="宋体"/>
                <w:sz w:val="24"/>
              </w:rPr>
              <w:t>11</w:t>
            </w:r>
          </w:p>
        </w:tc>
        <w:tc>
          <w:tcPr>
            <w:tcW w:w="1080" w:type="dxa"/>
            <w:vAlign w:val="center"/>
          </w:tcPr>
          <w:p>
            <w:pPr>
              <w:spacing w:line="360" w:lineRule="auto"/>
              <w:rPr>
                <w:rFonts w:ascii="宋体" w:hAnsi="宋体"/>
                <w:sz w:val="24"/>
              </w:rPr>
            </w:pPr>
          </w:p>
        </w:tc>
        <w:tc>
          <w:tcPr>
            <w:tcW w:w="2891" w:type="dxa"/>
            <w:vAlign w:val="center"/>
          </w:tcPr>
          <w:p>
            <w:pPr>
              <w:spacing w:line="360" w:lineRule="auto"/>
              <w:rPr>
                <w:rFonts w:ascii="宋体" w:hAnsi="宋体"/>
                <w:sz w:val="24"/>
              </w:rPr>
            </w:pPr>
          </w:p>
        </w:tc>
        <w:tc>
          <w:tcPr>
            <w:tcW w:w="1110" w:type="dxa"/>
            <w:vAlign w:val="center"/>
          </w:tcPr>
          <w:p>
            <w:pPr>
              <w:spacing w:line="360" w:lineRule="auto"/>
              <w:rPr>
                <w:rFonts w:ascii="宋体" w:hAnsi="宋体"/>
                <w:sz w:val="24"/>
              </w:rPr>
            </w:pPr>
          </w:p>
        </w:tc>
        <w:tc>
          <w:tcPr>
            <w:tcW w:w="2613" w:type="dxa"/>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pPr>
              <w:spacing w:line="360" w:lineRule="auto"/>
              <w:jc w:val="center"/>
              <w:rPr>
                <w:rFonts w:ascii="宋体" w:hAnsi="宋体"/>
                <w:sz w:val="24"/>
              </w:rPr>
            </w:pPr>
            <w:r>
              <w:rPr>
                <w:rFonts w:hint="eastAsia" w:ascii="宋体" w:hAnsi="宋体"/>
                <w:sz w:val="24"/>
              </w:rPr>
              <w:t>12</w:t>
            </w:r>
          </w:p>
        </w:tc>
        <w:tc>
          <w:tcPr>
            <w:tcW w:w="1080" w:type="dxa"/>
            <w:vAlign w:val="center"/>
          </w:tcPr>
          <w:p>
            <w:pPr>
              <w:spacing w:line="360" w:lineRule="auto"/>
              <w:rPr>
                <w:rFonts w:ascii="宋体" w:hAnsi="宋体"/>
                <w:sz w:val="24"/>
              </w:rPr>
            </w:pPr>
          </w:p>
        </w:tc>
        <w:tc>
          <w:tcPr>
            <w:tcW w:w="2891" w:type="dxa"/>
            <w:vAlign w:val="center"/>
          </w:tcPr>
          <w:p>
            <w:pPr>
              <w:spacing w:line="360" w:lineRule="auto"/>
              <w:rPr>
                <w:rFonts w:ascii="宋体" w:hAnsi="宋体"/>
                <w:sz w:val="24"/>
              </w:rPr>
            </w:pPr>
          </w:p>
        </w:tc>
        <w:tc>
          <w:tcPr>
            <w:tcW w:w="1110" w:type="dxa"/>
            <w:vAlign w:val="center"/>
          </w:tcPr>
          <w:p>
            <w:pPr>
              <w:spacing w:line="360" w:lineRule="auto"/>
              <w:rPr>
                <w:rFonts w:ascii="宋体" w:hAnsi="宋体"/>
                <w:sz w:val="24"/>
              </w:rPr>
            </w:pPr>
          </w:p>
        </w:tc>
        <w:tc>
          <w:tcPr>
            <w:tcW w:w="2613" w:type="dxa"/>
            <w:vAlign w:val="center"/>
          </w:tcPr>
          <w:p>
            <w:pPr>
              <w:spacing w:line="360" w:lineRule="auto"/>
              <w:rPr>
                <w:rFonts w:ascii="宋体" w:hAnsi="宋体"/>
                <w:sz w:val="24"/>
              </w:rPr>
            </w:pPr>
          </w:p>
        </w:tc>
      </w:tr>
    </w:tbl>
    <w:p>
      <w:pPr>
        <w:spacing w:line="360" w:lineRule="auto"/>
        <w:rPr>
          <w:rFonts w:ascii="宋体" w:hAnsi="宋体"/>
          <w:sz w:val="24"/>
        </w:rPr>
      </w:pPr>
      <w:r>
        <w:rPr>
          <w:rFonts w:hint="eastAsia" w:ascii="宋体" w:hAnsi="宋体"/>
          <w:b/>
          <w:sz w:val="24"/>
        </w:rPr>
        <w:t>注：</w:t>
      </w:r>
      <w:r>
        <w:rPr>
          <w:rFonts w:hint="eastAsia" w:ascii="宋体" w:hAnsi="宋体"/>
          <w:sz w:val="24"/>
        </w:rPr>
        <w:t>即使投标人进行了描述，也要提报该表，</w:t>
      </w:r>
      <w:r>
        <w:rPr>
          <w:rFonts w:hint="eastAsia" w:ascii="宋体" w:hAnsi="宋体"/>
          <w:b/>
          <w:sz w:val="24"/>
        </w:rPr>
        <w:t>无该表则被视为“无偏离”。</w:t>
      </w:r>
      <w:r>
        <w:rPr>
          <w:rFonts w:hint="eastAsia" w:ascii="宋体" w:hAnsi="宋体"/>
          <w:sz w:val="24"/>
        </w:rPr>
        <w:t>如无偏离注明“无”字。</w:t>
      </w:r>
    </w:p>
    <w:p>
      <w:pPr>
        <w:pStyle w:val="8"/>
        <w:spacing w:line="360" w:lineRule="auto"/>
        <w:ind w:firstLine="562"/>
        <w:rPr>
          <w:rFonts w:hAnsi="宋体"/>
          <w:b/>
          <w:bCs/>
          <w:sz w:val="28"/>
          <w:szCs w:val="28"/>
        </w:rPr>
      </w:pPr>
    </w:p>
    <w:p>
      <w:pPr>
        <w:spacing w:line="360" w:lineRule="auto"/>
        <w:rPr>
          <w:rFonts w:ascii="宋体" w:hAnsi="宋体"/>
          <w:sz w:val="24"/>
        </w:rPr>
      </w:pPr>
      <w:r>
        <w:rPr>
          <w:rFonts w:hint="eastAsia" w:ascii="宋体" w:hAnsi="宋体"/>
          <w:sz w:val="24"/>
        </w:rPr>
        <w:t>投标人名称：                   授权代表签字：            日期：</w:t>
      </w:r>
    </w:p>
    <w:p>
      <w:pPr>
        <w:spacing w:line="360" w:lineRule="auto"/>
        <w:rPr>
          <w:rFonts w:ascii="宋体" w:hAnsi="宋体"/>
          <w:sz w:val="24"/>
        </w:rPr>
      </w:pPr>
      <w:r>
        <w:rPr>
          <w:rFonts w:ascii="宋体" w:hAnsi="宋体"/>
          <w:sz w:val="24"/>
        </w:rPr>
        <w:br w:type="page"/>
      </w:r>
      <w:r>
        <w:rPr>
          <w:rFonts w:hint="eastAsia" w:ascii="宋体" w:hAnsi="宋体"/>
          <w:b/>
          <w:bCs/>
          <w:sz w:val="28"/>
        </w:rPr>
        <w:t>附件</w:t>
      </w:r>
      <w:r>
        <w:rPr>
          <w:rFonts w:ascii="宋体" w:hAnsi="宋体"/>
          <w:b/>
          <w:bCs/>
          <w:sz w:val="28"/>
        </w:rPr>
        <w:t>5</w:t>
      </w:r>
    </w:p>
    <w:p>
      <w:pPr>
        <w:pStyle w:val="4"/>
        <w:spacing w:before="156" w:beforeLines="50" w:after="156" w:afterLines="50" w:line="240" w:lineRule="auto"/>
        <w:jc w:val="center"/>
        <w:rPr>
          <w:rFonts w:ascii="宋体" w:hAnsi="宋体"/>
          <w:b w:val="0"/>
          <w:bCs w:val="0"/>
          <w:sz w:val="28"/>
        </w:rPr>
      </w:pPr>
      <w:r>
        <w:rPr>
          <w:rFonts w:hint="eastAsia" w:ascii="宋体" w:hAnsi="宋体"/>
          <w:b w:val="0"/>
          <w:bCs w:val="0"/>
          <w:sz w:val="28"/>
        </w:rPr>
        <w:t>投标报名表</w:t>
      </w:r>
    </w:p>
    <w:p>
      <w:pPr>
        <w:spacing w:line="360" w:lineRule="auto"/>
        <w:ind w:firstLine="120" w:firstLineChars="50"/>
        <w:rPr>
          <w:rFonts w:ascii="宋体" w:hAnsi="宋体"/>
          <w:sz w:val="24"/>
        </w:rPr>
      </w:pPr>
      <w:r>
        <w:rPr>
          <w:rFonts w:hint="eastAsia" w:ascii="宋体" w:hAnsi="宋体"/>
          <w:sz w:val="24"/>
        </w:rPr>
        <w:t>公章：</w:t>
      </w:r>
    </w:p>
    <w:tbl>
      <w:tblPr>
        <w:tblStyle w:val="13"/>
        <w:tblW w:w="89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7"/>
        <w:gridCol w:w="2690"/>
        <w:gridCol w:w="2272"/>
        <w:gridCol w:w="23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1637" w:type="dxa"/>
            <w:vAlign w:val="center"/>
          </w:tcPr>
          <w:p>
            <w:pPr>
              <w:spacing w:line="360" w:lineRule="auto"/>
              <w:jc w:val="center"/>
              <w:rPr>
                <w:rFonts w:ascii="宋体" w:hAnsi="宋体"/>
                <w:sz w:val="24"/>
              </w:rPr>
            </w:pPr>
            <w:r>
              <w:rPr>
                <w:rFonts w:hint="eastAsia" w:ascii="宋体" w:hAnsi="宋体"/>
                <w:sz w:val="24"/>
              </w:rPr>
              <w:t>项目名称</w:t>
            </w:r>
          </w:p>
        </w:tc>
        <w:tc>
          <w:tcPr>
            <w:tcW w:w="7287" w:type="dxa"/>
            <w:gridSpan w:val="3"/>
            <w:vAlign w:val="center"/>
          </w:tcPr>
          <w:p>
            <w:pPr>
              <w:pStyle w:val="8"/>
              <w:spacing w:line="360" w:lineRule="auto"/>
              <w:ind w:firstLine="480"/>
              <w:jc w:val="center"/>
              <w:rPr>
                <w:rFonts w:hAnsi="宋体"/>
              </w:rPr>
            </w:pPr>
            <w:r>
              <w:rPr>
                <w:rFonts w:hint="eastAsia" w:hAnsi="宋体"/>
              </w:rPr>
              <w:t>安全实训基地项目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8" w:hRule="atLeast"/>
          <w:jc w:val="center"/>
        </w:trPr>
        <w:tc>
          <w:tcPr>
            <w:tcW w:w="1637" w:type="dxa"/>
            <w:vAlign w:val="center"/>
          </w:tcPr>
          <w:p>
            <w:pPr>
              <w:spacing w:line="360" w:lineRule="auto"/>
              <w:jc w:val="center"/>
              <w:rPr>
                <w:rFonts w:ascii="宋体" w:hAnsi="宋体"/>
                <w:sz w:val="24"/>
              </w:rPr>
            </w:pPr>
            <w:r>
              <w:rPr>
                <w:rFonts w:hint="eastAsia" w:ascii="宋体" w:hAnsi="宋体"/>
                <w:sz w:val="24"/>
              </w:rPr>
              <w:t>投标单位</w:t>
            </w:r>
          </w:p>
          <w:p>
            <w:pPr>
              <w:spacing w:line="360" w:lineRule="auto"/>
              <w:jc w:val="center"/>
              <w:rPr>
                <w:rFonts w:ascii="宋体" w:hAnsi="宋体"/>
                <w:sz w:val="24"/>
              </w:rPr>
            </w:pPr>
            <w:r>
              <w:rPr>
                <w:rFonts w:hint="eastAsia" w:ascii="宋体" w:hAnsi="宋体"/>
                <w:sz w:val="24"/>
              </w:rPr>
              <w:t>（全称）</w:t>
            </w:r>
          </w:p>
        </w:tc>
        <w:tc>
          <w:tcPr>
            <w:tcW w:w="7287" w:type="dxa"/>
            <w:gridSpan w:val="3"/>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1" w:hRule="atLeast"/>
          <w:jc w:val="center"/>
        </w:trPr>
        <w:tc>
          <w:tcPr>
            <w:tcW w:w="1637" w:type="dxa"/>
            <w:vAlign w:val="center"/>
          </w:tcPr>
          <w:p>
            <w:pPr>
              <w:spacing w:line="360" w:lineRule="auto"/>
              <w:jc w:val="center"/>
              <w:rPr>
                <w:rFonts w:ascii="宋体" w:hAnsi="宋体"/>
                <w:sz w:val="24"/>
              </w:rPr>
            </w:pPr>
            <w:r>
              <w:rPr>
                <w:rFonts w:hint="eastAsia" w:ascii="宋体" w:hAnsi="宋体"/>
                <w:sz w:val="24"/>
              </w:rPr>
              <w:t>投标单位</w:t>
            </w:r>
          </w:p>
          <w:p>
            <w:pPr>
              <w:spacing w:line="360" w:lineRule="auto"/>
              <w:jc w:val="center"/>
              <w:rPr>
                <w:rFonts w:ascii="宋体" w:hAnsi="宋体"/>
                <w:sz w:val="24"/>
              </w:rPr>
            </w:pPr>
            <w:r>
              <w:rPr>
                <w:rFonts w:hint="eastAsia" w:ascii="宋体" w:hAnsi="宋体"/>
                <w:sz w:val="24"/>
              </w:rPr>
              <w:t>简介</w:t>
            </w:r>
          </w:p>
        </w:tc>
        <w:tc>
          <w:tcPr>
            <w:tcW w:w="7287" w:type="dxa"/>
            <w:gridSpan w:val="3"/>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1" w:hRule="atLeast"/>
          <w:jc w:val="center"/>
        </w:trPr>
        <w:tc>
          <w:tcPr>
            <w:tcW w:w="1637" w:type="dxa"/>
            <w:vAlign w:val="center"/>
          </w:tcPr>
          <w:p>
            <w:pPr>
              <w:spacing w:line="360" w:lineRule="auto"/>
              <w:jc w:val="center"/>
              <w:rPr>
                <w:rFonts w:ascii="宋体" w:hAnsi="宋体"/>
                <w:sz w:val="24"/>
              </w:rPr>
            </w:pPr>
            <w:r>
              <w:rPr>
                <w:rFonts w:hint="eastAsia" w:ascii="宋体" w:hAnsi="宋体"/>
                <w:sz w:val="24"/>
              </w:rPr>
              <w:t>项目负责人</w:t>
            </w:r>
          </w:p>
        </w:tc>
        <w:tc>
          <w:tcPr>
            <w:tcW w:w="2690" w:type="dxa"/>
            <w:vAlign w:val="center"/>
          </w:tcPr>
          <w:p>
            <w:pPr>
              <w:spacing w:line="360" w:lineRule="auto"/>
              <w:jc w:val="center"/>
              <w:rPr>
                <w:rFonts w:ascii="宋体" w:hAnsi="宋体"/>
                <w:sz w:val="24"/>
              </w:rPr>
            </w:pPr>
          </w:p>
        </w:tc>
        <w:tc>
          <w:tcPr>
            <w:tcW w:w="2272" w:type="dxa"/>
            <w:vAlign w:val="center"/>
          </w:tcPr>
          <w:p>
            <w:pPr>
              <w:spacing w:line="360" w:lineRule="auto"/>
              <w:jc w:val="center"/>
              <w:rPr>
                <w:rFonts w:ascii="宋体" w:hAnsi="宋体"/>
                <w:sz w:val="24"/>
              </w:rPr>
            </w:pPr>
            <w:r>
              <w:rPr>
                <w:rFonts w:hint="eastAsia" w:ascii="宋体" w:hAnsi="宋体"/>
                <w:sz w:val="24"/>
              </w:rPr>
              <w:t>联系电话</w:t>
            </w:r>
          </w:p>
        </w:tc>
        <w:tc>
          <w:tcPr>
            <w:tcW w:w="2325" w:type="dxa"/>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atLeast"/>
          <w:jc w:val="center"/>
        </w:trPr>
        <w:tc>
          <w:tcPr>
            <w:tcW w:w="1637" w:type="dxa"/>
            <w:vAlign w:val="center"/>
          </w:tcPr>
          <w:p>
            <w:pPr>
              <w:spacing w:line="360" w:lineRule="auto"/>
              <w:jc w:val="center"/>
              <w:rPr>
                <w:rFonts w:ascii="宋体" w:hAnsi="宋体"/>
                <w:sz w:val="24"/>
              </w:rPr>
            </w:pPr>
            <w:r>
              <w:rPr>
                <w:rFonts w:hint="eastAsia" w:ascii="宋体" w:hAnsi="宋体"/>
                <w:sz w:val="24"/>
              </w:rPr>
              <w:t>公司电话</w:t>
            </w:r>
          </w:p>
        </w:tc>
        <w:tc>
          <w:tcPr>
            <w:tcW w:w="2690" w:type="dxa"/>
            <w:vAlign w:val="center"/>
          </w:tcPr>
          <w:p>
            <w:pPr>
              <w:spacing w:line="360" w:lineRule="auto"/>
              <w:jc w:val="center"/>
              <w:rPr>
                <w:rFonts w:ascii="宋体" w:hAnsi="宋体"/>
                <w:sz w:val="24"/>
              </w:rPr>
            </w:pPr>
          </w:p>
        </w:tc>
        <w:tc>
          <w:tcPr>
            <w:tcW w:w="2272" w:type="dxa"/>
            <w:vAlign w:val="center"/>
          </w:tcPr>
          <w:p>
            <w:pPr>
              <w:spacing w:line="360" w:lineRule="auto"/>
              <w:jc w:val="center"/>
              <w:rPr>
                <w:rFonts w:ascii="宋体" w:hAnsi="宋体"/>
                <w:sz w:val="24"/>
              </w:rPr>
            </w:pPr>
            <w:r>
              <w:rPr>
                <w:rFonts w:hint="eastAsia" w:ascii="宋体" w:hAnsi="宋体"/>
                <w:sz w:val="24"/>
              </w:rPr>
              <w:t>传真</w:t>
            </w:r>
          </w:p>
        </w:tc>
        <w:tc>
          <w:tcPr>
            <w:tcW w:w="2325" w:type="dxa"/>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jc w:val="center"/>
        </w:trPr>
        <w:tc>
          <w:tcPr>
            <w:tcW w:w="1637" w:type="dxa"/>
            <w:vAlign w:val="center"/>
          </w:tcPr>
          <w:p>
            <w:pPr>
              <w:spacing w:line="360" w:lineRule="auto"/>
              <w:jc w:val="center"/>
              <w:rPr>
                <w:rFonts w:ascii="宋体" w:hAnsi="宋体"/>
                <w:sz w:val="24"/>
              </w:rPr>
            </w:pPr>
            <w:r>
              <w:rPr>
                <w:rFonts w:hint="eastAsia" w:ascii="宋体" w:hAnsi="宋体"/>
                <w:sz w:val="24"/>
              </w:rPr>
              <w:t>E-mail</w:t>
            </w:r>
          </w:p>
        </w:tc>
        <w:tc>
          <w:tcPr>
            <w:tcW w:w="7287" w:type="dxa"/>
            <w:gridSpan w:val="3"/>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1" w:hRule="atLeast"/>
          <w:jc w:val="center"/>
        </w:trPr>
        <w:tc>
          <w:tcPr>
            <w:tcW w:w="1637" w:type="dxa"/>
            <w:vAlign w:val="center"/>
          </w:tcPr>
          <w:p>
            <w:pPr>
              <w:spacing w:line="360" w:lineRule="auto"/>
              <w:jc w:val="center"/>
              <w:rPr>
                <w:rFonts w:ascii="宋体" w:hAnsi="宋体"/>
                <w:sz w:val="24"/>
              </w:rPr>
            </w:pPr>
            <w:r>
              <w:rPr>
                <w:rFonts w:hint="eastAsia" w:ascii="宋体" w:hAnsi="宋体"/>
                <w:sz w:val="24"/>
              </w:rPr>
              <w:t>报名时间</w:t>
            </w:r>
          </w:p>
        </w:tc>
        <w:tc>
          <w:tcPr>
            <w:tcW w:w="7287" w:type="dxa"/>
            <w:gridSpan w:val="3"/>
            <w:vAlign w:val="center"/>
          </w:tcPr>
          <w:p>
            <w:pPr>
              <w:spacing w:line="360" w:lineRule="auto"/>
              <w:jc w:val="center"/>
              <w:rPr>
                <w:rFonts w:ascii="宋体" w:hAnsi="宋体"/>
                <w:sz w:val="24"/>
              </w:rPr>
            </w:pPr>
            <w:r>
              <w:rPr>
                <w:rFonts w:hint="eastAsia" w:ascii="宋体" w:hAnsi="宋体"/>
                <w:sz w:val="24"/>
              </w:rPr>
              <w:t>年   月   日</w:t>
            </w:r>
          </w:p>
        </w:tc>
      </w:tr>
    </w:tbl>
    <w:p>
      <w:pPr>
        <w:spacing w:line="360" w:lineRule="auto"/>
        <w:ind w:left="472" w:right="69" w:rightChars="33" w:hanging="472" w:hangingChars="196"/>
        <w:rPr>
          <w:rFonts w:ascii="宋体" w:hAnsi="宋体"/>
          <w:sz w:val="24"/>
        </w:rPr>
      </w:pPr>
      <w:r>
        <w:rPr>
          <w:rFonts w:hint="eastAsia" w:ascii="宋体" w:hAnsi="宋体"/>
          <w:b/>
          <w:sz w:val="24"/>
        </w:rPr>
        <w:t>注：</w:t>
      </w:r>
      <w:r>
        <w:rPr>
          <w:rFonts w:hint="eastAsia" w:ascii="宋体" w:hAnsi="宋体"/>
          <w:sz w:val="24"/>
        </w:rPr>
        <w:t>请投标单位认真填写并加盖公章，并于规定时间前回传。缺项及不按要求时间回复均视为自动放弃本次投标资格。</w:t>
      </w:r>
    </w:p>
    <w:p>
      <w:pPr>
        <w:spacing w:line="360" w:lineRule="auto"/>
        <w:rPr>
          <w:rFonts w:ascii="宋体" w:hAnsi="宋体"/>
          <w:b/>
          <w:bCs/>
          <w:sz w:val="28"/>
        </w:rPr>
      </w:pPr>
      <w:r>
        <w:rPr>
          <w:rFonts w:hint="eastAsia" w:ascii="宋体" w:hAnsi="宋体"/>
          <w:sz w:val="24"/>
        </w:rPr>
        <w:t xml:space="preserve">联系人：                 </w:t>
      </w:r>
      <w:r>
        <w:rPr>
          <w:rFonts w:hint="eastAsia" w:ascii="宋体" w:hAnsi="宋体"/>
          <w:sz w:val="24"/>
          <w:szCs w:val="22"/>
        </w:rPr>
        <w:t>联系电话：                    传真：</w:t>
      </w:r>
    </w:p>
    <w:p>
      <w:pPr>
        <w:spacing w:line="360" w:lineRule="auto"/>
        <w:rPr>
          <w:rFonts w:ascii="宋体" w:hAnsi="宋体"/>
          <w:sz w:val="24"/>
        </w:rPr>
      </w:pPr>
      <w:r>
        <w:rPr>
          <w:rFonts w:hint="eastAsia" w:ascii="宋体" w:hAnsi="宋体"/>
          <w:sz w:val="24"/>
        </w:rPr>
        <w:t>投标人名称：             授权代表签字：                日期：</w:t>
      </w:r>
    </w:p>
    <w:p>
      <w:pPr>
        <w:spacing w:line="360" w:lineRule="auto"/>
        <w:rPr>
          <w:rFonts w:ascii="宋体" w:hAnsi="宋体"/>
          <w:sz w:val="24"/>
        </w:rPr>
      </w:pPr>
      <w:r>
        <w:rPr>
          <w:rFonts w:ascii="宋体" w:hAnsi="宋体"/>
          <w:sz w:val="24"/>
        </w:rPr>
        <w:br w:type="page"/>
      </w:r>
      <w:r>
        <w:rPr>
          <w:rFonts w:hint="eastAsia" w:ascii="宋体" w:hAnsi="宋体"/>
          <w:b/>
          <w:bCs/>
          <w:sz w:val="28"/>
        </w:rPr>
        <w:t>附件</w:t>
      </w:r>
      <w:r>
        <w:rPr>
          <w:rFonts w:ascii="宋体" w:hAnsi="宋体"/>
          <w:b/>
          <w:bCs/>
          <w:sz w:val="28"/>
        </w:rPr>
        <w:t>6</w:t>
      </w:r>
    </w:p>
    <w:p>
      <w:pPr>
        <w:pStyle w:val="4"/>
        <w:spacing w:before="156" w:beforeLines="50" w:after="156" w:afterLines="50" w:line="240" w:lineRule="auto"/>
        <w:jc w:val="center"/>
        <w:rPr>
          <w:rFonts w:ascii="宋体" w:hAnsi="宋体"/>
          <w:b w:val="0"/>
          <w:bCs w:val="0"/>
          <w:sz w:val="28"/>
        </w:rPr>
      </w:pPr>
      <w:r>
        <w:rPr>
          <w:rFonts w:hint="eastAsia" w:ascii="宋体" w:hAnsi="宋体"/>
          <w:b w:val="0"/>
          <w:bCs w:val="0"/>
          <w:sz w:val="28"/>
        </w:rPr>
        <w:t>免费增值服务</w:t>
      </w:r>
    </w:p>
    <w:tbl>
      <w:tblPr>
        <w:tblStyle w:val="13"/>
        <w:tblW w:w="85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9" w:hRule="atLeast"/>
          <w:jc w:val="center"/>
        </w:trPr>
        <w:tc>
          <w:tcPr>
            <w:tcW w:w="8594" w:type="dxa"/>
            <w:vAlign w:val="center"/>
          </w:tcPr>
          <w:p>
            <w:pPr>
              <w:spacing w:line="360" w:lineRule="auto"/>
              <w:ind w:firstLine="480" w:firstLineChars="200"/>
              <w:jc w:val="center"/>
              <w:rPr>
                <w:rFonts w:ascii="宋体" w:hAnsi="宋体"/>
              </w:rPr>
            </w:pPr>
            <w:r>
              <w:rPr>
                <w:rFonts w:hint="eastAsia" w:ascii="宋体" w:hAnsi="宋体"/>
                <w:sz w:val="24"/>
              </w:rPr>
              <w:t>格式自拟</w:t>
            </w:r>
          </w:p>
        </w:tc>
      </w:tr>
    </w:tbl>
    <w:p>
      <w:pPr>
        <w:spacing w:line="360" w:lineRule="auto"/>
        <w:rPr>
          <w:rFonts w:ascii="宋体" w:hAnsi="宋体"/>
          <w:sz w:val="24"/>
        </w:rPr>
      </w:pPr>
      <w:r>
        <w:rPr>
          <w:rFonts w:hint="eastAsia" w:ascii="宋体" w:hAnsi="宋体"/>
          <w:sz w:val="24"/>
        </w:rPr>
        <w:t>投标人名称：                   授权代表签字：            日期：</w:t>
      </w:r>
    </w:p>
    <w:p>
      <w:pPr>
        <w:spacing w:line="660" w:lineRule="exact"/>
        <w:rPr>
          <w:b/>
          <w:bCs/>
          <w:sz w:val="28"/>
        </w:rPr>
      </w:pPr>
      <w:r>
        <w:rPr>
          <w:rFonts w:hint="eastAsia" w:ascii="宋体" w:hAnsi="宋体"/>
          <w:b/>
          <w:bCs/>
          <w:sz w:val="28"/>
        </w:rPr>
        <w:t>附件</w:t>
      </w:r>
      <w:r>
        <w:rPr>
          <w:rFonts w:ascii="宋体" w:hAnsi="宋体"/>
          <w:b/>
          <w:bCs/>
          <w:sz w:val="28"/>
        </w:rPr>
        <w:t>7</w:t>
      </w:r>
    </w:p>
    <w:p>
      <w:pPr>
        <w:jc w:val="center"/>
        <w:rPr>
          <w:rFonts w:eastAsia="黑体"/>
          <w:sz w:val="28"/>
        </w:rPr>
      </w:pPr>
      <w:r>
        <w:rPr>
          <w:rFonts w:hint="eastAsia" w:eastAsia="黑体"/>
          <w:sz w:val="28"/>
        </w:rPr>
        <w:t>承诺书</w:t>
      </w:r>
    </w:p>
    <w:tbl>
      <w:tblPr>
        <w:tblStyle w:val="13"/>
        <w:tblW w:w="85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8" w:hRule="atLeast"/>
        </w:trPr>
        <w:tc>
          <w:tcPr>
            <w:tcW w:w="8553" w:type="dxa"/>
            <w:tcBorders>
              <w:top w:val="single" w:color="auto" w:sz="4" w:space="0"/>
              <w:left w:val="single" w:color="auto" w:sz="4" w:space="0"/>
              <w:bottom w:val="single" w:color="auto" w:sz="4" w:space="0"/>
              <w:right w:val="single" w:color="auto" w:sz="4" w:space="0"/>
            </w:tcBorders>
            <w:noWrap/>
          </w:tcPr>
          <w:p>
            <w:pPr>
              <w:rPr>
                <w:rFonts w:ascii="宋体" w:hAnsi="宋体" w:cs="宋体"/>
                <w:sz w:val="24"/>
              </w:rPr>
            </w:pPr>
            <w:r>
              <w:rPr>
                <w:rFonts w:hint="eastAsia" w:ascii="宋体" w:hAnsi="宋体" w:cs="宋体"/>
                <w:sz w:val="24"/>
              </w:rPr>
              <w:t>投标人承诺：</w:t>
            </w:r>
          </w:p>
          <w:p>
            <w:pPr>
              <w:pStyle w:val="8"/>
              <w:spacing w:line="360" w:lineRule="auto"/>
              <w:ind w:firstLine="480" w:firstLineChars="200"/>
              <w:rPr>
                <w:rFonts w:hAnsi="宋体" w:cs="宋体"/>
                <w:sz w:val="24"/>
              </w:rPr>
            </w:pPr>
            <w:r>
              <w:rPr>
                <w:rFonts w:hint="eastAsia" w:hAnsi="宋体" w:cs="宋体"/>
                <w:sz w:val="24"/>
              </w:rPr>
              <w:t>我公司承诺遵守贵公司由于招标人公司政策变化引起的随时终止项目的要求并承担由此带来的一切损失。</w:t>
            </w:r>
          </w:p>
          <w:p>
            <w:pPr>
              <w:rPr>
                <w:rFonts w:ascii="宋体" w:hAnsi="宋体" w:cs="宋体"/>
                <w:sz w:val="24"/>
              </w:rPr>
            </w:pPr>
          </w:p>
        </w:tc>
      </w:tr>
    </w:tbl>
    <w:p>
      <w:pPr>
        <w:rPr>
          <w:rFonts w:ascii="宋体" w:hAnsi="宋体" w:cs="宋体"/>
          <w:sz w:val="24"/>
        </w:rPr>
      </w:pPr>
    </w:p>
    <w:p>
      <w:pPr>
        <w:rPr>
          <w:rFonts w:ascii="宋体" w:hAnsi="宋体" w:cs="宋体"/>
          <w:sz w:val="24"/>
        </w:rPr>
      </w:pPr>
      <w:r>
        <w:rPr>
          <w:rFonts w:hint="eastAsia" w:ascii="宋体" w:hAnsi="宋体" w:cs="宋体"/>
          <w:sz w:val="24"/>
        </w:rPr>
        <w:t>投标人名称（盖章）：              法定代表人或授权代表签字：</w:t>
      </w:r>
    </w:p>
    <w:p>
      <w:pPr>
        <w:rPr>
          <w:rFonts w:ascii="宋体" w:hAnsi="宋体" w:cs="宋体"/>
          <w:sz w:val="24"/>
        </w:rPr>
      </w:pPr>
    </w:p>
    <w:p>
      <w:pPr>
        <w:pStyle w:val="8"/>
        <w:spacing w:line="360" w:lineRule="auto"/>
        <w:ind w:left="1190" w:leftChars="-6" w:hanging="1203" w:hangingChars="428"/>
        <w:rPr>
          <w:rFonts w:hAnsi="宋体"/>
        </w:rPr>
      </w:pPr>
      <w:r>
        <w:rPr>
          <w:rFonts w:hint="eastAsia" w:hAnsi="宋体"/>
          <w:b/>
          <w:bCs/>
          <w:sz w:val="28"/>
        </w:rPr>
        <w:t>附件</w:t>
      </w:r>
      <w:r>
        <w:rPr>
          <w:rFonts w:hAnsi="宋体"/>
          <w:b/>
          <w:bCs/>
          <w:sz w:val="28"/>
        </w:rPr>
        <w:t>8</w:t>
      </w:r>
    </w:p>
    <w:p>
      <w:pPr>
        <w:jc w:val="center"/>
        <w:rPr>
          <w:rFonts w:eastAsia="黑体"/>
          <w:b/>
          <w:bCs/>
          <w:sz w:val="28"/>
        </w:rPr>
      </w:pPr>
      <w:r>
        <w:rPr>
          <w:rFonts w:hint="eastAsia" w:eastAsia="黑体"/>
          <w:b/>
          <w:bCs/>
          <w:sz w:val="28"/>
        </w:rPr>
        <w:t>投标保证金退付表</w:t>
      </w:r>
    </w:p>
    <w:tbl>
      <w:tblPr>
        <w:tblStyle w:val="13"/>
        <w:tblW w:w="8566"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66" w:type="dxa"/>
            <w:vAlign w:val="center"/>
          </w:tcPr>
          <w:p>
            <w:pPr>
              <w:pStyle w:val="8"/>
              <w:spacing w:line="360" w:lineRule="auto"/>
              <w:ind w:firstLine="480"/>
              <w:rPr>
                <w:sz w:val="24"/>
                <w:szCs w:val="24"/>
              </w:rPr>
            </w:pPr>
            <w:r>
              <w:rPr>
                <w:rFonts w:hint="eastAsia"/>
                <w:sz w:val="24"/>
                <w:szCs w:val="24"/>
              </w:rPr>
              <w:t>投标人单位名称：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66" w:type="dxa"/>
            <w:vAlign w:val="center"/>
          </w:tcPr>
          <w:p>
            <w:pPr>
              <w:pStyle w:val="8"/>
              <w:spacing w:line="360" w:lineRule="auto"/>
              <w:ind w:firstLine="480"/>
              <w:rPr>
                <w:sz w:val="24"/>
                <w:szCs w:val="24"/>
              </w:rPr>
            </w:pPr>
            <w:r>
              <w:rPr>
                <w:rFonts w:hint="eastAsia"/>
                <w:sz w:val="24"/>
                <w:szCs w:val="24"/>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66" w:type="dxa"/>
            <w:vAlign w:val="center"/>
          </w:tcPr>
          <w:p>
            <w:pPr>
              <w:pStyle w:val="8"/>
              <w:spacing w:line="360" w:lineRule="auto"/>
              <w:ind w:firstLine="480"/>
              <w:rPr>
                <w:sz w:val="24"/>
                <w:szCs w:val="24"/>
              </w:rPr>
            </w:pPr>
            <w:r>
              <w:rPr>
                <w:rFonts w:hint="eastAsia"/>
                <w:sz w:val="24"/>
                <w:szCs w:val="24"/>
              </w:rPr>
              <w:t>开户银行行号：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66" w:type="dxa"/>
            <w:vAlign w:val="center"/>
          </w:tcPr>
          <w:p>
            <w:pPr>
              <w:pStyle w:val="8"/>
              <w:spacing w:line="360" w:lineRule="auto"/>
              <w:ind w:firstLine="480"/>
              <w:rPr>
                <w:sz w:val="24"/>
                <w:szCs w:val="24"/>
              </w:rPr>
            </w:pPr>
            <w:r>
              <w:rPr>
                <w:rFonts w:hint="eastAsia"/>
                <w:sz w:val="24"/>
                <w:szCs w:val="24"/>
              </w:rPr>
              <w:t>户名：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66" w:type="dxa"/>
            <w:vAlign w:val="center"/>
          </w:tcPr>
          <w:p>
            <w:pPr>
              <w:pStyle w:val="8"/>
              <w:spacing w:line="360" w:lineRule="auto"/>
              <w:ind w:firstLine="480"/>
              <w:rPr>
                <w:sz w:val="24"/>
                <w:szCs w:val="24"/>
              </w:rPr>
            </w:pPr>
            <w:r>
              <w:rPr>
                <w:rFonts w:hint="eastAsia"/>
                <w:sz w:val="24"/>
                <w:szCs w:val="24"/>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66" w:type="dxa"/>
            <w:vAlign w:val="center"/>
          </w:tcPr>
          <w:p>
            <w:pPr>
              <w:pStyle w:val="8"/>
              <w:spacing w:line="360" w:lineRule="auto"/>
              <w:ind w:firstLine="480"/>
              <w:rPr>
                <w:sz w:val="24"/>
                <w:szCs w:val="24"/>
              </w:rPr>
            </w:pPr>
            <w:r>
              <w:rPr>
                <w:rFonts w:hint="eastAsia"/>
                <w:sz w:val="24"/>
                <w:szCs w:val="24"/>
              </w:rPr>
              <w:t>纳税人识别号：</w:t>
            </w:r>
          </w:p>
        </w:tc>
      </w:tr>
    </w:tbl>
    <w:p>
      <w:pPr>
        <w:pStyle w:val="8"/>
        <w:spacing w:line="360" w:lineRule="auto"/>
        <w:ind w:firstLine="240" w:firstLineChars="100"/>
        <w:rPr>
          <w:rFonts w:ascii="仿宋_GB2312" w:hAnsi="宋体" w:eastAsia="仿宋_GB2312"/>
          <w:sz w:val="24"/>
        </w:rPr>
      </w:pPr>
    </w:p>
    <w:p>
      <w:pPr>
        <w:pStyle w:val="8"/>
        <w:spacing w:line="360" w:lineRule="auto"/>
        <w:ind w:firstLine="240" w:firstLineChars="100"/>
        <w:rPr>
          <w:rFonts w:hAnsi="宋体" w:cs="宋体"/>
          <w:b/>
          <w:sz w:val="24"/>
        </w:rPr>
      </w:pPr>
      <w:r>
        <w:rPr>
          <w:rFonts w:hint="eastAsia" w:hAnsi="宋体" w:cs="宋体"/>
          <w:sz w:val="24"/>
        </w:rPr>
        <w:t>投标人名称（盖章）：              法定代表人或授权代表签字：</w:t>
      </w:r>
    </w:p>
    <w:p>
      <w:pPr>
        <w:pStyle w:val="8"/>
        <w:ind w:firstLine="560"/>
        <w:rPr>
          <w:rFonts w:hAnsi="宋体" w:cs="宋体"/>
          <w:color w:val="000000"/>
          <w:kern w:val="0"/>
          <w:sz w:val="28"/>
          <w:szCs w:val="28"/>
          <w:lang w:bidi="ar"/>
        </w:rPr>
      </w:pPr>
    </w:p>
    <w:p>
      <w:pPr>
        <w:keepNext/>
        <w:keepLines/>
        <w:ind w:left="3654" w:hanging="3654" w:hangingChars="1300"/>
        <w:jc w:val="left"/>
        <w:outlineLvl w:val="2"/>
        <w:rPr>
          <w:b/>
          <w:bCs/>
          <w:sz w:val="24"/>
        </w:rPr>
      </w:pPr>
      <w:r>
        <w:rPr>
          <w:rFonts w:hint="eastAsia"/>
          <w:b/>
          <w:bCs/>
          <w:sz w:val="28"/>
          <w:szCs w:val="28"/>
        </w:rPr>
        <w:t>附件9</w:t>
      </w:r>
      <w:r>
        <w:rPr>
          <w:rFonts w:hint="eastAsia"/>
          <w:b/>
          <w:bCs/>
          <w:sz w:val="24"/>
        </w:rPr>
        <w:t xml:space="preserve">                                                              投标人基本情况表</w:t>
      </w:r>
    </w:p>
    <w:tbl>
      <w:tblPr>
        <w:tblStyle w:val="13"/>
        <w:tblpPr w:leftFromText="180" w:rightFromText="180" w:vertAnchor="text" w:horzAnchor="page" w:tblpX="1086" w:tblpY="370"/>
        <w:tblOverlap w:val="never"/>
        <w:tblW w:w="94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56"/>
        <w:gridCol w:w="990"/>
        <w:gridCol w:w="1530"/>
        <w:gridCol w:w="1063"/>
        <w:gridCol w:w="1097"/>
        <w:gridCol w:w="1310"/>
        <w:gridCol w:w="15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1" w:hRule="atLeast"/>
        </w:trPr>
        <w:tc>
          <w:tcPr>
            <w:tcW w:w="1956" w:type="dxa"/>
          </w:tcPr>
          <w:p>
            <w:pPr>
              <w:pStyle w:val="27"/>
              <w:spacing w:before="114"/>
              <w:rPr>
                <w:sz w:val="24"/>
                <w:szCs w:val="24"/>
              </w:rPr>
            </w:pPr>
            <w:r>
              <w:rPr>
                <w:rFonts w:hint="eastAsia"/>
                <w:sz w:val="24"/>
                <w:szCs w:val="24"/>
              </w:rPr>
              <w:t>企业名称</w:t>
            </w:r>
          </w:p>
        </w:tc>
        <w:tc>
          <w:tcPr>
            <w:tcW w:w="4680" w:type="dxa"/>
            <w:gridSpan w:val="4"/>
            <w:vAlign w:val="center"/>
          </w:tcPr>
          <w:p>
            <w:pPr>
              <w:widowControl/>
              <w:jc w:val="center"/>
              <w:textAlignment w:val="center"/>
              <w:rPr>
                <w:rFonts w:ascii="宋体" w:hAnsi="宋体" w:cs="宋体"/>
                <w:kern w:val="0"/>
                <w:sz w:val="24"/>
              </w:rPr>
            </w:pPr>
          </w:p>
        </w:tc>
        <w:tc>
          <w:tcPr>
            <w:tcW w:w="1310" w:type="dxa"/>
          </w:tcPr>
          <w:p>
            <w:pPr>
              <w:pStyle w:val="27"/>
              <w:spacing w:before="106"/>
              <w:ind w:right="26"/>
              <w:rPr>
                <w:sz w:val="24"/>
                <w:szCs w:val="24"/>
              </w:rPr>
            </w:pPr>
            <w:r>
              <w:rPr>
                <w:rFonts w:hint="eastAsia"/>
                <w:sz w:val="24"/>
                <w:szCs w:val="24"/>
              </w:rPr>
              <w:t>联系人</w:t>
            </w:r>
          </w:p>
        </w:tc>
        <w:tc>
          <w:tcPr>
            <w:tcW w:w="1510" w:type="dxa"/>
            <w:vAlign w:val="center"/>
          </w:tcPr>
          <w:p>
            <w:pPr>
              <w:widowControl/>
              <w:jc w:val="center"/>
              <w:textAlignment w:val="center"/>
              <w:rPr>
                <w:rFonts w:ascii="宋体" w:hAnsi="宋体" w:cs="宋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2" w:hRule="atLeast"/>
        </w:trPr>
        <w:tc>
          <w:tcPr>
            <w:tcW w:w="1956" w:type="dxa"/>
          </w:tcPr>
          <w:p>
            <w:pPr>
              <w:pStyle w:val="27"/>
              <w:spacing w:before="114"/>
              <w:rPr>
                <w:sz w:val="24"/>
                <w:szCs w:val="24"/>
              </w:rPr>
            </w:pPr>
            <w:r>
              <w:rPr>
                <w:rFonts w:hint="eastAsia"/>
                <w:sz w:val="24"/>
                <w:szCs w:val="24"/>
              </w:rPr>
              <w:t>企业地址</w:t>
            </w:r>
          </w:p>
        </w:tc>
        <w:tc>
          <w:tcPr>
            <w:tcW w:w="4680" w:type="dxa"/>
            <w:gridSpan w:val="4"/>
            <w:vAlign w:val="center"/>
          </w:tcPr>
          <w:p>
            <w:pPr>
              <w:widowControl/>
              <w:jc w:val="center"/>
              <w:textAlignment w:val="center"/>
              <w:rPr>
                <w:rFonts w:ascii="宋体" w:hAnsi="宋体" w:cs="宋体"/>
                <w:kern w:val="0"/>
                <w:sz w:val="24"/>
              </w:rPr>
            </w:pPr>
          </w:p>
        </w:tc>
        <w:tc>
          <w:tcPr>
            <w:tcW w:w="1310" w:type="dxa"/>
          </w:tcPr>
          <w:p>
            <w:pPr>
              <w:pStyle w:val="27"/>
              <w:spacing w:before="106"/>
              <w:ind w:right="26"/>
              <w:rPr>
                <w:sz w:val="24"/>
                <w:szCs w:val="24"/>
              </w:rPr>
            </w:pPr>
            <w:r>
              <w:rPr>
                <w:rFonts w:hint="eastAsia"/>
                <w:sz w:val="24"/>
                <w:szCs w:val="24"/>
              </w:rPr>
              <w:t>联系人电话</w:t>
            </w:r>
          </w:p>
        </w:tc>
        <w:tc>
          <w:tcPr>
            <w:tcW w:w="1510" w:type="dxa"/>
            <w:vAlign w:val="center"/>
          </w:tcPr>
          <w:p>
            <w:pPr>
              <w:widowControl/>
              <w:jc w:val="center"/>
              <w:textAlignment w:val="center"/>
              <w:rPr>
                <w:rFonts w:ascii="宋体" w:hAnsi="宋体" w:cs="宋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1956" w:type="dxa"/>
          </w:tcPr>
          <w:p>
            <w:pPr>
              <w:pStyle w:val="27"/>
              <w:spacing w:before="111"/>
              <w:rPr>
                <w:sz w:val="24"/>
                <w:szCs w:val="24"/>
              </w:rPr>
            </w:pPr>
            <w:r>
              <w:rPr>
                <w:rFonts w:hint="eastAsia"/>
                <w:sz w:val="24"/>
                <w:szCs w:val="24"/>
              </w:rPr>
              <w:t>企业性质</w:t>
            </w:r>
          </w:p>
        </w:tc>
        <w:tc>
          <w:tcPr>
            <w:tcW w:w="4680" w:type="dxa"/>
            <w:gridSpan w:val="4"/>
            <w:vAlign w:val="center"/>
          </w:tcPr>
          <w:p>
            <w:pPr>
              <w:widowControl/>
              <w:jc w:val="center"/>
              <w:textAlignment w:val="center"/>
              <w:rPr>
                <w:rFonts w:ascii="宋体" w:hAnsi="宋体" w:cs="宋体"/>
                <w:kern w:val="0"/>
                <w:sz w:val="24"/>
              </w:rPr>
            </w:pPr>
          </w:p>
        </w:tc>
        <w:tc>
          <w:tcPr>
            <w:tcW w:w="1310" w:type="dxa"/>
          </w:tcPr>
          <w:p>
            <w:pPr>
              <w:pStyle w:val="27"/>
              <w:spacing w:before="103"/>
              <w:ind w:right="26"/>
              <w:rPr>
                <w:sz w:val="24"/>
                <w:szCs w:val="24"/>
              </w:rPr>
            </w:pPr>
            <w:r>
              <w:rPr>
                <w:rFonts w:hint="eastAsia"/>
                <w:sz w:val="24"/>
                <w:szCs w:val="24"/>
              </w:rPr>
              <w:t>注册时间</w:t>
            </w:r>
          </w:p>
        </w:tc>
        <w:tc>
          <w:tcPr>
            <w:tcW w:w="1510" w:type="dxa"/>
            <w:vAlign w:val="center"/>
          </w:tcPr>
          <w:p>
            <w:pPr>
              <w:widowControl/>
              <w:jc w:val="center"/>
              <w:textAlignment w:val="center"/>
              <w:rPr>
                <w:rFonts w:ascii="宋体" w:hAnsi="宋体" w:cs="宋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4" w:hRule="atLeast"/>
        </w:trPr>
        <w:tc>
          <w:tcPr>
            <w:tcW w:w="1956" w:type="dxa"/>
          </w:tcPr>
          <w:p>
            <w:pPr>
              <w:pStyle w:val="27"/>
              <w:spacing w:before="111"/>
              <w:rPr>
                <w:sz w:val="24"/>
                <w:szCs w:val="24"/>
              </w:rPr>
            </w:pPr>
            <w:r>
              <w:rPr>
                <w:rFonts w:hint="eastAsia"/>
                <w:sz w:val="24"/>
                <w:szCs w:val="24"/>
              </w:rPr>
              <w:t>企业法人代表</w:t>
            </w:r>
          </w:p>
        </w:tc>
        <w:tc>
          <w:tcPr>
            <w:tcW w:w="4680" w:type="dxa"/>
            <w:gridSpan w:val="4"/>
          </w:tcPr>
          <w:p>
            <w:pPr>
              <w:pStyle w:val="5"/>
              <w:keepNext w:val="0"/>
              <w:keepLines w:val="0"/>
              <w:widowControl/>
              <w:shd w:val="clear" w:color="auto" w:fill="FFFFFF"/>
              <w:spacing w:line="450" w:lineRule="atLeast"/>
              <w:jc w:val="center"/>
              <w:rPr>
                <w:rFonts w:ascii="宋体" w:hAnsi="宋体" w:cs="宋体"/>
                <w:kern w:val="0"/>
                <w:sz w:val="24"/>
                <w:szCs w:val="24"/>
              </w:rPr>
            </w:pPr>
          </w:p>
        </w:tc>
        <w:tc>
          <w:tcPr>
            <w:tcW w:w="1310" w:type="dxa"/>
          </w:tcPr>
          <w:p>
            <w:pPr>
              <w:pStyle w:val="27"/>
              <w:spacing w:before="103"/>
              <w:ind w:right="26"/>
              <w:rPr>
                <w:sz w:val="24"/>
                <w:szCs w:val="24"/>
              </w:rPr>
            </w:pPr>
            <w:r>
              <w:rPr>
                <w:rFonts w:hint="eastAsia"/>
                <w:sz w:val="24"/>
                <w:szCs w:val="24"/>
              </w:rPr>
              <w:t>企业资质</w:t>
            </w:r>
          </w:p>
        </w:tc>
        <w:tc>
          <w:tcPr>
            <w:tcW w:w="1510" w:type="dxa"/>
            <w:vAlign w:val="center"/>
          </w:tcPr>
          <w:p>
            <w:pPr>
              <w:widowControl/>
              <w:jc w:val="center"/>
              <w:textAlignment w:val="center"/>
              <w:rPr>
                <w:rFonts w:ascii="宋体" w:hAnsi="宋体" w:cs="宋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9456" w:type="dxa"/>
            <w:gridSpan w:val="7"/>
          </w:tcPr>
          <w:p>
            <w:pPr>
              <w:pStyle w:val="27"/>
              <w:spacing w:before="149"/>
              <w:ind w:left="3345" w:right="3223"/>
              <w:rPr>
                <w:sz w:val="24"/>
                <w:szCs w:val="24"/>
              </w:rPr>
            </w:pPr>
            <w:r>
              <w:rPr>
                <w:rFonts w:hint="eastAsia"/>
                <w:b/>
                <w:bCs/>
                <w:sz w:val="24"/>
                <w:szCs w:val="24"/>
              </w:rPr>
              <w:t>单位概况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1956" w:type="dxa"/>
            <w:vAlign w:val="center"/>
          </w:tcPr>
          <w:p>
            <w:pPr>
              <w:widowControl/>
              <w:jc w:val="center"/>
              <w:textAlignment w:val="center"/>
              <w:rPr>
                <w:rFonts w:ascii="宋体" w:hAnsi="宋体" w:cs="宋体"/>
                <w:kern w:val="0"/>
                <w:sz w:val="24"/>
              </w:rPr>
            </w:pPr>
            <w:r>
              <w:rPr>
                <w:rFonts w:hint="eastAsia" w:ascii="宋体" w:hAnsi="宋体" w:cs="宋体"/>
                <w:spacing w:val="-2"/>
                <w:kern w:val="0"/>
                <w:sz w:val="24"/>
              </w:rPr>
              <w:t>职工总人</w:t>
            </w:r>
            <w:r>
              <w:rPr>
                <w:rFonts w:hint="eastAsia" w:ascii="宋体" w:hAnsi="宋体" w:cs="宋体"/>
                <w:spacing w:val="-1"/>
                <w:kern w:val="0"/>
                <w:sz w:val="24"/>
              </w:rPr>
              <w:t>数</w:t>
            </w:r>
          </w:p>
        </w:tc>
        <w:tc>
          <w:tcPr>
            <w:tcW w:w="990" w:type="dxa"/>
            <w:vAlign w:val="center"/>
          </w:tcPr>
          <w:p>
            <w:pPr>
              <w:widowControl/>
              <w:textAlignment w:val="center"/>
              <w:rPr>
                <w:rFonts w:ascii="宋体" w:hAnsi="宋体" w:cs="宋体"/>
                <w:kern w:val="0"/>
                <w:sz w:val="24"/>
              </w:rPr>
            </w:pPr>
          </w:p>
        </w:tc>
        <w:tc>
          <w:tcPr>
            <w:tcW w:w="1530" w:type="dxa"/>
            <w:vAlign w:val="center"/>
          </w:tcPr>
          <w:p>
            <w:pPr>
              <w:widowControl/>
              <w:jc w:val="center"/>
              <w:textAlignment w:val="center"/>
              <w:rPr>
                <w:rFonts w:ascii="宋体" w:hAnsi="宋体" w:cs="宋体"/>
                <w:kern w:val="0"/>
                <w:sz w:val="24"/>
              </w:rPr>
            </w:pPr>
            <w:r>
              <w:rPr>
                <w:rFonts w:hint="eastAsia" w:ascii="宋体" w:hAnsi="宋体" w:cs="宋体"/>
                <w:spacing w:val="-2"/>
                <w:kern w:val="0"/>
                <w:sz w:val="24"/>
              </w:rPr>
              <w:t>技术人员</w:t>
            </w:r>
          </w:p>
        </w:tc>
        <w:tc>
          <w:tcPr>
            <w:tcW w:w="1063" w:type="dxa"/>
            <w:vAlign w:val="center"/>
          </w:tcPr>
          <w:p>
            <w:pPr>
              <w:widowControl/>
              <w:jc w:val="center"/>
              <w:textAlignment w:val="center"/>
              <w:rPr>
                <w:rFonts w:ascii="宋体" w:hAnsi="宋体" w:cs="宋体"/>
                <w:kern w:val="0"/>
                <w:sz w:val="24"/>
              </w:rPr>
            </w:pPr>
          </w:p>
        </w:tc>
        <w:tc>
          <w:tcPr>
            <w:tcW w:w="1097" w:type="dxa"/>
            <w:vAlign w:val="center"/>
          </w:tcPr>
          <w:p>
            <w:pPr>
              <w:widowControl/>
              <w:textAlignment w:val="center"/>
              <w:rPr>
                <w:rFonts w:ascii="宋体" w:hAnsi="宋体" w:cs="宋体"/>
                <w:kern w:val="0"/>
                <w:sz w:val="24"/>
              </w:rPr>
            </w:pPr>
            <w:r>
              <w:rPr>
                <w:rFonts w:hint="eastAsia" w:ascii="宋体" w:hAnsi="宋体" w:cs="宋体"/>
                <w:spacing w:val="-3"/>
                <w:kern w:val="0"/>
                <w:sz w:val="24"/>
              </w:rPr>
              <w:t>辅助人员</w:t>
            </w:r>
          </w:p>
        </w:tc>
        <w:tc>
          <w:tcPr>
            <w:tcW w:w="2820" w:type="dxa"/>
            <w:gridSpan w:val="2"/>
            <w:vAlign w:val="center"/>
          </w:tcPr>
          <w:p>
            <w:pPr>
              <w:widowControl/>
              <w:jc w:val="center"/>
              <w:textAlignment w:val="center"/>
              <w:rPr>
                <w:rFonts w:ascii="宋体" w:hAnsi="宋体" w:cs="宋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5" w:hRule="atLeast"/>
        </w:trPr>
        <w:tc>
          <w:tcPr>
            <w:tcW w:w="1956" w:type="dxa"/>
            <w:vAlign w:val="center"/>
          </w:tcPr>
          <w:p>
            <w:pPr>
              <w:widowControl/>
              <w:jc w:val="center"/>
              <w:textAlignment w:val="center"/>
              <w:rPr>
                <w:rFonts w:ascii="宋体" w:hAnsi="宋体" w:cs="宋体"/>
                <w:kern w:val="0"/>
                <w:sz w:val="24"/>
              </w:rPr>
            </w:pPr>
            <w:r>
              <w:rPr>
                <w:rFonts w:hint="eastAsia" w:ascii="宋体" w:hAnsi="宋体" w:cs="宋体"/>
                <w:kern w:val="0"/>
                <w:sz w:val="24"/>
                <w:lang w:bidi="ar"/>
              </w:rPr>
              <w:t>企业优势</w:t>
            </w:r>
          </w:p>
        </w:tc>
        <w:tc>
          <w:tcPr>
            <w:tcW w:w="7500" w:type="dxa"/>
            <w:gridSpan w:val="6"/>
            <w:vAlign w:val="center"/>
          </w:tcPr>
          <w:p>
            <w:pPr>
              <w:widowControl/>
              <w:jc w:val="left"/>
              <w:rPr>
                <w:rFonts w:ascii="宋体" w:hAnsi="宋体" w:cs="宋体"/>
                <w:kern w:val="0"/>
                <w:sz w:val="24"/>
              </w:rPr>
            </w:pPr>
            <w:r>
              <w:rPr>
                <w:rFonts w:hint="eastAsia" w:ascii="宋体" w:hAnsi="宋体" w:cs="宋体"/>
                <w:kern w:val="0"/>
                <w:sz w:val="24"/>
                <w:lang w:bidi="ar"/>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6" w:hRule="atLeast"/>
        </w:trPr>
        <w:tc>
          <w:tcPr>
            <w:tcW w:w="1956" w:type="dxa"/>
            <w:vAlign w:val="center"/>
          </w:tcPr>
          <w:p>
            <w:pPr>
              <w:widowControl/>
              <w:jc w:val="center"/>
              <w:textAlignment w:val="center"/>
              <w:rPr>
                <w:rFonts w:ascii="宋体" w:hAnsi="宋体" w:cs="宋体"/>
                <w:kern w:val="0"/>
                <w:sz w:val="24"/>
              </w:rPr>
            </w:pPr>
            <w:r>
              <w:rPr>
                <w:rFonts w:hint="eastAsia" w:ascii="宋体" w:hAnsi="宋体" w:cs="宋体"/>
                <w:kern w:val="0"/>
                <w:sz w:val="24"/>
                <w:lang w:bidi="ar"/>
              </w:rPr>
              <w:t>企业行业水平及行业口碑</w:t>
            </w:r>
          </w:p>
        </w:tc>
        <w:tc>
          <w:tcPr>
            <w:tcW w:w="7500" w:type="dxa"/>
            <w:gridSpan w:val="6"/>
            <w:vAlign w:val="center"/>
          </w:tcPr>
          <w:p>
            <w:pPr>
              <w:widowControl/>
              <w:jc w:val="left"/>
              <w:rPr>
                <w:rFonts w:ascii="宋体" w:hAnsi="宋体" w:cs="宋体"/>
                <w:kern w:val="0"/>
                <w:sz w:val="24"/>
              </w:rPr>
            </w:pPr>
            <w:r>
              <w:rPr>
                <w:rFonts w:hint="eastAsia" w:ascii="宋体" w:hAnsi="宋体" w:cs="宋体"/>
                <w:kern w:val="0"/>
                <w:sz w:val="24"/>
                <w:lang w:bidi="ar"/>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9" w:hRule="atLeast"/>
        </w:trPr>
        <w:tc>
          <w:tcPr>
            <w:tcW w:w="1956" w:type="dxa"/>
            <w:vAlign w:val="center"/>
          </w:tcPr>
          <w:p>
            <w:pPr>
              <w:widowControl/>
              <w:jc w:val="center"/>
              <w:textAlignment w:val="center"/>
              <w:rPr>
                <w:rFonts w:ascii="宋体" w:hAnsi="宋体" w:cs="宋体"/>
                <w:kern w:val="0"/>
                <w:sz w:val="24"/>
              </w:rPr>
            </w:pPr>
            <w:r>
              <w:rPr>
                <w:rFonts w:hint="eastAsia" w:ascii="宋体" w:hAnsi="宋体" w:cs="宋体"/>
                <w:spacing w:val="-10"/>
                <w:kern w:val="0"/>
                <w:sz w:val="24"/>
              </w:rPr>
              <w:t>公</w:t>
            </w:r>
            <w:r>
              <w:rPr>
                <w:rFonts w:hint="eastAsia" w:ascii="宋体" w:hAnsi="宋体" w:cs="宋体"/>
                <w:spacing w:val="-7"/>
                <w:kern w:val="0"/>
                <w:sz w:val="24"/>
              </w:rPr>
              <w:t>司</w:t>
            </w:r>
            <w:r>
              <w:rPr>
                <w:rFonts w:hint="eastAsia" w:ascii="宋体" w:hAnsi="宋体" w:cs="宋体"/>
                <w:spacing w:val="-5"/>
                <w:kern w:val="0"/>
                <w:sz w:val="24"/>
              </w:rPr>
              <w:t>现有主要查体</w:t>
            </w:r>
            <w:r>
              <w:rPr>
                <w:rFonts w:hint="eastAsia" w:ascii="宋体" w:hAnsi="宋体" w:cs="宋体"/>
                <w:spacing w:val="-2"/>
                <w:kern w:val="0"/>
                <w:sz w:val="24"/>
              </w:rPr>
              <w:t>设备</w:t>
            </w:r>
          </w:p>
        </w:tc>
        <w:tc>
          <w:tcPr>
            <w:tcW w:w="7500" w:type="dxa"/>
            <w:gridSpan w:val="6"/>
            <w:vAlign w:val="center"/>
          </w:tcPr>
          <w:p>
            <w:pPr>
              <w:widowControl/>
              <w:jc w:val="left"/>
              <w:rPr>
                <w:rFonts w:ascii="宋体" w:hAnsi="宋体" w:cs="宋体"/>
                <w:kern w:val="0"/>
                <w:sz w:val="24"/>
              </w:rPr>
            </w:pPr>
            <w:r>
              <w:rPr>
                <w:rFonts w:hint="eastAsia" w:ascii="宋体" w:hAnsi="宋体" w:cs="宋体"/>
                <w:kern w:val="0"/>
                <w:sz w:val="24"/>
                <w:lang w:bidi="ar"/>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5" w:hRule="atLeast"/>
        </w:trPr>
        <w:tc>
          <w:tcPr>
            <w:tcW w:w="1956" w:type="dxa"/>
            <w:vAlign w:val="center"/>
          </w:tcPr>
          <w:p>
            <w:pPr>
              <w:widowControl/>
              <w:jc w:val="center"/>
              <w:textAlignment w:val="center"/>
              <w:rPr>
                <w:rFonts w:ascii="宋体" w:hAnsi="宋体" w:cs="宋体"/>
                <w:kern w:val="0"/>
                <w:sz w:val="24"/>
              </w:rPr>
            </w:pPr>
            <w:r>
              <w:rPr>
                <w:rFonts w:hint="eastAsia" w:ascii="宋体" w:hAnsi="宋体" w:cs="宋体"/>
                <w:kern w:val="0"/>
                <w:sz w:val="24"/>
                <w:lang w:bidi="ar"/>
              </w:rPr>
              <w:t>近三或五年企业类似业绩及履约情况</w:t>
            </w:r>
          </w:p>
        </w:tc>
        <w:tc>
          <w:tcPr>
            <w:tcW w:w="7500" w:type="dxa"/>
            <w:gridSpan w:val="6"/>
            <w:vAlign w:val="center"/>
          </w:tcPr>
          <w:p>
            <w:pPr>
              <w:widowControl/>
              <w:jc w:val="left"/>
              <w:rPr>
                <w:rFonts w:ascii="宋体" w:hAnsi="宋体" w:cs="宋体"/>
                <w:kern w:val="0"/>
                <w:sz w:val="24"/>
              </w:rPr>
            </w:pPr>
            <w:r>
              <w:rPr>
                <w:rFonts w:hint="eastAsia" w:ascii="宋体" w:hAnsi="宋体" w:cs="宋体"/>
                <w:kern w:val="0"/>
                <w:sz w:val="24"/>
                <w:lang w:bidi="ar"/>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0" w:hRule="atLeast"/>
        </w:trPr>
        <w:tc>
          <w:tcPr>
            <w:tcW w:w="1956" w:type="dxa"/>
            <w:vAlign w:val="center"/>
          </w:tcPr>
          <w:p>
            <w:pPr>
              <w:widowControl/>
              <w:jc w:val="center"/>
              <w:textAlignment w:val="center"/>
              <w:rPr>
                <w:rFonts w:ascii="宋体" w:hAnsi="宋体" w:cs="宋体"/>
                <w:kern w:val="0"/>
                <w:sz w:val="24"/>
              </w:rPr>
            </w:pPr>
            <w:r>
              <w:rPr>
                <w:rFonts w:hint="eastAsia" w:ascii="宋体" w:hAnsi="宋体" w:cs="宋体"/>
                <w:kern w:val="0"/>
                <w:sz w:val="24"/>
                <w:lang w:bidi="ar"/>
              </w:rPr>
              <w:t>服务及质量</w:t>
            </w:r>
          </w:p>
        </w:tc>
        <w:tc>
          <w:tcPr>
            <w:tcW w:w="7500" w:type="dxa"/>
            <w:gridSpan w:val="6"/>
            <w:vAlign w:val="center"/>
          </w:tcPr>
          <w:p>
            <w:pPr>
              <w:widowControl/>
              <w:jc w:val="left"/>
              <w:rPr>
                <w:rFonts w:ascii="宋体" w:hAnsi="宋体" w:cs="宋体"/>
                <w:kern w:val="0"/>
                <w:sz w:val="24"/>
              </w:rPr>
            </w:pPr>
            <w:r>
              <w:rPr>
                <w:rFonts w:hint="eastAsia" w:ascii="宋体" w:hAnsi="宋体" w:cs="宋体"/>
                <w:kern w:val="0"/>
                <w:sz w:val="24"/>
                <w:lang w:bidi="ar"/>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04" w:hRule="atLeast"/>
        </w:trPr>
        <w:tc>
          <w:tcPr>
            <w:tcW w:w="1956" w:type="dxa"/>
            <w:vAlign w:val="center"/>
          </w:tcPr>
          <w:p>
            <w:pPr>
              <w:widowControl/>
              <w:textAlignment w:val="center"/>
              <w:rPr>
                <w:rFonts w:ascii="宋体" w:hAnsi="宋体" w:cs="宋体"/>
                <w:kern w:val="0"/>
                <w:sz w:val="24"/>
                <w:lang w:bidi="ar"/>
              </w:rPr>
            </w:pPr>
            <w:r>
              <w:rPr>
                <w:rFonts w:hint="eastAsia" w:ascii="宋体" w:hAnsi="宋体" w:cs="宋体"/>
                <w:spacing w:val="-4"/>
                <w:kern w:val="0"/>
                <w:sz w:val="24"/>
              </w:rPr>
              <w:t>对本项目在计划、进度、财务等方面采取的组织措施和相</w:t>
            </w:r>
            <w:r>
              <w:rPr>
                <w:rFonts w:hint="eastAsia" w:ascii="宋体" w:hAnsi="宋体" w:cs="宋体"/>
                <w:spacing w:val="-2"/>
                <w:kern w:val="0"/>
                <w:sz w:val="24"/>
              </w:rPr>
              <w:t>关</w:t>
            </w:r>
            <w:r>
              <w:rPr>
                <w:rFonts w:hint="eastAsia" w:ascii="宋体" w:hAnsi="宋体" w:cs="宋体"/>
                <w:spacing w:val="-3"/>
                <w:kern w:val="0"/>
                <w:sz w:val="24"/>
              </w:rPr>
              <w:t>人</w:t>
            </w:r>
            <w:r>
              <w:rPr>
                <w:rFonts w:hint="eastAsia" w:ascii="宋体" w:hAnsi="宋体" w:cs="宋体"/>
                <w:spacing w:val="-2"/>
                <w:kern w:val="0"/>
                <w:sz w:val="24"/>
              </w:rPr>
              <w:t>员简介</w:t>
            </w:r>
          </w:p>
        </w:tc>
        <w:tc>
          <w:tcPr>
            <w:tcW w:w="7500" w:type="dxa"/>
            <w:gridSpan w:val="6"/>
            <w:vAlign w:val="center"/>
          </w:tcPr>
          <w:p>
            <w:pPr>
              <w:widowControl/>
              <w:jc w:val="left"/>
              <w:rPr>
                <w:rFonts w:ascii="宋体" w:hAnsi="宋体" w:cs="宋体"/>
                <w:kern w:val="0"/>
                <w:sz w:val="24"/>
                <w:lang w:bidi="ar"/>
              </w:rPr>
            </w:pPr>
          </w:p>
        </w:tc>
      </w:tr>
    </w:tbl>
    <w:p>
      <w:pPr>
        <w:pStyle w:val="8"/>
        <w:spacing w:line="360" w:lineRule="auto"/>
        <w:ind w:firstLine="442"/>
        <w:rPr>
          <w:rFonts w:hAnsi="宋体"/>
          <w:b/>
        </w:rPr>
      </w:pPr>
    </w:p>
    <w:p>
      <w:pPr>
        <w:pStyle w:val="8"/>
        <w:spacing w:line="360" w:lineRule="auto"/>
        <w:ind w:firstLine="2530" w:firstLineChars="700"/>
        <w:rPr>
          <w:rFonts w:hAnsi="宋体"/>
          <w:b/>
          <w:bCs/>
          <w:sz w:val="36"/>
          <w:szCs w:val="36"/>
        </w:rPr>
      </w:pPr>
    </w:p>
    <w:p>
      <w:pPr>
        <w:rPr>
          <w:rFonts w:hint="eastAsia" w:eastAsia="黑体"/>
          <w:color w:val="000000"/>
          <w:sz w:val="28"/>
          <w:szCs w:val="28"/>
        </w:rPr>
      </w:pPr>
      <w:bookmarkStart w:id="7" w:name="_Toc14904"/>
    </w:p>
    <w:p>
      <w:pPr>
        <w:rPr>
          <w:rFonts w:hint="eastAsia" w:eastAsia="黑体"/>
          <w:color w:val="000000"/>
          <w:sz w:val="28"/>
          <w:szCs w:val="28"/>
        </w:rPr>
      </w:pPr>
      <w:r>
        <w:rPr>
          <w:rFonts w:hint="eastAsia" w:eastAsia="黑体"/>
          <w:color w:val="000000"/>
          <w:sz w:val="28"/>
          <w:szCs w:val="28"/>
        </w:rPr>
        <w:t>附件</w:t>
      </w:r>
      <w:r>
        <w:rPr>
          <w:rFonts w:eastAsia="黑体"/>
          <w:color w:val="000000"/>
          <w:sz w:val="28"/>
          <w:szCs w:val="28"/>
        </w:rPr>
        <w:t>10</w:t>
      </w:r>
    </w:p>
    <w:p>
      <w:pPr>
        <w:jc w:val="center"/>
        <w:rPr>
          <w:rFonts w:hint="eastAsia" w:hAnsi="宋体" w:cs="宋体"/>
          <w:b/>
          <w:color w:val="000000"/>
          <w:sz w:val="28"/>
          <w:szCs w:val="28"/>
        </w:rPr>
      </w:pPr>
      <w:r>
        <w:rPr>
          <w:rFonts w:hint="eastAsia" w:hAnsi="宋体" w:cs="宋体"/>
          <w:b/>
          <w:color w:val="000000"/>
          <w:sz w:val="28"/>
          <w:szCs w:val="28"/>
        </w:rPr>
        <w:t>服务质量保证承诺</w:t>
      </w:r>
    </w:p>
    <w:p>
      <w:pPr>
        <w:jc w:val="center"/>
        <w:rPr>
          <w:rFonts w:hint="eastAsia" w:hAnsi="宋体" w:cs="宋体"/>
          <w:b/>
          <w:color w:val="000000"/>
          <w:sz w:val="28"/>
          <w:szCs w:val="28"/>
        </w:rPr>
      </w:pPr>
    </w:p>
    <w:tbl>
      <w:tblPr>
        <w:tblStyle w:val="13"/>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66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44" w:hRule="atLeast"/>
          <w:jc w:val="center"/>
        </w:trPr>
        <w:tc>
          <w:tcPr>
            <w:tcW w:w="9667" w:type="dxa"/>
            <w:noWrap w:val="0"/>
            <w:vAlign w:val="top"/>
          </w:tcPr>
          <w:p>
            <w:pPr>
              <w:pStyle w:val="9"/>
              <w:rPr>
                <w:rFonts w:hAnsi="宋体"/>
                <w:i/>
                <w:iCs/>
                <w:color w:val="000000"/>
                <w:sz w:val="28"/>
                <w:szCs w:val="28"/>
              </w:rPr>
            </w:pPr>
            <w:r>
              <w:rPr>
                <w:rFonts w:hint="eastAsia" w:hAnsi="宋体"/>
                <w:color w:val="000000"/>
                <w:sz w:val="28"/>
                <w:szCs w:val="28"/>
                <w:u w:val="single"/>
              </w:rPr>
              <w:t xml:space="preserve">               公司:</w:t>
            </w:r>
            <w:r>
              <w:rPr>
                <w:rFonts w:hint="eastAsia" w:hAnsi="宋体"/>
                <w:i/>
                <w:iCs/>
                <w:color w:val="000000"/>
                <w:sz w:val="28"/>
                <w:szCs w:val="28"/>
              </w:rPr>
              <w:t>（招标人全称）</w:t>
            </w:r>
          </w:p>
          <w:p>
            <w:pPr>
              <w:ind w:firstLine="560" w:firstLineChars="200"/>
              <w:rPr>
                <w:rFonts w:hint="eastAsia" w:hAnsi="宋体"/>
                <w:color w:val="000000"/>
                <w:sz w:val="28"/>
                <w:szCs w:val="28"/>
              </w:rPr>
            </w:pPr>
            <w:r>
              <w:rPr>
                <w:rFonts w:hint="eastAsia" w:hAnsi="宋体"/>
                <w:color w:val="000000"/>
                <w:sz w:val="28"/>
                <w:szCs w:val="28"/>
              </w:rPr>
              <w:t>我代表(</w:t>
            </w:r>
            <w:r>
              <w:rPr>
                <w:rFonts w:hint="eastAsia" w:hAnsi="宋体"/>
                <w:i/>
                <w:color w:val="000000"/>
                <w:sz w:val="28"/>
                <w:szCs w:val="28"/>
              </w:rPr>
              <w:t>投标单位名称</w:t>
            </w:r>
            <w:r>
              <w:rPr>
                <w:rFonts w:hint="eastAsia" w:hAnsi="宋体"/>
                <w:color w:val="000000"/>
                <w:sz w:val="28"/>
                <w:szCs w:val="28"/>
              </w:rPr>
              <w:t>)为保证中标项目的服务质量特作如下承诺：</w:t>
            </w:r>
          </w:p>
          <w:p>
            <w:pPr>
              <w:ind w:firstLine="480"/>
              <w:rPr>
                <w:rFonts w:hint="eastAsia" w:hAnsi="宋体"/>
                <w:color w:val="000000"/>
                <w:sz w:val="28"/>
                <w:szCs w:val="28"/>
              </w:rPr>
            </w:pPr>
          </w:p>
          <w:p>
            <w:pPr>
              <w:ind w:firstLine="560" w:firstLineChars="200"/>
              <w:rPr>
                <w:rFonts w:hint="eastAsia" w:hAnsi="宋体"/>
                <w:color w:val="000000"/>
                <w:sz w:val="28"/>
                <w:szCs w:val="28"/>
                <w:u w:val="single"/>
              </w:rPr>
            </w:pPr>
            <w:r>
              <w:rPr>
                <w:rFonts w:hint="eastAsia" w:hAnsi="宋体"/>
                <w:color w:val="000000"/>
                <w:sz w:val="28"/>
                <w:szCs w:val="28"/>
                <w:u w:val="single"/>
              </w:rPr>
              <w:t xml:space="preserve">                                                                       </w:t>
            </w:r>
          </w:p>
          <w:p>
            <w:pPr>
              <w:ind w:firstLine="560" w:firstLineChars="200"/>
              <w:rPr>
                <w:rFonts w:hint="eastAsia" w:hAnsi="宋体"/>
                <w:color w:val="000000"/>
                <w:sz w:val="28"/>
                <w:szCs w:val="28"/>
                <w:u w:val="single"/>
              </w:rPr>
            </w:pPr>
            <w:r>
              <w:rPr>
                <w:rFonts w:hint="eastAsia" w:hAnsi="宋体"/>
                <w:color w:val="000000"/>
                <w:sz w:val="28"/>
                <w:szCs w:val="28"/>
                <w:u w:val="single"/>
              </w:rPr>
              <w:t xml:space="preserve">                                                                       </w:t>
            </w:r>
          </w:p>
          <w:p>
            <w:pPr>
              <w:ind w:firstLine="560" w:firstLineChars="200"/>
              <w:rPr>
                <w:rFonts w:hint="eastAsia" w:hAnsi="宋体"/>
                <w:color w:val="000000"/>
                <w:sz w:val="28"/>
                <w:szCs w:val="28"/>
                <w:u w:val="single"/>
              </w:rPr>
            </w:pPr>
            <w:r>
              <w:rPr>
                <w:rFonts w:hint="eastAsia" w:hAnsi="宋体"/>
                <w:color w:val="000000"/>
                <w:sz w:val="28"/>
                <w:szCs w:val="28"/>
                <w:u w:val="single"/>
              </w:rPr>
              <w:t xml:space="preserve">                                                                       </w:t>
            </w:r>
          </w:p>
          <w:p>
            <w:pPr>
              <w:rPr>
                <w:rFonts w:hint="eastAsia" w:hAnsi="宋体" w:cs="宋体"/>
                <w:color w:val="000000"/>
                <w:sz w:val="28"/>
                <w:szCs w:val="28"/>
              </w:rPr>
            </w:pPr>
            <w:r>
              <w:rPr>
                <w:rFonts w:hint="eastAsia" w:hAnsi="宋体"/>
                <w:color w:val="000000"/>
                <w:sz w:val="28"/>
                <w:szCs w:val="28"/>
                <w:u w:val="single"/>
              </w:rPr>
              <w:t xml:space="preserve">                           </w:t>
            </w:r>
          </w:p>
          <w:p>
            <w:pPr>
              <w:rPr>
                <w:rFonts w:hint="eastAsia" w:hAnsi="宋体" w:cs="宋体"/>
                <w:color w:val="000000"/>
                <w:sz w:val="28"/>
                <w:szCs w:val="28"/>
              </w:rPr>
            </w:pPr>
          </w:p>
          <w:p>
            <w:pPr>
              <w:rPr>
                <w:rFonts w:hint="eastAsia" w:hAnsi="宋体" w:cs="宋体"/>
                <w:color w:val="000000"/>
                <w:sz w:val="28"/>
                <w:szCs w:val="28"/>
                <w:u w:val="single"/>
              </w:rPr>
            </w:pPr>
            <w:r>
              <w:rPr>
                <w:rFonts w:hint="eastAsia" w:hAnsi="宋体" w:cs="宋体"/>
                <w:color w:val="000000"/>
                <w:spacing w:val="10"/>
                <w:sz w:val="28"/>
                <w:szCs w:val="28"/>
              </w:rPr>
              <w:t>投标人全称（盖章）                     投标人代表签字</w:t>
            </w:r>
            <w:r>
              <w:rPr>
                <w:rFonts w:hint="eastAsia" w:hAnsi="宋体" w:cs="宋体"/>
                <w:color w:val="000000"/>
                <w:sz w:val="28"/>
                <w:szCs w:val="28"/>
              </w:rPr>
              <w:t>：</w:t>
            </w:r>
            <w:r>
              <w:rPr>
                <w:rFonts w:hint="eastAsia" w:hAnsi="宋体" w:cs="宋体"/>
                <w:color w:val="000000"/>
                <w:sz w:val="28"/>
                <w:szCs w:val="28"/>
                <w:u w:val="single"/>
              </w:rPr>
              <w:t xml:space="preserve">                             </w:t>
            </w:r>
          </w:p>
          <w:p>
            <w:pPr>
              <w:rPr>
                <w:rFonts w:hint="eastAsia" w:hAnsi="宋体" w:cs="宋体"/>
                <w:b/>
                <w:color w:val="000000"/>
                <w:sz w:val="28"/>
                <w:szCs w:val="28"/>
              </w:rPr>
            </w:pPr>
          </w:p>
        </w:tc>
      </w:tr>
    </w:tbl>
    <w:p>
      <w:pPr>
        <w:rPr>
          <w:rFonts w:hint="eastAsia" w:hAnsi="宋体" w:cs="宋体"/>
          <w:b/>
          <w:color w:val="000000"/>
          <w:sz w:val="28"/>
          <w:szCs w:val="28"/>
        </w:rPr>
      </w:pPr>
    </w:p>
    <w:p>
      <w:pPr>
        <w:jc w:val="center"/>
        <w:rPr>
          <w:rFonts w:hint="eastAsia" w:hAnsi="宋体" w:cs="宋体"/>
          <w:b/>
          <w:color w:val="000000"/>
          <w:sz w:val="28"/>
          <w:szCs w:val="28"/>
        </w:rPr>
      </w:pPr>
      <w:r>
        <w:rPr>
          <w:rFonts w:hint="eastAsia" w:hAnsi="宋体" w:cs="宋体"/>
          <w:b/>
          <w:color w:val="000000"/>
          <w:sz w:val="28"/>
          <w:szCs w:val="28"/>
        </w:rPr>
        <w:t xml:space="preserve"> 优质服务承诺</w:t>
      </w:r>
    </w:p>
    <w:p>
      <w:pPr>
        <w:rPr>
          <w:rFonts w:hint="eastAsia" w:hAnsi="宋体" w:cs="宋体"/>
          <w:b/>
          <w:color w:val="000000"/>
          <w:sz w:val="28"/>
          <w:szCs w:val="28"/>
        </w:rPr>
      </w:pPr>
    </w:p>
    <w:tbl>
      <w:tblPr>
        <w:tblStyle w:val="13"/>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66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43" w:hRule="atLeast"/>
          <w:jc w:val="center"/>
        </w:trPr>
        <w:tc>
          <w:tcPr>
            <w:tcW w:w="9667" w:type="dxa"/>
            <w:noWrap w:val="0"/>
            <w:vAlign w:val="top"/>
          </w:tcPr>
          <w:p>
            <w:pPr>
              <w:pStyle w:val="9"/>
              <w:rPr>
                <w:rFonts w:hAnsi="宋体"/>
                <w:i/>
                <w:iCs/>
                <w:color w:val="000000"/>
                <w:sz w:val="28"/>
                <w:szCs w:val="28"/>
              </w:rPr>
            </w:pPr>
            <w:r>
              <w:rPr>
                <w:rFonts w:hint="eastAsia" w:hAnsi="宋体"/>
                <w:color w:val="000000"/>
                <w:sz w:val="28"/>
                <w:szCs w:val="28"/>
                <w:u w:val="single"/>
              </w:rPr>
              <w:t xml:space="preserve">              公司:</w:t>
            </w:r>
            <w:r>
              <w:rPr>
                <w:rFonts w:hint="eastAsia" w:hAnsi="宋体"/>
                <w:i/>
                <w:iCs/>
                <w:color w:val="000000"/>
                <w:sz w:val="28"/>
                <w:szCs w:val="28"/>
              </w:rPr>
              <w:t>（招标人全称）</w:t>
            </w:r>
          </w:p>
          <w:p>
            <w:pPr>
              <w:rPr>
                <w:rFonts w:hint="eastAsia" w:hAnsi="宋体" w:cs="宋体"/>
                <w:color w:val="000000"/>
                <w:sz w:val="28"/>
                <w:szCs w:val="28"/>
              </w:rPr>
            </w:pPr>
          </w:p>
          <w:p>
            <w:pPr>
              <w:ind w:firstLine="480"/>
              <w:rPr>
                <w:rFonts w:hint="eastAsia" w:hAnsi="宋体"/>
                <w:color w:val="000000"/>
                <w:sz w:val="28"/>
                <w:szCs w:val="28"/>
              </w:rPr>
            </w:pPr>
            <w:r>
              <w:rPr>
                <w:rFonts w:hint="eastAsia" w:hAnsi="宋体"/>
                <w:color w:val="000000"/>
                <w:sz w:val="28"/>
                <w:szCs w:val="28"/>
              </w:rPr>
              <w:t>我代表（</w:t>
            </w:r>
            <w:r>
              <w:rPr>
                <w:rFonts w:hint="eastAsia" w:hAnsi="宋体"/>
                <w:i/>
                <w:color w:val="000000"/>
                <w:sz w:val="28"/>
                <w:szCs w:val="28"/>
              </w:rPr>
              <w:t>投标单位名称</w:t>
            </w:r>
            <w:r>
              <w:rPr>
                <w:rFonts w:hint="eastAsia" w:hAnsi="宋体"/>
                <w:color w:val="000000"/>
                <w:sz w:val="28"/>
                <w:szCs w:val="28"/>
              </w:rPr>
              <w:t>）对中标项目的优质服务作如下承诺：</w:t>
            </w:r>
          </w:p>
          <w:p>
            <w:pPr>
              <w:rPr>
                <w:rFonts w:hint="eastAsia" w:hAnsi="宋体" w:cs="宋体"/>
                <w:color w:val="000000"/>
                <w:sz w:val="28"/>
                <w:szCs w:val="28"/>
              </w:rPr>
            </w:pPr>
          </w:p>
          <w:p>
            <w:pPr>
              <w:rPr>
                <w:rFonts w:hint="eastAsia" w:hAnsi="宋体" w:cs="宋体"/>
                <w:color w:val="000000"/>
                <w:sz w:val="28"/>
                <w:szCs w:val="28"/>
                <w:u w:val="single"/>
              </w:rPr>
            </w:pPr>
            <w:r>
              <w:rPr>
                <w:rFonts w:hint="eastAsia" w:hAnsi="宋体" w:cs="宋体"/>
                <w:color w:val="000000"/>
                <w:spacing w:val="10"/>
                <w:sz w:val="28"/>
                <w:szCs w:val="28"/>
              </w:rPr>
              <w:t>投标人全称（盖章）                     投标人代表签字</w:t>
            </w:r>
            <w:r>
              <w:rPr>
                <w:rFonts w:hint="eastAsia" w:hAnsi="宋体" w:cs="宋体"/>
                <w:color w:val="000000"/>
                <w:sz w:val="28"/>
                <w:szCs w:val="28"/>
              </w:rPr>
              <w:t>：</w:t>
            </w:r>
            <w:r>
              <w:rPr>
                <w:rFonts w:hint="eastAsia" w:hAnsi="宋体" w:cs="宋体"/>
                <w:color w:val="000000"/>
                <w:sz w:val="28"/>
                <w:szCs w:val="28"/>
                <w:u w:val="single"/>
              </w:rPr>
              <w:t xml:space="preserve">                             </w:t>
            </w:r>
          </w:p>
          <w:p>
            <w:pPr>
              <w:rPr>
                <w:rFonts w:hint="eastAsia" w:hAnsi="宋体" w:cs="宋体"/>
                <w:b/>
                <w:color w:val="000000"/>
                <w:sz w:val="28"/>
                <w:szCs w:val="28"/>
              </w:rPr>
            </w:pPr>
          </w:p>
        </w:tc>
      </w:tr>
    </w:tbl>
    <w:p>
      <w:pPr>
        <w:adjustRightInd w:val="0"/>
        <w:snapToGrid w:val="0"/>
        <w:spacing w:line="360" w:lineRule="auto"/>
        <w:jc w:val="center"/>
        <w:outlineLvl w:val="0"/>
        <w:rPr>
          <w:rFonts w:ascii="宋体" w:hAnsi="宋体" w:cs="仿宋"/>
          <w:color w:val="000000"/>
          <w:sz w:val="28"/>
          <w:szCs w:val="28"/>
        </w:rPr>
      </w:pPr>
      <w:r>
        <w:rPr>
          <w:rFonts w:hint="eastAsia" w:ascii="宋体" w:hAnsi="宋体" w:cs="宋体"/>
          <w:b/>
          <w:bCs/>
          <w:color w:val="000000"/>
          <w:sz w:val="36"/>
          <w:szCs w:val="36"/>
          <w:lang w:bidi="ar"/>
        </w:rPr>
        <w:t>第四章  技术要求</w:t>
      </w:r>
      <w:bookmarkEnd w:id="7"/>
      <w:bookmarkStart w:id="8" w:name="_Hlk520901399"/>
      <w:bookmarkEnd w:id="8"/>
    </w:p>
    <w:p>
      <w:pPr>
        <w:pStyle w:val="2"/>
        <w:spacing w:line="240" w:lineRule="auto"/>
        <w:ind w:left="0" w:leftChars="0" w:firstLine="0" w:firstLineChars="0"/>
        <w:jc w:val="both"/>
        <w:rPr>
          <w:rFonts w:ascii="楷体_GB2312" w:hAnsi="楷体_GB2312" w:eastAsia="楷体_GB2312" w:cs="楷体_GB2312"/>
          <w:b/>
          <w:bCs/>
          <w:sz w:val="28"/>
          <w:szCs w:val="28"/>
          <w:lang w:eastAsia="zh-CN"/>
        </w:rPr>
      </w:pPr>
      <w:bookmarkStart w:id="9" w:name="OLE_LINK18"/>
      <w:bookmarkStart w:id="10" w:name="OLE_LINK19"/>
      <w:r>
        <w:rPr>
          <w:rFonts w:hint="eastAsia" w:ascii="楷体_GB2312" w:hAnsi="楷体_GB2312" w:eastAsia="楷体_GB2312" w:cs="楷体_GB2312"/>
          <w:b/>
          <w:bCs/>
          <w:sz w:val="28"/>
          <w:szCs w:val="28"/>
          <w:lang w:eastAsia="zh-CN"/>
        </w:rPr>
        <w:t>一、项目名称</w:t>
      </w:r>
    </w:p>
    <w:p>
      <w:pPr>
        <w:pStyle w:val="2"/>
        <w:spacing w:line="240" w:lineRule="auto"/>
        <w:ind w:left="0" w:leftChars="0" w:firstLine="560"/>
        <w:jc w:val="both"/>
        <w:rPr>
          <w:rFonts w:cs="仿宋_GB2312" w:asciiTheme="minorEastAsia" w:hAnsiTheme="minorEastAsia" w:eastAsiaTheme="minorEastAsia"/>
          <w:sz w:val="28"/>
          <w:szCs w:val="28"/>
          <w:lang w:eastAsia="zh-CN"/>
        </w:rPr>
      </w:pPr>
      <w:r>
        <w:rPr>
          <w:rFonts w:hint="eastAsia" w:cs="仿宋_GB2312" w:asciiTheme="minorEastAsia" w:hAnsiTheme="minorEastAsia" w:eastAsiaTheme="minorEastAsia"/>
          <w:sz w:val="28"/>
          <w:szCs w:val="28"/>
          <w:lang w:eastAsia="zh-CN"/>
        </w:rPr>
        <w:t>大同齿轮有限公司安全实训基地项目</w:t>
      </w:r>
    </w:p>
    <w:p>
      <w:pPr>
        <w:pStyle w:val="2"/>
        <w:spacing w:line="240" w:lineRule="auto"/>
        <w:ind w:left="0" w:leftChars="0" w:firstLine="0" w:firstLineChars="0"/>
        <w:jc w:val="both"/>
        <w:rPr>
          <w:rFonts w:ascii="楷体_GB2312" w:hAnsi="楷体_GB2312" w:eastAsia="楷体_GB2312" w:cs="楷体_GB2312"/>
          <w:b/>
          <w:bCs/>
          <w:sz w:val="28"/>
          <w:szCs w:val="28"/>
          <w:lang w:eastAsia="zh-CN"/>
        </w:rPr>
      </w:pPr>
      <w:r>
        <w:rPr>
          <w:rFonts w:hint="eastAsia" w:ascii="楷体_GB2312" w:hAnsi="楷体_GB2312" w:eastAsia="楷体_GB2312" w:cs="楷体_GB2312"/>
          <w:b/>
          <w:bCs/>
          <w:sz w:val="28"/>
          <w:szCs w:val="28"/>
          <w:lang w:eastAsia="zh-CN"/>
        </w:rPr>
        <w:t>二、货物一览表及技术要求</w:t>
      </w:r>
    </w:p>
    <w:tbl>
      <w:tblPr>
        <w:tblStyle w:val="13"/>
        <w:tblW w:w="9634" w:type="dxa"/>
        <w:jc w:val="center"/>
        <w:tblLayout w:type="fixed"/>
        <w:tblCellMar>
          <w:top w:w="0" w:type="dxa"/>
          <w:left w:w="0" w:type="dxa"/>
          <w:bottom w:w="0" w:type="dxa"/>
          <w:right w:w="0" w:type="dxa"/>
        </w:tblCellMar>
      </w:tblPr>
      <w:tblGrid>
        <w:gridCol w:w="733"/>
        <w:gridCol w:w="753"/>
        <w:gridCol w:w="770"/>
        <w:gridCol w:w="6297"/>
        <w:gridCol w:w="423"/>
        <w:gridCol w:w="658"/>
      </w:tblGrid>
      <w:tr>
        <w:tblPrEx>
          <w:tblCellMar>
            <w:top w:w="0" w:type="dxa"/>
            <w:left w:w="0" w:type="dxa"/>
            <w:bottom w:w="0" w:type="dxa"/>
            <w:right w:w="0" w:type="dxa"/>
          </w:tblCellMar>
        </w:tblPrEx>
        <w:trPr>
          <w:trHeight w:val="62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18"/>
              </w:rPr>
            </w:pPr>
            <w:r>
              <w:rPr>
                <w:rFonts w:hint="eastAsia" w:ascii="黑体" w:hAnsi="黑体" w:eastAsia="黑体" w:cs="宋体"/>
                <w:color w:val="000000"/>
                <w:sz w:val="20"/>
                <w:szCs w:val="18"/>
              </w:rPr>
              <w:t>序号</w:t>
            </w:r>
          </w:p>
        </w:tc>
        <w:tc>
          <w:tcPr>
            <w:tcW w:w="7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18"/>
              </w:rPr>
            </w:pPr>
            <w:r>
              <w:rPr>
                <w:rFonts w:hint="eastAsia" w:ascii="黑体" w:hAnsi="黑体" w:eastAsia="黑体" w:cs="宋体"/>
                <w:color w:val="000000"/>
                <w:sz w:val="20"/>
                <w:szCs w:val="18"/>
              </w:rPr>
              <w:t>货物</w:t>
            </w:r>
          </w:p>
          <w:p>
            <w:pPr>
              <w:widowControl/>
              <w:jc w:val="center"/>
              <w:textAlignment w:val="center"/>
              <w:rPr>
                <w:rFonts w:ascii="黑体" w:hAnsi="黑体" w:eastAsia="黑体" w:cs="宋体"/>
                <w:color w:val="000000"/>
                <w:sz w:val="20"/>
                <w:szCs w:val="18"/>
              </w:rPr>
            </w:pPr>
            <w:r>
              <w:rPr>
                <w:rFonts w:hint="eastAsia" w:ascii="黑体" w:hAnsi="黑体" w:eastAsia="黑体" w:cs="宋体"/>
                <w:color w:val="000000"/>
                <w:sz w:val="20"/>
                <w:szCs w:val="18"/>
              </w:rPr>
              <w:t>名称</w:t>
            </w:r>
          </w:p>
        </w:tc>
        <w:tc>
          <w:tcPr>
            <w:tcW w:w="7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黑体" w:hAnsi="黑体" w:eastAsia="黑体" w:cs="宋体"/>
                <w:color w:val="000000"/>
                <w:sz w:val="20"/>
                <w:szCs w:val="18"/>
              </w:rPr>
            </w:pPr>
            <w:r>
              <w:rPr>
                <w:rFonts w:hint="eastAsia" w:ascii="黑体" w:hAnsi="黑体" w:eastAsia="黑体" w:cs="宋体"/>
                <w:color w:val="000000"/>
                <w:sz w:val="20"/>
                <w:szCs w:val="18"/>
              </w:rPr>
              <w:t>特性</w:t>
            </w:r>
          </w:p>
          <w:p>
            <w:pPr>
              <w:widowControl/>
              <w:jc w:val="center"/>
              <w:textAlignment w:val="center"/>
              <w:rPr>
                <w:rFonts w:ascii="黑体" w:hAnsi="黑体" w:eastAsia="黑体" w:cs="宋体"/>
                <w:color w:val="000000"/>
                <w:sz w:val="20"/>
                <w:szCs w:val="18"/>
              </w:rPr>
            </w:pPr>
            <w:r>
              <w:rPr>
                <w:rFonts w:hint="eastAsia" w:ascii="黑体" w:hAnsi="黑体" w:eastAsia="黑体" w:cs="宋体"/>
                <w:color w:val="000000"/>
                <w:sz w:val="20"/>
                <w:szCs w:val="18"/>
              </w:rPr>
              <w:t>描述</w:t>
            </w:r>
          </w:p>
        </w:tc>
        <w:tc>
          <w:tcPr>
            <w:tcW w:w="62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黑体" w:hAnsi="黑体" w:eastAsia="黑体" w:cs="宋体"/>
                <w:color w:val="000000"/>
                <w:sz w:val="20"/>
                <w:szCs w:val="18"/>
              </w:rPr>
            </w:pPr>
            <w:r>
              <w:rPr>
                <w:rFonts w:hint="eastAsia" w:ascii="黑体" w:hAnsi="黑体" w:eastAsia="黑体" w:cs="宋体"/>
                <w:color w:val="000000"/>
                <w:sz w:val="20"/>
                <w:szCs w:val="18"/>
              </w:rPr>
              <w:t>规格、配置</w:t>
            </w:r>
          </w:p>
        </w:tc>
        <w:tc>
          <w:tcPr>
            <w:tcW w:w="42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黑体" w:hAnsi="黑体" w:eastAsia="黑体" w:cs="宋体"/>
                <w:color w:val="000000"/>
                <w:sz w:val="20"/>
                <w:szCs w:val="18"/>
              </w:rPr>
            </w:pPr>
            <w:r>
              <w:rPr>
                <w:rFonts w:hint="eastAsia" w:ascii="黑体" w:hAnsi="黑体" w:eastAsia="黑体" w:cs="宋体"/>
                <w:color w:val="000000"/>
                <w:sz w:val="20"/>
                <w:szCs w:val="18"/>
              </w:rPr>
              <w:t>数量</w:t>
            </w:r>
          </w:p>
        </w:tc>
        <w:tc>
          <w:tcPr>
            <w:tcW w:w="6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黑体" w:hAnsi="黑体" w:eastAsia="黑体" w:cs="宋体"/>
                <w:color w:val="000000"/>
                <w:sz w:val="20"/>
                <w:szCs w:val="18"/>
              </w:rPr>
            </w:pPr>
            <w:r>
              <w:rPr>
                <w:rFonts w:hint="eastAsia" w:ascii="黑体" w:hAnsi="黑体" w:eastAsia="黑体" w:cs="宋体"/>
                <w:color w:val="000000"/>
                <w:sz w:val="20"/>
                <w:szCs w:val="18"/>
              </w:rPr>
              <w:t>计量单位</w:t>
            </w:r>
          </w:p>
        </w:tc>
      </w:tr>
      <w:tr>
        <w:tblPrEx>
          <w:tblCellMar>
            <w:top w:w="0" w:type="dxa"/>
            <w:left w:w="0" w:type="dxa"/>
            <w:bottom w:w="0" w:type="dxa"/>
            <w:right w:w="0" w:type="dxa"/>
          </w:tblCellMar>
        </w:tblPrEx>
        <w:trPr>
          <w:trHeight w:val="455" w:hRule="atLeast"/>
          <w:jc w:val="center"/>
        </w:trPr>
        <w:tc>
          <w:tcPr>
            <w:tcW w:w="733"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r>
              <w:rPr>
                <w:rFonts w:hint="eastAsia" w:ascii="宋体" w:hAnsi="宋体" w:cs="宋体"/>
                <w:color w:val="000000"/>
                <w:sz w:val="18"/>
                <w:szCs w:val="18"/>
              </w:rPr>
              <w:t>1</w:t>
            </w:r>
          </w:p>
        </w:tc>
        <w:tc>
          <w:tcPr>
            <w:tcW w:w="753"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r>
              <w:rPr>
                <w:rFonts w:hint="eastAsia" w:ascii="宋体" w:hAnsi="宋体" w:cs="宋体"/>
                <w:color w:val="000000"/>
                <w:sz w:val="18"/>
                <w:szCs w:val="18"/>
              </w:rPr>
              <w:t>VR蛋仓安全培训系统</w:t>
            </w:r>
          </w:p>
        </w:tc>
        <w:tc>
          <w:tcPr>
            <w:tcW w:w="7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textAlignment w:val="center"/>
              <w:rPr>
                <w:rFonts w:ascii="宋体" w:hAnsi="宋体" w:cs="宋体"/>
                <w:color w:val="000000"/>
                <w:sz w:val="18"/>
                <w:szCs w:val="18"/>
              </w:rPr>
            </w:pPr>
            <w:r>
              <w:rPr>
                <w:rFonts w:hint="eastAsia" w:ascii="宋体" w:hAnsi="宋体" w:cs="宋体"/>
                <w:color w:val="000000"/>
                <w:sz w:val="18"/>
                <w:szCs w:val="18"/>
              </w:rPr>
              <w:t>触摸显示器</w:t>
            </w:r>
          </w:p>
        </w:tc>
        <w:tc>
          <w:tcPr>
            <w:tcW w:w="62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b/>
                <w:bCs/>
                <w:sz w:val="18"/>
                <w:szCs w:val="18"/>
              </w:rPr>
            </w:pPr>
            <w:r>
              <w:rPr>
                <w:rFonts w:hint="eastAsia" w:ascii="宋体" w:hAnsi="宋体" w:cs="宋体"/>
                <w:b/>
                <w:bCs/>
                <w:sz w:val="18"/>
                <w:szCs w:val="18"/>
              </w:rPr>
              <w:t xml:space="preserve">21.5寸，落地触控制显示屏  </w:t>
            </w:r>
          </w:p>
        </w:tc>
        <w:tc>
          <w:tcPr>
            <w:tcW w:w="42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1</w:t>
            </w:r>
          </w:p>
        </w:tc>
        <w:tc>
          <w:tcPr>
            <w:tcW w:w="6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套</w:t>
            </w:r>
          </w:p>
        </w:tc>
      </w:tr>
      <w:tr>
        <w:tblPrEx>
          <w:tblCellMar>
            <w:top w:w="0" w:type="dxa"/>
            <w:left w:w="0" w:type="dxa"/>
            <w:bottom w:w="0" w:type="dxa"/>
            <w:right w:w="0" w:type="dxa"/>
          </w:tblCellMar>
        </w:tblPrEx>
        <w:trPr>
          <w:trHeight w:val="1771" w:hRule="atLeast"/>
          <w:jc w:val="center"/>
        </w:trPr>
        <w:tc>
          <w:tcPr>
            <w:tcW w:w="733"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753"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7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textAlignment w:val="center"/>
              <w:rPr>
                <w:rFonts w:ascii="宋体" w:hAnsi="宋体" w:cs="宋体"/>
                <w:color w:val="000000"/>
                <w:sz w:val="18"/>
                <w:szCs w:val="18"/>
              </w:rPr>
            </w:pPr>
            <w:r>
              <w:rPr>
                <w:rFonts w:hint="eastAsia" w:ascii="宋体" w:hAnsi="宋体" w:cs="宋体"/>
                <w:color w:val="000000"/>
                <w:sz w:val="18"/>
                <w:szCs w:val="18"/>
              </w:rPr>
              <w:t>双人蛋仓</w:t>
            </w:r>
          </w:p>
        </w:tc>
        <w:tc>
          <w:tcPr>
            <w:tcW w:w="62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rPr>
                <w:rFonts w:ascii="宋体" w:hAnsi="宋体" w:cs="宋体"/>
                <w:sz w:val="18"/>
                <w:szCs w:val="18"/>
              </w:rPr>
            </w:pPr>
            <w:r>
              <w:rPr>
                <w:rFonts w:hint="eastAsia" w:ascii="宋体" w:hAnsi="宋体" w:cs="宋体"/>
                <w:sz w:val="18"/>
                <w:szCs w:val="18"/>
              </w:rPr>
              <w:t>双座太空舱产品功率 2KW</w:t>
            </w:r>
          </w:p>
          <w:p>
            <w:pPr>
              <w:widowControl/>
              <w:rPr>
                <w:rFonts w:ascii="宋体" w:hAnsi="宋体" w:cs="宋体"/>
                <w:sz w:val="18"/>
                <w:szCs w:val="18"/>
              </w:rPr>
            </w:pPr>
            <w:r>
              <w:rPr>
                <w:rFonts w:hint="eastAsia" w:ascii="宋体" w:hAnsi="宋体" w:cs="宋体"/>
                <w:sz w:val="18"/>
                <w:szCs w:val="18"/>
              </w:rPr>
              <w:t>产品电压 220V</w:t>
            </w:r>
          </w:p>
          <w:p>
            <w:pPr>
              <w:widowControl/>
              <w:rPr>
                <w:rFonts w:ascii="宋体" w:hAnsi="宋体" w:cs="宋体"/>
                <w:sz w:val="18"/>
                <w:szCs w:val="18"/>
              </w:rPr>
            </w:pPr>
            <w:r>
              <w:rPr>
                <w:rFonts w:hint="eastAsia" w:ascii="宋体" w:hAnsi="宋体" w:cs="宋体"/>
                <w:sz w:val="18"/>
                <w:szCs w:val="18"/>
              </w:rPr>
              <w:t>产品净重 200KG</w:t>
            </w:r>
          </w:p>
          <w:p>
            <w:pPr>
              <w:widowControl/>
              <w:rPr>
                <w:rFonts w:ascii="宋体" w:hAnsi="宋体" w:cs="宋体"/>
                <w:sz w:val="18"/>
                <w:szCs w:val="18"/>
              </w:rPr>
            </w:pPr>
            <w:r>
              <w:rPr>
                <w:rFonts w:hint="eastAsia" w:ascii="宋体" w:hAnsi="宋体" w:cs="宋体"/>
                <w:sz w:val="18"/>
                <w:szCs w:val="18"/>
              </w:rPr>
              <w:t>倾斜角度 前后15°，左右25°</w:t>
            </w:r>
          </w:p>
          <w:p>
            <w:pPr>
              <w:widowControl/>
              <w:rPr>
                <w:rFonts w:ascii="宋体" w:hAnsi="宋体" w:cs="宋体"/>
                <w:sz w:val="18"/>
                <w:szCs w:val="18"/>
              </w:rPr>
            </w:pPr>
            <w:r>
              <w:rPr>
                <w:rFonts w:hint="eastAsia" w:ascii="宋体" w:hAnsi="宋体" w:cs="宋体"/>
                <w:sz w:val="18"/>
                <w:szCs w:val="18"/>
              </w:rPr>
              <w:t>传动方式 电缸</w:t>
            </w:r>
          </w:p>
          <w:p>
            <w:pPr>
              <w:widowControl/>
              <w:rPr>
                <w:rFonts w:ascii="宋体" w:hAnsi="宋体" w:cs="宋体"/>
                <w:sz w:val="18"/>
                <w:szCs w:val="18"/>
              </w:rPr>
            </w:pPr>
            <w:r>
              <w:rPr>
                <w:rFonts w:hint="eastAsia" w:ascii="宋体" w:hAnsi="宋体" w:cs="宋体"/>
                <w:sz w:val="18"/>
                <w:szCs w:val="18"/>
              </w:rPr>
              <w:t>产品尺寸1.71*1.04*1.88m套</w:t>
            </w:r>
          </w:p>
        </w:tc>
        <w:tc>
          <w:tcPr>
            <w:tcW w:w="42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1</w:t>
            </w:r>
          </w:p>
        </w:tc>
        <w:tc>
          <w:tcPr>
            <w:tcW w:w="6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套</w:t>
            </w:r>
          </w:p>
        </w:tc>
      </w:tr>
      <w:tr>
        <w:tblPrEx>
          <w:tblCellMar>
            <w:top w:w="0" w:type="dxa"/>
            <w:left w:w="0" w:type="dxa"/>
            <w:bottom w:w="0" w:type="dxa"/>
            <w:right w:w="0" w:type="dxa"/>
          </w:tblCellMar>
        </w:tblPrEx>
        <w:trPr>
          <w:trHeight w:val="697" w:hRule="atLeast"/>
          <w:jc w:val="center"/>
        </w:trPr>
        <w:tc>
          <w:tcPr>
            <w:tcW w:w="733"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753"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7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textAlignment w:val="center"/>
              <w:rPr>
                <w:rFonts w:ascii="宋体" w:hAnsi="宋体" w:cs="宋体"/>
                <w:sz w:val="18"/>
                <w:szCs w:val="18"/>
              </w:rPr>
            </w:pPr>
            <w:r>
              <w:rPr>
                <w:rFonts w:hint="eastAsia" w:ascii="宋体" w:hAnsi="宋体" w:cs="宋体"/>
                <w:sz w:val="18"/>
                <w:szCs w:val="18"/>
              </w:rPr>
              <w:t>传输线</w:t>
            </w:r>
          </w:p>
        </w:tc>
        <w:tc>
          <w:tcPr>
            <w:tcW w:w="629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cs="宋体"/>
                <w:sz w:val="18"/>
                <w:szCs w:val="18"/>
              </w:rPr>
            </w:pPr>
            <w:r>
              <w:rPr>
                <w:rFonts w:hint="eastAsia" w:ascii="宋体" w:hAnsi="宋体" w:cs="宋体"/>
                <w:sz w:val="18"/>
                <w:szCs w:val="18"/>
              </w:rPr>
              <w:t>视频传输线 DVI延长线 D-SUB HDB15PIN标准插 头 ，抗干扰双磁环设计, 能有效消减外界产生的磁场串扰 。</w:t>
            </w:r>
          </w:p>
        </w:tc>
        <w:tc>
          <w:tcPr>
            <w:tcW w:w="42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1</w:t>
            </w:r>
          </w:p>
        </w:tc>
        <w:tc>
          <w:tcPr>
            <w:tcW w:w="6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套</w:t>
            </w:r>
          </w:p>
        </w:tc>
      </w:tr>
      <w:tr>
        <w:tblPrEx>
          <w:tblCellMar>
            <w:top w:w="0" w:type="dxa"/>
            <w:left w:w="0" w:type="dxa"/>
            <w:bottom w:w="0" w:type="dxa"/>
            <w:right w:w="0" w:type="dxa"/>
          </w:tblCellMar>
        </w:tblPrEx>
        <w:trPr>
          <w:trHeight w:val="672" w:hRule="atLeast"/>
          <w:jc w:val="center"/>
        </w:trPr>
        <w:tc>
          <w:tcPr>
            <w:tcW w:w="733"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753"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77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textAlignment w:val="center"/>
              <w:rPr>
                <w:rFonts w:ascii="宋体" w:hAnsi="宋体" w:cs="宋体"/>
                <w:sz w:val="18"/>
                <w:szCs w:val="18"/>
              </w:rPr>
            </w:pPr>
            <w:r>
              <w:rPr>
                <w:rFonts w:hint="eastAsia" w:ascii="宋体" w:hAnsi="宋体" w:cs="宋体"/>
                <w:sz w:val="18"/>
                <w:szCs w:val="18"/>
              </w:rPr>
              <w:t>显示设备</w:t>
            </w:r>
          </w:p>
        </w:tc>
        <w:tc>
          <w:tcPr>
            <w:tcW w:w="6297"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cs="宋体"/>
                <w:sz w:val="18"/>
                <w:szCs w:val="18"/>
              </w:rPr>
            </w:pPr>
            <w:r>
              <w:rPr>
                <w:rFonts w:hint="eastAsia" w:ascii="宋体" w:hAnsi="宋体" w:cs="宋体"/>
                <w:sz w:val="18"/>
                <w:szCs w:val="18"/>
              </w:rPr>
              <w:t>头戴式显示设备 大鹏E3 S音响系统</w:t>
            </w:r>
          </w:p>
        </w:tc>
        <w:tc>
          <w:tcPr>
            <w:tcW w:w="42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1</w:t>
            </w:r>
          </w:p>
        </w:tc>
        <w:tc>
          <w:tcPr>
            <w:tcW w:w="6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bookmarkStart w:id="11" w:name="OLE_LINK20"/>
            <w:bookmarkStart w:id="12" w:name="OLE_LINK21"/>
            <w:r>
              <w:rPr>
                <w:rFonts w:hint="eastAsia" w:ascii="宋体" w:hAnsi="宋体" w:cs="宋体"/>
                <w:color w:val="000000"/>
                <w:sz w:val="18"/>
                <w:szCs w:val="18"/>
              </w:rPr>
              <w:t>套</w:t>
            </w:r>
            <w:bookmarkEnd w:id="11"/>
            <w:bookmarkEnd w:id="12"/>
          </w:p>
        </w:tc>
      </w:tr>
      <w:tr>
        <w:tblPrEx>
          <w:tblCellMar>
            <w:top w:w="0" w:type="dxa"/>
            <w:left w:w="0" w:type="dxa"/>
            <w:bottom w:w="0" w:type="dxa"/>
            <w:right w:w="0" w:type="dxa"/>
          </w:tblCellMar>
        </w:tblPrEx>
        <w:trPr>
          <w:trHeight w:val="454" w:hRule="atLeast"/>
          <w:jc w:val="center"/>
        </w:trPr>
        <w:tc>
          <w:tcPr>
            <w:tcW w:w="733"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753"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77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textAlignment w:val="center"/>
              <w:rPr>
                <w:rFonts w:ascii="宋体" w:hAnsi="宋体" w:cs="宋体"/>
                <w:sz w:val="18"/>
                <w:szCs w:val="18"/>
              </w:rPr>
            </w:pPr>
            <w:r>
              <w:rPr>
                <w:rFonts w:hint="eastAsia" w:ascii="宋体" w:hAnsi="宋体" w:cs="宋体"/>
                <w:sz w:val="18"/>
                <w:szCs w:val="18"/>
              </w:rPr>
              <w:t>多媒体</w:t>
            </w:r>
          </w:p>
        </w:tc>
        <w:tc>
          <w:tcPr>
            <w:tcW w:w="6297"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cs="宋体"/>
                <w:sz w:val="18"/>
                <w:szCs w:val="18"/>
              </w:rPr>
            </w:pPr>
            <w:r>
              <w:rPr>
                <w:rFonts w:hint="eastAsia" w:ascii="宋体" w:hAnsi="宋体" w:cs="宋体"/>
                <w:sz w:val="18"/>
                <w:szCs w:val="18"/>
              </w:rPr>
              <w:t>音箱</w:t>
            </w:r>
          </w:p>
        </w:tc>
        <w:tc>
          <w:tcPr>
            <w:tcW w:w="42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1</w:t>
            </w:r>
          </w:p>
        </w:tc>
        <w:tc>
          <w:tcPr>
            <w:tcW w:w="6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台</w:t>
            </w:r>
          </w:p>
        </w:tc>
      </w:tr>
      <w:tr>
        <w:tblPrEx>
          <w:tblCellMar>
            <w:top w:w="0" w:type="dxa"/>
            <w:left w:w="0" w:type="dxa"/>
            <w:bottom w:w="0" w:type="dxa"/>
            <w:right w:w="0" w:type="dxa"/>
          </w:tblCellMar>
        </w:tblPrEx>
        <w:trPr>
          <w:trHeight w:val="336" w:hRule="atLeast"/>
          <w:jc w:val="center"/>
        </w:trPr>
        <w:tc>
          <w:tcPr>
            <w:tcW w:w="733"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753"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77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18"/>
                <w:szCs w:val="18"/>
              </w:rPr>
            </w:pPr>
            <w:r>
              <w:rPr>
                <w:rFonts w:hint="eastAsia" w:ascii="宋体" w:hAnsi="宋体" w:cs="宋体"/>
                <w:sz w:val="18"/>
                <w:szCs w:val="18"/>
              </w:rPr>
              <w:t>控制器</w:t>
            </w:r>
          </w:p>
        </w:tc>
        <w:tc>
          <w:tcPr>
            <w:tcW w:w="6297"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cs="宋体"/>
                <w:sz w:val="18"/>
                <w:szCs w:val="18"/>
              </w:rPr>
            </w:pPr>
            <w:r>
              <w:rPr>
                <w:rFonts w:hint="eastAsia" w:ascii="宋体" w:hAnsi="宋体" w:cs="宋体"/>
                <w:sz w:val="18"/>
                <w:szCs w:val="18"/>
              </w:rPr>
              <w:t>控制设备及软件系统</w:t>
            </w:r>
          </w:p>
        </w:tc>
        <w:tc>
          <w:tcPr>
            <w:tcW w:w="42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1</w:t>
            </w:r>
          </w:p>
        </w:tc>
        <w:tc>
          <w:tcPr>
            <w:tcW w:w="6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套</w:t>
            </w:r>
          </w:p>
        </w:tc>
      </w:tr>
      <w:tr>
        <w:tblPrEx>
          <w:tblCellMar>
            <w:top w:w="0" w:type="dxa"/>
            <w:left w:w="0" w:type="dxa"/>
            <w:bottom w:w="0" w:type="dxa"/>
            <w:right w:w="0" w:type="dxa"/>
          </w:tblCellMar>
        </w:tblPrEx>
        <w:trPr>
          <w:trHeight w:val="607" w:hRule="atLeast"/>
          <w:jc w:val="center"/>
        </w:trPr>
        <w:tc>
          <w:tcPr>
            <w:tcW w:w="733"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753"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77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18"/>
                <w:szCs w:val="18"/>
              </w:rPr>
            </w:pPr>
            <w:r>
              <w:rPr>
                <w:rFonts w:hint="eastAsia" w:ascii="宋体" w:hAnsi="宋体" w:cs="宋体"/>
                <w:sz w:val="18"/>
                <w:szCs w:val="18"/>
              </w:rPr>
              <w:t>工控机</w:t>
            </w:r>
          </w:p>
        </w:tc>
        <w:tc>
          <w:tcPr>
            <w:tcW w:w="6297"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cs="宋体"/>
                <w:sz w:val="18"/>
                <w:szCs w:val="18"/>
              </w:rPr>
            </w:pPr>
            <w:r>
              <w:rPr>
                <w:rFonts w:hint="eastAsia" w:ascii="宋体" w:hAnsi="宋体" w:cs="宋体"/>
                <w:sz w:val="18"/>
                <w:szCs w:val="18"/>
              </w:rPr>
              <w:t>显卡1060显卡  ，处理器 CPU I5 ，硬盘 240G 固态硬盘，内存 16GB ，</w:t>
            </w:r>
          </w:p>
        </w:tc>
        <w:tc>
          <w:tcPr>
            <w:tcW w:w="42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1</w:t>
            </w:r>
          </w:p>
        </w:tc>
        <w:tc>
          <w:tcPr>
            <w:tcW w:w="6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套</w:t>
            </w:r>
          </w:p>
        </w:tc>
      </w:tr>
      <w:tr>
        <w:tblPrEx>
          <w:tblCellMar>
            <w:top w:w="0" w:type="dxa"/>
            <w:left w:w="0" w:type="dxa"/>
            <w:bottom w:w="0" w:type="dxa"/>
            <w:right w:w="0" w:type="dxa"/>
          </w:tblCellMar>
        </w:tblPrEx>
        <w:trPr>
          <w:trHeight w:val="593" w:hRule="atLeast"/>
          <w:jc w:val="center"/>
        </w:trPr>
        <w:tc>
          <w:tcPr>
            <w:tcW w:w="733"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753"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77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18"/>
                <w:szCs w:val="18"/>
              </w:rPr>
            </w:pPr>
            <w:r>
              <w:rPr>
                <w:rFonts w:hint="eastAsia" w:ascii="宋体" w:hAnsi="宋体" w:cs="宋体"/>
                <w:sz w:val="18"/>
                <w:szCs w:val="18"/>
              </w:rPr>
              <w:t>VR软件</w:t>
            </w:r>
          </w:p>
        </w:tc>
        <w:tc>
          <w:tcPr>
            <w:tcW w:w="6297"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cs="宋体"/>
                <w:sz w:val="18"/>
                <w:szCs w:val="18"/>
              </w:rPr>
            </w:pPr>
            <w:r>
              <w:rPr>
                <w:rFonts w:hint="eastAsia" w:ascii="宋体" w:hAnsi="宋体" w:cs="宋体"/>
                <w:sz w:val="18"/>
                <w:szCs w:val="18"/>
              </w:rPr>
              <w:t>VR工地高空坠落，VR有限空间作业，VR动火作业，VR配电室安全隐患排查，VR叉车车辆伤害</w:t>
            </w:r>
          </w:p>
        </w:tc>
        <w:tc>
          <w:tcPr>
            <w:tcW w:w="42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1</w:t>
            </w:r>
          </w:p>
        </w:tc>
        <w:tc>
          <w:tcPr>
            <w:tcW w:w="6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套</w:t>
            </w:r>
          </w:p>
        </w:tc>
      </w:tr>
      <w:tr>
        <w:tblPrEx>
          <w:tblCellMar>
            <w:top w:w="0" w:type="dxa"/>
            <w:left w:w="0" w:type="dxa"/>
            <w:bottom w:w="0" w:type="dxa"/>
            <w:right w:w="0" w:type="dxa"/>
          </w:tblCellMar>
        </w:tblPrEx>
        <w:trPr>
          <w:trHeight w:val="328" w:hRule="atLeast"/>
          <w:jc w:val="center"/>
        </w:trPr>
        <w:tc>
          <w:tcPr>
            <w:tcW w:w="733" w:type="dxa"/>
            <w:vMerge w:val="restart"/>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r>
              <w:rPr>
                <w:rFonts w:hint="eastAsia" w:ascii="宋体" w:hAnsi="宋体" w:cs="宋体"/>
                <w:color w:val="000000"/>
                <w:sz w:val="18"/>
                <w:szCs w:val="18"/>
              </w:rPr>
              <w:t>2</w:t>
            </w:r>
          </w:p>
        </w:tc>
        <w:tc>
          <w:tcPr>
            <w:tcW w:w="753" w:type="dxa"/>
            <w:vMerge w:val="restart"/>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r>
              <w:rPr>
                <w:rFonts w:hint="eastAsia" w:ascii="宋体" w:hAnsi="宋体" w:cs="宋体"/>
                <w:color w:val="000000"/>
                <w:sz w:val="18"/>
                <w:szCs w:val="18"/>
              </w:rPr>
              <w:t>机械伤害高速卷入</w:t>
            </w:r>
          </w:p>
        </w:tc>
        <w:tc>
          <w:tcPr>
            <w:tcW w:w="77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18"/>
                <w:szCs w:val="18"/>
              </w:rPr>
            </w:pPr>
            <w:r>
              <w:rPr>
                <w:rFonts w:hint="eastAsia" w:ascii="宋体" w:hAnsi="宋体" w:cs="宋体"/>
                <w:sz w:val="18"/>
                <w:szCs w:val="18"/>
              </w:rPr>
              <w:t>工作台</w:t>
            </w:r>
          </w:p>
        </w:tc>
        <w:tc>
          <w:tcPr>
            <w:tcW w:w="6297"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cs="宋体"/>
                <w:sz w:val="18"/>
                <w:szCs w:val="18"/>
              </w:rPr>
            </w:pPr>
            <w:r>
              <w:rPr>
                <w:rFonts w:hint="eastAsia" w:ascii="宋体" w:hAnsi="宋体" w:cs="宋体"/>
                <w:sz w:val="18"/>
                <w:szCs w:val="18"/>
              </w:rPr>
              <w:t>长*宽*高： 1200*600*1200</w:t>
            </w:r>
            <w:r>
              <w:rPr>
                <w:rFonts w:ascii="宋体" w:hAnsi="宋体" w:cs="宋体"/>
                <w:sz w:val="18"/>
                <w:szCs w:val="18"/>
              </w:rPr>
              <w:t xml:space="preserve"> </w:t>
            </w:r>
            <w:r>
              <w:rPr>
                <w:rFonts w:hint="eastAsia" w:ascii="宋体" w:hAnsi="宋体" w:cs="宋体"/>
                <w:sz w:val="18"/>
                <w:szCs w:val="18"/>
              </w:rPr>
              <w:t>烤漆铁柜（定制）</w:t>
            </w:r>
          </w:p>
        </w:tc>
        <w:tc>
          <w:tcPr>
            <w:tcW w:w="42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1</w:t>
            </w:r>
          </w:p>
        </w:tc>
        <w:tc>
          <w:tcPr>
            <w:tcW w:w="6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个</w:t>
            </w:r>
          </w:p>
        </w:tc>
      </w:tr>
      <w:tr>
        <w:tblPrEx>
          <w:tblCellMar>
            <w:top w:w="0" w:type="dxa"/>
            <w:left w:w="0" w:type="dxa"/>
            <w:bottom w:w="0" w:type="dxa"/>
            <w:right w:w="0" w:type="dxa"/>
          </w:tblCellMar>
        </w:tblPrEx>
        <w:trPr>
          <w:trHeight w:val="987" w:hRule="atLeast"/>
          <w:jc w:val="center"/>
        </w:trPr>
        <w:tc>
          <w:tcPr>
            <w:tcW w:w="733"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753"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77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18"/>
                <w:szCs w:val="18"/>
              </w:rPr>
            </w:pPr>
            <w:r>
              <w:rPr>
                <w:rFonts w:hint="eastAsia" w:ascii="宋体" w:hAnsi="宋体" w:cs="宋体"/>
                <w:sz w:val="18"/>
                <w:szCs w:val="18"/>
              </w:rPr>
              <w:t>高速卷入试验台</w:t>
            </w:r>
          </w:p>
        </w:tc>
        <w:tc>
          <w:tcPr>
            <w:tcW w:w="6297"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Style w:val="21"/>
              <w:rPr>
                <w:rFonts w:cs="宋体"/>
                <w:kern w:val="2"/>
                <w:sz w:val="18"/>
                <w:szCs w:val="18"/>
                <w:lang w:val="en-US"/>
              </w:rPr>
            </w:pPr>
            <w:r>
              <w:rPr>
                <w:rFonts w:hint="eastAsia" w:cs="宋体"/>
                <w:kern w:val="2"/>
                <w:sz w:val="18"/>
                <w:szCs w:val="18"/>
                <w:lang w:val="en-US"/>
              </w:rPr>
              <w:t>长*宽*高： 1200*600*1200</w:t>
            </w:r>
          </w:p>
          <w:p>
            <w:pPr>
              <w:widowControl/>
              <w:jc w:val="left"/>
              <w:textAlignment w:val="center"/>
              <w:rPr>
                <w:rFonts w:ascii="宋体" w:hAnsi="宋体" w:cs="宋体"/>
                <w:sz w:val="18"/>
                <w:szCs w:val="18"/>
              </w:rPr>
            </w:pPr>
            <w:r>
              <w:rPr>
                <w:rFonts w:hint="eastAsia" w:cs="宋体"/>
                <w:sz w:val="18"/>
                <w:szCs w:val="18"/>
              </w:rPr>
              <w:t>1、定制：电机：工作：AC220 V   50HZ，功率650w,重80kg，电机带动旋转抽高速旋转。</w:t>
            </w:r>
            <w:r>
              <w:rPr>
                <w:rFonts w:hint="eastAsia" w:cs="宋体"/>
                <w:sz w:val="18"/>
                <w:szCs w:val="18"/>
              </w:rPr>
              <w:br w:type="textWrapping"/>
            </w:r>
            <w:r>
              <w:rPr>
                <w:rFonts w:hint="eastAsia" w:cs="宋体"/>
                <w:sz w:val="18"/>
                <w:szCs w:val="18"/>
              </w:rPr>
              <w:t>2、真实模拟卷入场景：通过精确控制旋转部件的转速、扭矩等参数，模拟出不同程度的高速卷入情况，让体验者真实感受到高速卷入的危险。</w:t>
            </w:r>
            <w:r>
              <w:rPr>
                <w:rFonts w:hint="eastAsia" w:cs="宋体"/>
                <w:sz w:val="18"/>
                <w:szCs w:val="18"/>
              </w:rPr>
              <w:br w:type="textWrapping"/>
            </w:r>
            <w:r>
              <w:rPr>
                <w:rFonts w:hint="eastAsia" w:cs="宋体"/>
                <w:sz w:val="18"/>
                <w:szCs w:val="18"/>
              </w:rPr>
              <w:t>3、安全防护功能：试验台配备有多种安全防护装置，如紧急停止按钮、光幕传感器等，当检测到可能对体验者造成伤害的情况时，会立即停止旋转部件的运动，确保体验者的安全。</w:t>
            </w:r>
            <w:r>
              <w:rPr>
                <w:rFonts w:hint="eastAsia" w:cs="宋体"/>
                <w:sz w:val="18"/>
                <w:szCs w:val="18"/>
              </w:rPr>
              <w:br w:type="textWrapping"/>
            </w:r>
            <w:r>
              <w:rPr>
                <w:rFonts w:hint="eastAsia" w:cs="宋体"/>
                <w:sz w:val="18"/>
                <w:szCs w:val="18"/>
              </w:rPr>
              <w:t>4、参数调节功能：可根据不同的试验需求和体验者的情况，调节旋转部件的转速、扭矩、卷入时间等参数，以适应不同的模拟场景和体验者的承受能力。</w:t>
            </w:r>
          </w:p>
        </w:tc>
        <w:tc>
          <w:tcPr>
            <w:tcW w:w="42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1</w:t>
            </w:r>
          </w:p>
        </w:tc>
        <w:tc>
          <w:tcPr>
            <w:tcW w:w="6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套</w:t>
            </w:r>
          </w:p>
        </w:tc>
      </w:tr>
      <w:tr>
        <w:tblPrEx>
          <w:tblCellMar>
            <w:top w:w="0" w:type="dxa"/>
            <w:left w:w="0" w:type="dxa"/>
            <w:bottom w:w="0" w:type="dxa"/>
            <w:right w:w="0" w:type="dxa"/>
          </w:tblCellMar>
        </w:tblPrEx>
        <w:trPr>
          <w:trHeight w:val="987" w:hRule="atLeast"/>
          <w:jc w:val="center"/>
        </w:trPr>
        <w:tc>
          <w:tcPr>
            <w:tcW w:w="733"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753"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77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18"/>
                <w:szCs w:val="18"/>
              </w:rPr>
            </w:pPr>
            <w:r>
              <w:rPr>
                <w:rFonts w:hint="eastAsia" w:ascii="宋体" w:hAnsi="宋体" w:cs="宋体"/>
                <w:sz w:val="18"/>
                <w:szCs w:val="18"/>
              </w:rPr>
              <w:t xml:space="preserve"> 控制系统</w:t>
            </w:r>
          </w:p>
        </w:tc>
        <w:tc>
          <w:tcPr>
            <w:tcW w:w="6297"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cs="宋体"/>
                <w:sz w:val="18"/>
                <w:szCs w:val="18"/>
              </w:rPr>
            </w:pPr>
            <w:r>
              <w:rPr>
                <w:rFonts w:hint="eastAsia" w:cs="宋体"/>
                <w:sz w:val="18"/>
                <w:szCs w:val="18"/>
              </w:rPr>
              <w:t>1、电气控制设备：暂停、急停、启动、设备开机系统。</w:t>
            </w:r>
            <w:r>
              <w:rPr>
                <w:rFonts w:hint="eastAsia" w:cs="宋体"/>
                <w:sz w:val="18"/>
                <w:szCs w:val="18"/>
              </w:rPr>
              <w:br w:type="textWrapping"/>
            </w:r>
            <w:r>
              <w:rPr>
                <w:rFonts w:hint="eastAsia" w:cs="宋体"/>
                <w:sz w:val="18"/>
                <w:szCs w:val="18"/>
              </w:rPr>
              <w:t>2、控制单元：工控主板，具有更高的性能和稳定性，可实现多任务处理和复杂的控制逻辑，可实现高控制精度和实时性。</w:t>
            </w:r>
            <w:r>
              <w:rPr>
                <w:rFonts w:hint="eastAsia" w:cs="宋体"/>
                <w:sz w:val="18"/>
                <w:szCs w:val="18"/>
              </w:rPr>
              <w:br w:type="textWrapping"/>
            </w:r>
            <w:r>
              <w:rPr>
                <w:rFonts w:hint="eastAsia" w:cs="宋体"/>
                <w:sz w:val="18"/>
                <w:szCs w:val="18"/>
              </w:rPr>
              <w:t>3、人机交互系统：触摸一体机，用户与控制系统进行交互的主要界面，为19.2寸，方便用户进行操作和查看信息。</w:t>
            </w:r>
            <w:r>
              <w:rPr>
                <w:rFonts w:hint="eastAsia" w:cs="宋体"/>
                <w:sz w:val="18"/>
                <w:szCs w:val="18"/>
              </w:rPr>
              <w:br w:type="textWrapping"/>
            </w:r>
            <w:r>
              <w:rPr>
                <w:rFonts w:hint="eastAsia" w:cs="宋体"/>
                <w:sz w:val="18"/>
                <w:szCs w:val="18"/>
              </w:rPr>
              <w:t>4、卷入机构控制：</w:t>
            </w:r>
            <w:r>
              <w:rPr>
                <w:rFonts w:hint="eastAsia" w:cs="宋体"/>
                <w:sz w:val="18"/>
                <w:szCs w:val="18"/>
              </w:rPr>
              <w:br w:type="textWrapping"/>
            </w:r>
            <w:r>
              <w:rPr>
                <w:rFonts w:hint="eastAsia" w:cs="宋体"/>
                <w:sz w:val="18"/>
                <w:szCs w:val="18"/>
              </w:rPr>
              <w:t>①电机驱动模块：根据控制单元的指令，驱动电机转动，从而带动电机旋转。采用伺服电机，以实现精确的位置控制和速度调节。</w:t>
            </w:r>
            <w:r>
              <w:rPr>
                <w:rFonts w:hint="eastAsia" w:cs="宋体"/>
                <w:sz w:val="18"/>
                <w:szCs w:val="18"/>
              </w:rPr>
              <w:br w:type="textWrapping"/>
            </w:r>
            <w:r>
              <w:rPr>
                <w:rFonts w:hint="eastAsia" w:cs="宋体"/>
                <w:sz w:val="18"/>
                <w:szCs w:val="18"/>
              </w:rPr>
              <w:t>②高度与速度调节：可通过控制电机的转速和转动时间来调节旋转速度，从而模拟不同强度的高速卷入场景。</w:t>
            </w:r>
            <w:r>
              <w:rPr>
                <w:rFonts w:hint="eastAsia" w:cs="宋体"/>
                <w:sz w:val="18"/>
                <w:szCs w:val="18"/>
              </w:rPr>
              <w:br w:type="textWrapping"/>
            </w:r>
            <w:r>
              <w:rPr>
                <w:rFonts w:hint="eastAsia" w:cs="宋体"/>
                <w:sz w:val="18"/>
                <w:szCs w:val="18"/>
              </w:rPr>
              <w:t>4、安全保护系统：紧急制动装置：在出现异常情况时，如旋转速度过大、体验者身体不适等，紧急制动装置会立即启动，停止x旋转机构的运行，避免对体验者造成伤害。</w:t>
            </w:r>
          </w:p>
        </w:tc>
        <w:tc>
          <w:tcPr>
            <w:tcW w:w="42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1</w:t>
            </w:r>
          </w:p>
        </w:tc>
        <w:tc>
          <w:tcPr>
            <w:tcW w:w="6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套</w:t>
            </w:r>
          </w:p>
        </w:tc>
      </w:tr>
      <w:tr>
        <w:tblPrEx>
          <w:tblCellMar>
            <w:top w:w="0" w:type="dxa"/>
            <w:left w:w="0" w:type="dxa"/>
            <w:bottom w:w="0" w:type="dxa"/>
            <w:right w:w="0" w:type="dxa"/>
          </w:tblCellMar>
        </w:tblPrEx>
        <w:trPr>
          <w:trHeight w:val="429" w:hRule="atLeast"/>
          <w:jc w:val="center"/>
        </w:trPr>
        <w:tc>
          <w:tcPr>
            <w:tcW w:w="733"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753"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77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18"/>
                <w:szCs w:val="18"/>
              </w:rPr>
            </w:pPr>
            <w:r>
              <w:rPr>
                <w:rFonts w:hint="eastAsia" w:ascii="宋体" w:hAnsi="宋体" w:cs="宋体"/>
                <w:sz w:val="18"/>
                <w:szCs w:val="18"/>
              </w:rPr>
              <w:t>道具</w:t>
            </w:r>
          </w:p>
        </w:tc>
        <w:tc>
          <w:tcPr>
            <w:tcW w:w="6297"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cs="宋体"/>
                <w:sz w:val="18"/>
                <w:szCs w:val="18"/>
              </w:rPr>
            </w:pPr>
            <w:r>
              <w:rPr>
                <w:rFonts w:hint="eastAsia" w:cs="宋体"/>
                <w:sz w:val="18"/>
                <w:szCs w:val="18"/>
              </w:rPr>
              <w:t>纱巾</w:t>
            </w:r>
          </w:p>
        </w:tc>
        <w:tc>
          <w:tcPr>
            <w:tcW w:w="42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2</w:t>
            </w:r>
          </w:p>
        </w:tc>
        <w:tc>
          <w:tcPr>
            <w:tcW w:w="6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个</w:t>
            </w:r>
          </w:p>
        </w:tc>
      </w:tr>
      <w:tr>
        <w:tblPrEx>
          <w:tblCellMar>
            <w:top w:w="0" w:type="dxa"/>
            <w:left w:w="0" w:type="dxa"/>
            <w:bottom w:w="0" w:type="dxa"/>
            <w:right w:w="0" w:type="dxa"/>
          </w:tblCellMar>
        </w:tblPrEx>
        <w:trPr>
          <w:trHeight w:val="346" w:hRule="atLeast"/>
          <w:jc w:val="center"/>
        </w:trPr>
        <w:tc>
          <w:tcPr>
            <w:tcW w:w="733"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3</w:t>
            </w:r>
          </w:p>
        </w:tc>
        <w:tc>
          <w:tcPr>
            <w:tcW w:w="753"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sz w:val="18"/>
                <w:szCs w:val="18"/>
              </w:rPr>
              <w:t>心肺复苏体验</w:t>
            </w:r>
          </w:p>
        </w:tc>
        <w:tc>
          <w:tcPr>
            <w:tcW w:w="7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18"/>
                <w:szCs w:val="18"/>
              </w:rPr>
            </w:pPr>
            <w:r>
              <w:rPr>
                <w:rFonts w:hint="eastAsia" w:ascii="宋体" w:hAnsi="宋体" w:cs="宋体"/>
                <w:sz w:val="18"/>
                <w:szCs w:val="18"/>
              </w:rPr>
              <w:t>心肺复苏模拟假人</w:t>
            </w:r>
          </w:p>
        </w:tc>
        <w:tc>
          <w:tcPr>
            <w:tcW w:w="629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cs="宋体"/>
                <w:sz w:val="18"/>
                <w:szCs w:val="18"/>
              </w:rPr>
            </w:pPr>
            <w:r>
              <w:rPr>
                <w:rFonts w:hint="eastAsia" w:ascii="宋体" w:hAnsi="宋体" w:cs="宋体"/>
                <w:sz w:val="18"/>
                <w:szCs w:val="18"/>
              </w:rPr>
              <w:t>身心肺复苏模拟假人模型展开尺寸为：1800*440*330</w:t>
            </w:r>
          </w:p>
          <w:p>
            <w:pPr>
              <w:widowControl/>
              <w:jc w:val="left"/>
              <w:textAlignment w:val="center"/>
              <w:rPr>
                <w:rFonts w:ascii="宋体" w:hAnsi="宋体" w:cs="宋体"/>
                <w:sz w:val="18"/>
                <w:szCs w:val="18"/>
              </w:rPr>
            </w:pPr>
            <w:r>
              <w:rPr>
                <w:rFonts w:hint="eastAsia" w:ascii="宋体" w:hAnsi="宋体" w:cs="宋体"/>
                <w:sz w:val="18"/>
                <w:szCs w:val="18"/>
              </w:rPr>
              <w:t>1、操作反馈功能：通过电子监测系统，对气道开放、按压部位、按压深度、吹气量等进行实时监测和反馈，如按压深度合适时条形码显示绿色，吹气量过大时显示红色等。</w:t>
            </w:r>
            <w:r>
              <w:rPr>
                <w:rFonts w:hint="eastAsia" w:ascii="宋体" w:hAnsi="宋体" w:cs="宋体"/>
                <w:sz w:val="18"/>
                <w:szCs w:val="18"/>
              </w:rPr>
              <w:br w:type="textWrapping"/>
            </w:r>
            <w:r>
              <w:rPr>
                <w:rFonts w:hint="eastAsia" w:ascii="宋体" w:hAnsi="宋体" w:cs="宋体"/>
                <w:sz w:val="18"/>
                <w:szCs w:val="18"/>
              </w:rPr>
              <w:t>2、多种操作方式：通常具备CPR训练、模式考核和实战考核等多种操作方式。训练模式下学员可随意练习；模式考核一般按照设定的标准和时间，要求完成一定比例的按压和吹气循环操作；实战考核则可由老师自行设定操作时间范围、标准等。</w:t>
            </w:r>
            <w:r>
              <w:rPr>
                <w:rFonts w:hint="eastAsia" w:ascii="宋体" w:hAnsi="宋体" w:cs="宋体"/>
                <w:sz w:val="18"/>
                <w:szCs w:val="18"/>
              </w:rPr>
              <w:br w:type="textWrapping"/>
            </w:r>
            <w:r>
              <w:rPr>
                <w:rFonts w:hint="eastAsia" w:ascii="宋体" w:hAnsi="宋体" w:cs="宋体"/>
                <w:sz w:val="18"/>
                <w:szCs w:val="18"/>
              </w:rPr>
              <w:t xml:space="preserve">3、结构组成： </w:t>
            </w:r>
            <w:r>
              <w:rPr>
                <w:rFonts w:hint="eastAsia" w:ascii="宋体" w:hAnsi="宋体" w:cs="宋体"/>
                <w:sz w:val="18"/>
                <w:szCs w:val="18"/>
              </w:rPr>
              <w:br w:type="textWrapping"/>
            </w:r>
            <w:r>
              <w:rPr>
                <w:rFonts w:ascii="宋体" w:hAnsi="宋体" w:cs="宋体"/>
                <w:sz w:val="18"/>
                <w:szCs w:val="18"/>
              </w:rPr>
              <w:t>①</w:t>
            </w:r>
            <w:r>
              <w:rPr>
                <w:rFonts w:hint="eastAsia" w:ascii="宋体" w:hAnsi="宋体" w:cs="宋体"/>
                <w:sz w:val="18"/>
                <w:szCs w:val="18"/>
              </w:rPr>
              <w:t>人体模型：一般采用进口热塑弹性体混合胶材料制成，具有解剖标志准确、手感真实、肤色统一、形态逼真等特点，包括可换式头发、脸皮、颈皮等部件，内部有肺袋、腹部传感器等结构。</w:t>
            </w:r>
            <w:r>
              <w:rPr>
                <w:rFonts w:hint="eastAsia" w:ascii="MS Gothic" w:hAnsi="MS Gothic" w:eastAsia="MS Gothic" w:cs="MS Gothic"/>
                <w:sz w:val="18"/>
                <w:szCs w:val="18"/>
              </w:rPr>
              <w:t> </w:t>
            </w:r>
            <w:r>
              <w:rPr>
                <w:rFonts w:hint="eastAsia" w:ascii="宋体" w:hAnsi="宋体" w:cs="宋体"/>
                <w:sz w:val="18"/>
                <w:szCs w:val="18"/>
              </w:rPr>
              <w:br w:type="textWrapping"/>
            </w:r>
            <w:r>
              <w:rPr>
                <w:rFonts w:ascii="宋体" w:hAnsi="宋体" w:cs="宋体"/>
                <w:sz w:val="18"/>
                <w:szCs w:val="18"/>
              </w:rPr>
              <w:t>②</w:t>
            </w:r>
            <w:r>
              <w:rPr>
                <w:rFonts w:hint="eastAsia" w:ascii="宋体" w:hAnsi="宋体" w:cs="宋体"/>
                <w:sz w:val="18"/>
                <w:szCs w:val="18"/>
              </w:rPr>
              <w:t>心肺复苏控制器：模拟人的核心控制部分，通常包含电子控制显示器，可显示操作过程中的各种数据和信息，如按压次数、吹气次数、操作时间等，可提供语音提示，指导操作者进行正确的操作。</w:t>
            </w:r>
          </w:p>
        </w:tc>
        <w:tc>
          <w:tcPr>
            <w:tcW w:w="42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1</w:t>
            </w:r>
          </w:p>
        </w:tc>
        <w:tc>
          <w:tcPr>
            <w:tcW w:w="6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sz w:val="18"/>
                <w:szCs w:val="18"/>
              </w:rPr>
              <w:t>套</w:t>
            </w:r>
          </w:p>
        </w:tc>
      </w:tr>
      <w:tr>
        <w:tblPrEx>
          <w:tblCellMar>
            <w:top w:w="0" w:type="dxa"/>
            <w:left w:w="0" w:type="dxa"/>
            <w:bottom w:w="0" w:type="dxa"/>
            <w:right w:w="0" w:type="dxa"/>
          </w:tblCellMar>
        </w:tblPrEx>
        <w:trPr>
          <w:trHeight w:val="346" w:hRule="atLeast"/>
          <w:jc w:val="center"/>
        </w:trPr>
        <w:tc>
          <w:tcPr>
            <w:tcW w:w="733" w:type="dxa"/>
            <w:vMerge w:val="continue"/>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p>
        </w:tc>
        <w:tc>
          <w:tcPr>
            <w:tcW w:w="753" w:type="dxa"/>
            <w:vMerge w:val="continue"/>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p>
        </w:tc>
        <w:tc>
          <w:tcPr>
            <w:tcW w:w="7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18"/>
                <w:szCs w:val="18"/>
              </w:rPr>
            </w:pPr>
            <w:r>
              <w:rPr>
                <w:rFonts w:hint="eastAsia" w:ascii="宋体" w:hAnsi="宋体" w:cs="宋体"/>
                <w:sz w:val="18"/>
                <w:szCs w:val="18"/>
              </w:rPr>
              <w:t>显示器</w:t>
            </w:r>
          </w:p>
        </w:tc>
        <w:tc>
          <w:tcPr>
            <w:tcW w:w="629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cs="宋体"/>
                <w:sz w:val="18"/>
                <w:szCs w:val="18"/>
              </w:rPr>
            </w:pPr>
            <w:r>
              <w:rPr>
                <w:rFonts w:hint="eastAsia" w:ascii="宋体" w:hAnsi="宋体" w:cs="宋体"/>
                <w:sz w:val="18"/>
                <w:szCs w:val="18"/>
              </w:rPr>
              <w:t>屏幕尺寸：≥55英寸</w:t>
            </w:r>
            <w:r>
              <w:rPr>
                <w:rFonts w:hint="eastAsia" w:ascii="宋体" w:hAnsi="宋体" w:cs="宋体"/>
                <w:sz w:val="18"/>
                <w:szCs w:val="18"/>
              </w:rPr>
              <w:br w:type="textWrapping"/>
            </w:r>
            <w:r>
              <w:rPr>
                <w:rFonts w:hint="eastAsia" w:ascii="宋体" w:hAnsi="宋体" w:cs="宋体"/>
                <w:sz w:val="18"/>
                <w:szCs w:val="18"/>
              </w:rPr>
              <w:t>分辨率：≥1920x1080</w:t>
            </w:r>
            <w:r>
              <w:rPr>
                <w:rFonts w:hint="eastAsia" w:ascii="宋体" w:hAnsi="宋体" w:cs="宋体"/>
                <w:sz w:val="18"/>
                <w:szCs w:val="18"/>
              </w:rPr>
              <w:br w:type="textWrapping"/>
            </w:r>
            <w:r>
              <w:rPr>
                <w:rFonts w:hint="eastAsia" w:ascii="宋体" w:hAnsi="宋体" w:cs="宋体"/>
                <w:sz w:val="18"/>
                <w:szCs w:val="18"/>
              </w:rPr>
              <w:t>亮度：350-500cd/m²</w:t>
            </w:r>
            <w:r>
              <w:rPr>
                <w:rFonts w:hint="eastAsia" w:ascii="宋体" w:hAnsi="宋体" w:cs="宋体"/>
                <w:sz w:val="18"/>
                <w:szCs w:val="18"/>
              </w:rPr>
              <w:br w:type="textWrapping"/>
            </w:r>
            <w:r>
              <w:rPr>
                <w:rFonts w:hint="eastAsia" w:ascii="宋体" w:hAnsi="宋体" w:cs="宋体"/>
                <w:sz w:val="18"/>
                <w:szCs w:val="18"/>
              </w:rPr>
              <w:t>对比度：≥1000:1</w:t>
            </w:r>
            <w:r>
              <w:rPr>
                <w:rFonts w:hint="eastAsia" w:ascii="宋体" w:hAnsi="宋体" w:cs="宋体"/>
                <w:sz w:val="18"/>
                <w:szCs w:val="18"/>
              </w:rPr>
              <w:br w:type="textWrapping"/>
            </w:r>
            <w:r>
              <w:rPr>
                <w:rFonts w:hint="eastAsia" w:ascii="宋体" w:hAnsi="宋体" w:cs="宋体"/>
                <w:sz w:val="18"/>
                <w:szCs w:val="18"/>
              </w:rPr>
              <w:t>触摸技术</w:t>
            </w:r>
            <w:r>
              <w:rPr>
                <w:rFonts w:hint="eastAsia" w:ascii="MS Gothic" w:hAnsi="MS Gothic" w:eastAsia="MS Gothic" w:cs="MS Gothic"/>
                <w:sz w:val="18"/>
                <w:szCs w:val="18"/>
              </w:rPr>
              <w:t>‌</w:t>
            </w:r>
            <w:r>
              <w:rPr>
                <w:rFonts w:hint="eastAsia" w:ascii="宋体" w:hAnsi="宋体" w:cs="宋体"/>
                <w:sz w:val="18"/>
                <w:szCs w:val="18"/>
              </w:rPr>
              <w:t>：红外触摸，多点触摸：≥10点，触摸悬浮高度：≤0.5mm</w:t>
            </w:r>
            <w:r>
              <w:rPr>
                <w:rFonts w:hint="eastAsia" w:ascii="宋体" w:hAnsi="宋体" w:cs="宋体"/>
                <w:sz w:val="18"/>
                <w:szCs w:val="18"/>
              </w:rPr>
              <w:br w:type="textWrapping"/>
            </w:r>
            <w:r>
              <w:rPr>
                <w:rFonts w:hint="eastAsia" w:ascii="宋体" w:hAnsi="宋体" w:cs="宋体"/>
                <w:sz w:val="18"/>
                <w:szCs w:val="18"/>
              </w:rPr>
              <w:t>响应速度：≤8ms</w:t>
            </w:r>
            <w:r>
              <w:rPr>
                <w:rFonts w:hint="eastAsia" w:ascii="宋体" w:hAnsi="宋体" w:cs="宋体"/>
                <w:sz w:val="18"/>
                <w:szCs w:val="18"/>
              </w:rPr>
              <w:br w:type="textWrapping"/>
            </w:r>
            <w:r>
              <w:rPr>
                <w:rFonts w:hint="eastAsia" w:ascii="宋体" w:hAnsi="宋体" w:cs="宋体"/>
                <w:sz w:val="18"/>
                <w:szCs w:val="18"/>
              </w:rPr>
              <w:t>触摸寿命</w:t>
            </w:r>
            <w:r>
              <w:rPr>
                <w:rFonts w:hint="eastAsia" w:ascii="MS Gothic" w:hAnsi="MS Gothic" w:eastAsia="MS Gothic" w:cs="MS Gothic"/>
                <w:sz w:val="18"/>
                <w:szCs w:val="18"/>
              </w:rPr>
              <w:t>‌</w:t>
            </w:r>
            <w:r>
              <w:rPr>
                <w:rFonts w:hint="eastAsia" w:ascii="宋体" w:hAnsi="宋体" w:cs="宋体"/>
                <w:sz w:val="18"/>
                <w:szCs w:val="18"/>
              </w:rPr>
              <w:t>：单点触摸≥5000万次</w:t>
            </w:r>
            <w:r>
              <w:rPr>
                <w:rFonts w:hint="eastAsia" w:ascii="MS Gothic" w:hAnsi="MS Gothic" w:eastAsia="MS Gothic" w:cs="MS Gothic"/>
                <w:sz w:val="18"/>
                <w:szCs w:val="18"/>
              </w:rPr>
              <w:t>‌</w:t>
            </w:r>
            <w:r>
              <w:rPr>
                <w:rFonts w:hint="eastAsia" w:ascii="宋体" w:hAnsi="宋体" w:cs="宋体"/>
                <w:sz w:val="18"/>
                <w:szCs w:val="18"/>
              </w:rPr>
              <w:br w:type="textWrapping"/>
            </w:r>
            <w:r>
              <w:rPr>
                <w:rFonts w:hint="eastAsia" w:ascii="宋体" w:hAnsi="宋体" w:cs="宋体"/>
                <w:sz w:val="18"/>
                <w:szCs w:val="18"/>
              </w:rPr>
              <w:t>操作系统</w:t>
            </w:r>
            <w:r>
              <w:rPr>
                <w:rFonts w:hint="eastAsia" w:ascii="MS Gothic" w:hAnsi="MS Gothic" w:eastAsia="MS Gothic" w:cs="MS Gothic"/>
                <w:sz w:val="18"/>
                <w:szCs w:val="18"/>
              </w:rPr>
              <w:t>‌</w:t>
            </w:r>
            <w:r>
              <w:rPr>
                <w:rFonts w:hint="eastAsia" w:ascii="宋体" w:hAnsi="宋体" w:cs="宋体"/>
                <w:sz w:val="18"/>
                <w:szCs w:val="18"/>
              </w:rPr>
              <w:t>：支持Windows 7、Windows 10等</w:t>
            </w:r>
            <w:r>
              <w:rPr>
                <w:rFonts w:hint="eastAsia" w:ascii="宋体" w:hAnsi="宋体" w:cs="宋体"/>
                <w:sz w:val="18"/>
                <w:szCs w:val="18"/>
              </w:rPr>
              <w:br w:type="textWrapping"/>
            </w:r>
            <w:r>
              <w:rPr>
                <w:rFonts w:hint="eastAsia" w:ascii="MS Gothic" w:hAnsi="MS Gothic" w:eastAsia="MS Gothic" w:cs="MS Gothic"/>
                <w:sz w:val="18"/>
                <w:szCs w:val="18"/>
              </w:rPr>
              <w:t>‌</w:t>
            </w:r>
            <w:r>
              <w:rPr>
                <w:rFonts w:hint="eastAsia" w:ascii="宋体" w:hAnsi="宋体" w:cs="宋体"/>
                <w:sz w:val="18"/>
                <w:szCs w:val="18"/>
              </w:rPr>
              <w:t>接口</w:t>
            </w:r>
            <w:r>
              <w:rPr>
                <w:rFonts w:hint="eastAsia" w:ascii="MS Gothic" w:hAnsi="MS Gothic" w:eastAsia="MS Gothic" w:cs="MS Gothic"/>
                <w:sz w:val="18"/>
                <w:szCs w:val="18"/>
              </w:rPr>
              <w:t>‌</w:t>
            </w:r>
            <w:r>
              <w:rPr>
                <w:rFonts w:hint="eastAsia" w:ascii="宋体" w:hAnsi="宋体" w:cs="宋体"/>
                <w:sz w:val="18"/>
                <w:szCs w:val="18"/>
              </w:rPr>
              <w:t>：USB</w:t>
            </w:r>
            <w:r>
              <w:rPr>
                <w:rFonts w:hint="eastAsia" w:ascii="MS Gothic" w:hAnsi="MS Gothic" w:eastAsia="MS Gothic" w:cs="MS Gothic"/>
                <w:sz w:val="18"/>
                <w:szCs w:val="18"/>
              </w:rPr>
              <w:t>‌</w:t>
            </w:r>
            <w:r>
              <w:rPr>
                <w:rFonts w:hint="eastAsia" w:ascii="宋体" w:hAnsi="宋体" w:cs="宋体"/>
                <w:sz w:val="18"/>
                <w:szCs w:val="18"/>
              </w:rPr>
              <w:t>、HDMI等</w:t>
            </w:r>
            <w:r>
              <w:rPr>
                <w:rFonts w:hint="eastAsia" w:ascii="宋体" w:hAnsi="宋体" w:cs="宋体"/>
                <w:sz w:val="18"/>
                <w:szCs w:val="18"/>
              </w:rPr>
              <w:br w:type="textWrapping"/>
            </w:r>
            <w:r>
              <w:rPr>
                <w:rFonts w:hint="eastAsia" w:ascii="MS Gothic" w:hAnsi="MS Gothic" w:eastAsia="MS Gothic" w:cs="MS Gothic"/>
                <w:sz w:val="18"/>
                <w:szCs w:val="18"/>
              </w:rPr>
              <w:t>‌‌‌</w:t>
            </w:r>
            <w:r>
              <w:rPr>
                <w:rFonts w:hint="eastAsia" w:ascii="宋体" w:hAnsi="宋体" w:cs="宋体"/>
                <w:sz w:val="18"/>
                <w:szCs w:val="18"/>
              </w:rPr>
              <w:t>处理器</w:t>
            </w:r>
            <w:r>
              <w:rPr>
                <w:rFonts w:hint="eastAsia" w:ascii="MS Gothic" w:hAnsi="MS Gothic" w:eastAsia="MS Gothic" w:cs="MS Gothic"/>
                <w:sz w:val="18"/>
                <w:szCs w:val="18"/>
              </w:rPr>
              <w:t>‌</w:t>
            </w:r>
            <w:r>
              <w:rPr>
                <w:rFonts w:hint="eastAsia" w:ascii="宋体" w:hAnsi="宋体" w:cs="宋体"/>
                <w:sz w:val="18"/>
                <w:szCs w:val="18"/>
              </w:rPr>
              <w:t>：≥Intel Core i5</w:t>
            </w:r>
            <w:r>
              <w:rPr>
                <w:rFonts w:hint="eastAsia" w:ascii="宋体" w:hAnsi="宋体" w:cs="宋体"/>
                <w:sz w:val="18"/>
                <w:szCs w:val="18"/>
              </w:rPr>
              <w:br w:type="textWrapping"/>
            </w:r>
            <w:r>
              <w:rPr>
                <w:rFonts w:hint="eastAsia" w:ascii="宋体" w:hAnsi="宋体" w:cs="宋体"/>
                <w:sz w:val="18"/>
                <w:szCs w:val="18"/>
              </w:rPr>
              <w:t>存储系统</w:t>
            </w:r>
            <w:r>
              <w:rPr>
                <w:rFonts w:hint="eastAsia" w:ascii="MS Gothic" w:hAnsi="MS Gothic" w:eastAsia="MS Gothic" w:cs="MS Gothic"/>
                <w:sz w:val="18"/>
                <w:szCs w:val="18"/>
              </w:rPr>
              <w:t>‌</w:t>
            </w:r>
            <w:r>
              <w:rPr>
                <w:rFonts w:hint="eastAsia" w:ascii="宋体" w:hAnsi="宋体" w:cs="宋体"/>
                <w:sz w:val="18"/>
                <w:szCs w:val="18"/>
              </w:rPr>
              <w:t>：内存≥4GB RAM, 存储容量≥120GB</w:t>
            </w:r>
            <w:r>
              <w:rPr>
                <w:rFonts w:hint="eastAsia" w:ascii="宋体" w:hAnsi="宋体" w:cs="宋体"/>
                <w:sz w:val="18"/>
                <w:szCs w:val="18"/>
              </w:rPr>
              <w:br w:type="textWrapping"/>
            </w:r>
            <w:r>
              <w:rPr>
                <w:rFonts w:hint="eastAsia" w:ascii="MS Gothic" w:hAnsi="MS Gothic" w:eastAsia="MS Gothic" w:cs="MS Gothic"/>
                <w:sz w:val="18"/>
                <w:szCs w:val="18"/>
              </w:rPr>
              <w:t>‌‌</w:t>
            </w:r>
            <w:r>
              <w:rPr>
                <w:rFonts w:hint="eastAsia" w:ascii="宋体" w:hAnsi="宋体" w:cs="宋体"/>
                <w:sz w:val="18"/>
                <w:szCs w:val="18"/>
              </w:rPr>
              <w:t>工作温度</w:t>
            </w:r>
            <w:r>
              <w:rPr>
                <w:rFonts w:hint="eastAsia" w:ascii="MS Gothic" w:hAnsi="MS Gothic" w:eastAsia="MS Gothic" w:cs="MS Gothic"/>
                <w:sz w:val="18"/>
                <w:szCs w:val="18"/>
              </w:rPr>
              <w:t>‌</w:t>
            </w:r>
            <w:r>
              <w:rPr>
                <w:rFonts w:hint="eastAsia" w:ascii="宋体" w:hAnsi="宋体" w:cs="宋体"/>
                <w:sz w:val="18"/>
                <w:szCs w:val="18"/>
              </w:rPr>
              <w:t>：0-50℃, 工作湿度&lt;80%</w:t>
            </w:r>
            <w:r>
              <w:rPr>
                <w:rFonts w:hint="eastAsia" w:ascii="MS Gothic" w:hAnsi="MS Gothic" w:eastAsia="MS Gothic" w:cs="MS Gothic"/>
                <w:sz w:val="18"/>
                <w:szCs w:val="18"/>
              </w:rPr>
              <w:t>‌</w:t>
            </w:r>
            <w:r>
              <w:rPr>
                <w:rFonts w:hint="eastAsia" w:ascii="宋体" w:hAnsi="宋体" w:cs="宋体"/>
                <w:sz w:val="18"/>
                <w:szCs w:val="18"/>
              </w:rPr>
              <w:t>1</w:t>
            </w:r>
            <w:r>
              <w:rPr>
                <w:rFonts w:hint="eastAsia" w:ascii="宋体" w:hAnsi="宋体" w:cs="宋体"/>
                <w:sz w:val="18"/>
                <w:szCs w:val="18"/>
              </w:rPr>
              <w:br w:type="textWrapping"/>
            </w:r>
            <w:r>
              <w:rPr>
                <w:rFonts w:hint="eastAsia" w:ascii="MS Gothic" w:hAnsi="MS Gothic" w:eastAsia="MS Gothic" w:cs="MS Gothic"/>
                <w:sz w:val="18"/>
                <w:szCs w:val="18"/>
              </w:rPr>
              <w:t>‌</w:t>
            </w:r>
            <w:r>
              <w:rPr>
                <w:rFonts w:hint="eastAsia" w:ascii="宋体" w:hAnsi="宋体" w:cs="宋体"/>
                <w:sz w:val="18"/>
                <w:szCs w:val="18"/>
              </w:rPr>
              <w:t>音响</w:t>
            </w:r>
            <w:r>
              <w:rPr>
                <w:rFonts w:hint="eastAsia" w:ascii="MS Gothic" w:hAnsi="MS Gothic" w:eastAsia="MS Gothic" w:cs="MS Gothic"/>
                <w:sz w:val="18"/>
                <w:szCs w:val="18"/>
              </w:rPr>
              <w:t>‌</w:t>
            </w:r>
            <w:r>
              <w:rPr>
                <w:rFonts w:hint="eastAsia" w:ascii="宋体" w:hAnsi="宋体" w:cs="宋体"/>
                <w:sz w:val="18"/>
                <w:szCs w:val="18"/>
              </w:rPr>
              <w:t>：内置音箱（功率≤2×10W）</w:t>
            </w:r>
            <w:r>
              <w:rPr>
                <w:rFonts w:hint="eastAsia" w:ascii="宋体" w:hAnsi="宋体" w:cs="宋体"/>
                <w:sz w:val="18"/>
                <w:szCs w:val="18"/>
              </w:rPr>
              <w:br w:type="textWrapping"/>
            </w:r>
            <w:r>
              <w:rPr>
                <w:rFonts w:hint="eastAsia" w:ascii="MS Gothic" w:hAnsi="MS Gothic" w:eastAsia="MS Gothic" w:cs="MS Gothic"/>
                <w:sz w:val="18"/>
                <w:szCs w:val="18"/>
              </w:rPr>
              <w:t>‌</w:t>
            </w:r>
            <w:r>
              <w:rPr>
                <w:rFonts w:hint="eastAsia" w:ascii="宋体" w:hAnsi="宋体" w:cs="宋体"/>
                <w:sz w:val="18"/>
                <w:szCs w:val="18"/>
              </w:rPr>
              <w:t>电源供应</w:t>
            </w:r>
            <w:r>
              <w:rPr>
                <w:rFonts w:hint="eastAsia" w:ascii="MS Gothic" w:hAnsi="MS Gothic" w:eastAsia="MS Gothic" w:cs="MS Gothic"/>
                <w:sz w:val="18"/>
                <w:szCs w:val="18"/>
              </w:rPr>
              <w:t>‌</w:t>
            </w:r>
            <w:r>
              <w:rPr>
                <w:rFonts w:hint="eastAsia" w:ascii="宋体" w:hAnsi="宋体" w:cs="宋体"/>
                <w:sz w:val="18"/>
                <w:szCs w:val="18"/>
              </w:rPr>
              <w:t>：100-240V，50/60Hz</w:t>
            </w:r>
            <w:r>
              <w:rPr>
                <w:rFonts w:hint="eastAsia" w:ascii="MS Gothic" w:hAnsi="MS Gothic" w:eastAsia="MS Gothic" w:cs="MS Gothic"/>
                <w:sz w:val="18"/>
                <w:szCs w:val="18"/>
              </w:rPr>
              <w:t>‌</w:t>
            </w:r>
            <w:r>
              <w:rPr>
                <w:rFonts w:hint="eastAsia" w:ascii="宋体" w:hAnsi="宋体" w:cs="宋体"/>
                <w:sz w:val="18"/>
                <w:szCs w:val="18"/>
              </w:rPr>
              <w:t>25</w:t>
            </w:r>
            <w:r>
              <w:rPr>
                <w:rFonts w:hint="eastAsia" w:ascii="宋体" w:hAnsi="宋体" w:cs="宋体"/>
                <w:sz w:val="18"/>
                <w:szCs w:val="18"/>
              </w:rPr>
              <w:br w:type="textWrapping"/>
            </w:r>
            <w:r>
              <w:rPr>
                <w:rFonts w:hint="eastAsia" w:ascii="MS Gothic" w:hAnsi="MS Gothic" w:eastAsia="MS Gothic" w:cs="MS Gothic"/>
                <w:sz w:val="18"/>
                <w:szCs w:val="18"/>
              </w:rPr>
              <w:t>‌</w:t>
            </w:r>
            <w:r>
              <w:rPr>
                <w:rFonts w:hint="eastAsia" w:ascii="宋体" w:hAnsi="宋体" w:cs="宋体"/>
                <w:sz w:val="18"/>
                <w:szCs w:val="18"/>
              </w:rPr>
              <w:t>机柜材料</w:t>
            </w:r>
            <w:r>
              <w:rPr>
                <w:rFonts w:hint="eastAsia" w:ascii="MS Gothic" w:hAnsi="MS Gothic" w:eastAsia="MS Gothic" w:cs="MS Gothic"/>
                <w:sz w:val="18"/>
                <w:szCs w:val="18"/>
              </w:rPr>
              <w:t>‌</w:t>
            </w:r>
            <w:r>
              <w:rPr>
                <w:rFonts w:hint="eastAsia" w:ascii="宋体" w:hAnsi="宋体" w:cs="宋体"/>
                <w:sz w:val="18"/>
                <w:szCs w:val="18"/>
              </w:rPr>
              <w:t>：钢制机柜，配挂架</w:t>
            </w:r>
            <w:r>
              <w:rPr>
                <w:rFonts w:hint="eastAsia" w:ascii="宋体" w:hAnsi="宋体" w:cs="宋体"/>
                <w:sz w:val="18"/>
                <w:szCs w:val="18"/>
              </w:rPr>
              <w:br w:type="textWrapping"/>
            </w:r>
            <w:r>
              <w:rPr>
                <w:rFonts w:hint="eastAsia" w:ascii="宋体" w:hAnsi="宋体" w:cs="宋体"/>
                <w:sz w:val="18"/>
                <w:szCs w:val="18"/>
              </w:rPr>
              <w:t>触摸查询软件:支持滑屏和多点触控，支持word，excel，ppt，pdf等格式的文档浏览，支持图片动态排版，视频全屏播放，动态背景，控件的层级分布，多级页面的跳转，资源嫁接和拷贝，多行业丰富触摸查询模板</w:t>
            </w:r>
          </w:p>
        </w:tc>
        <w:tc>
          <w:tcPr>
            <w:tcW w:w="42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1</w:t>
            </w:r>
          </w:p>
        </w:tc>
        <w:tc>
          <w:tcPr>
            <w:tcW w:w="6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sz w:val="18"/>
                <w:szCs w:val="18"/>
              </w:rPr>
              <w:t>台</w:t>
            </w:r>
          </w:p>
        </w:tc>
      </w:tr>
      <w:tr>
        <w:tblPrEx>
          <w:tblCellMar>
            <w:top w:w="0" w:type="dxa"/>
            <w:left w:w="0" w:type="dxa"/>
            <w:bottom w:w="0" w:type="dxa"/>
            <w:right w:w="0" w:type="dxa"/>
          </w:tblCellMar>
        </w:tblPrEx>
        <w:trPr>
          <w:trHeight w:val="346" w:hRule="atLeast"/>
          <w:jc w:val="center"/>
        </w:trPr>
        <w:tc>
          <w:tcPr>
            <w:tcW w:w="733" w:type="dxa"/>
            <w:vMerge w:val="continue"/>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p>
        </w:tc>
        <w:tc>
          <w:tcPr>
            <w:tcW w:w="753" w:type="dxa"/>
            <w:vMerge w:val="continue"/>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p>
        </w:tc>
        <w:tc>
          <w:tcPr>
            <w:tcW w:w="7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18"/>
                <w:szCs w:val="18"/>
              </w:rPr>
            </w:pPr>
            <w:r>
              <w:rPr>
                <w:rFonts w:hint="eastAsia" w:ascii="宋体" w:hAnsi="宋体" w:cs="宋体"/>
                <w:sz w:val="18"/>
                <w:szCs w:val="18"/>
              </w:rPr>
              <w:t>互动软件（视频教程)</w:t>
            </w:r>
          </w:p>
        </w:tc>
        <w:tc>
          <w:tcPr>
            <w:tcW w:w="629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cs="宋体"/>
                <w:sz w:val="18"/>
                <w:szCs w:val="18"/>
              </w:rPr>
            </w:pPr>
            <w:r>
              <w:rPr>
                <w:rFonts w:hint="eastAsia" w:ascii="宋体" w:hAnsi="宋体" w:cs="宋体"/>
                <w:sz w:val="18"/>
                <w:szCs w:val="18"/>
              </w:rPr>
              <w:t>1、互动体验软件按心肺复苏、创伤包扎方法视频;多媒体视频软件：24位真彩图像；稳定性好；图像播放速率：25帧/秒；通道间画面同步播放，帧同步；画面背景音乐声效同步；响应时间&lt;100m</w:t>
            </w:r>
            <w:r>
              <w:rPr>
                <w:rFonts w:hint="eastAsia" w:ascii="宋体" w:hAnsi="宋体" w:cs="宋体"/>
                <w:sz w:val="18"/>
                <w:szCs w:val="18"/>
              </w:rPr>
              <w:br w:type="textWrapping"/>
            </w:r>
            <w:r>
              <w:rPr>
                <w:rFonts w:hint="eastAsia" w:ascii="宋体" w:hAnsi="宋体" w:cs="宋体"/>
                <w:sz w:val="18"/>
                <w:szCs w:val="18"/>
              </w:rPr>
              <w:t>2、视频资源总时长不少于 4 分钟，其中定制内容不少于 2分钟。视频配音定制讲解服务，真人男中音专业配音，视频配音文稿简洁明了。通过数字化的多媒体互动展示方式，吸引人员主动学习，提升急救，能较大限度地降低和减少各种灾害和突发公共安全事件所造成的损失，视频设计要求遵循实用性与科学性、综合性与专题性、知识性与趣味性相结合的原则。</w:t>
            </w:r>
            <w:r>
              <w:rPr>
                <w:rFonts w:hint="eastAsia" w:ascii="宋体" w:hAnsi="宋体" w:cs="宋体"/>
                <w:sz w:val="18"/>
                <w:szCs w:val="18"/>
              </w:rPr>
              <w:br w:type="textWrapping"/>
            </w:r>
            <w:r>
              <w:rPr>
                <w:rFonts w:hint="eastAsia" w:ascii="宋体" w:hAnsi="宋体" w:cs="宋体"/>
                <w:sz w:val="18"/>
                <w:szCs w:val="18"/>
              </w:rPr>
              <w:t>3、视频分辨率:不低于1920*1080全高清。帧率30FPS以上；片源格式RMVB/AVI/FLV等；色块表现绝无色块，画面纯净极明亮或极略情况下细节均能完全展现；流畅度不停顿不掉帧，快速运动画面效果好，清晰度高；色彩还原度高，画面逼真；输出接口HDMI。</w:t>
            </w:r>
          </w:p>
        </w:tc>
        <w:tc>
          <w:tcPr>
            <w:tcW w:w="42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1</w:t>
            </w:r>
          </w:p>
        </w:tc>
        <w:tc>
          <w:tcPr>
            <w:tcW w:w="6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sz w:val="18"/>
                <w:szCs w:val="18"/>
              </w:rPr>
              <w:t>项</w:t>
            </w:r>
          </w:p>
        </w:tc>
      </w:tr>
      <w:tr>
        <w:tblPrEx>
          <w:tblCellMar>
            <w:top w:w="0" w:type="dxa"/>
            <w:left w:w="0" w:type="dxa"/>
            <w:bottom w:w="0" w:type="dxa"/>
            <w:right w:w="0" w:type="dxa"/>
          </w:tblCellMar>
        </w:tblPrEx>
        <w:trPr>
          <w:trHeight w:val="346" w:hRule="atLeast"/>
          <w:jc w:val="center"/>
        </w:trPr>
        <w:tc>
          <w:tcPr>
            <w:tcW w:w="733"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p>
        </w:tc>
        <w:tc>
          <w:tcPr>
            <w:tcW w:w="753"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p>
        </w:tc>
        <w:tc>
          <w:tcPr>
            <w:tcW w:w="77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18"/>
                <w:szCs w:val="18"/>
              </w:rPr>
            </w:pPr>
            <w:r>
              <w:rPr>
                <w:rFonts w:hint="eastAsia" w:ascii="宋体" w:hAnsi="宋体" w:cs="宋体"/>
                <w:sz w:val="18"/>
                <w:szCs w:val="18"/>
              </w:rPr>
              <w:t>考核系统</w:t>
            </w:r>
          </w:p>
        </w:tc>
        <w:tc>
          <w:tcPr>
            <w:tcW w:w="6297"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Style w:val="21"/>
              <w:rPr>
                <w:rFonts w:cs="宋体"/>
                <w:kern w:val="2"/>
                <w:sz w:val="18"/>
                <w:szCs w:val="18"/>
                <w:lang w:val="en-US"/>
              </w:rPr>
            </w:pPr>
            <w:r>
              <w:rPr>
                <w:rFonts w:hint="eastAsia" w:cs="宋体"/>
                <w:sz w:val="18"/>
                <w:szCs w:val="18"/>
              </w:rPr>
              <w:t>1、AI培考一体机，使用AI人工智能、图像识别、语音识别技术与传统硬件传感技术相结合，模拟假人可以模拟出人体胸廓的弹性。</w:t>
            </w:r>
            <w:r>
              <w:rPr>
                <w:rFonts w:hint="eastAsia" w:cs="宋体"/>
                <w:sz w:val="18"/>
                <w:szCs w:val="18"/>
              </w:rPr>
              <w:br w:type="textWrapping"/>
            </w:r>
            <w:r>
              <w:rPr>
                <w:rFonts w:hint="eastAsia" w:cs="宋体"/>
                <w:sz w:val="18"/>
                <w:szCs w:val="18"/>
              </w:rPr>
              <w:t xml:space="preserve">2、在考核时，它可以精确检测按压的深度、频率和位置是否符合标准。例如，按压深度至少要达到5厘米，但不能超过6厘米，频率要在每分钟100 - 120次之间，系统会根据这些标准来判断按压操作是否合格。 </w:t>
            </w:r>
            <w:r>
              <w:rPr>
                <w:rFonts w:hint="eastAsia" w:cs="宋体"/>
                <w:sz w:val="18"/>
                <w:szCs w:val="18"/>
              </w:rPr>
              <w:br w:type="textWrapping"/>
            </w:r>
            <w:r>
              <w:rPr>
                <w:rFonts w:hint="eastAsia" w:cs="宋体"/>
                <w:sz w:val="18"/>
                <w:szCs w:val="18"/>
              </w:rPr>
              <w:t>3、也可对人工呼吸进行考核。它可以检测吹气的潮气量是否合适，一般每次吹气要持续1秒以上，并且能看到胸廓有起伏。系统还会记录操作的全过程，包括每个环节的用时、按压和通气的比例等数据，为考核提供精准的评价依据</w:t>
            </w:r>
          </w:p>
        </w:tc>
        <w:tc>
          <w:tcPr>
            <w:tcW w:w="42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1</w:t>
            </w:r>
          </w:p>
        </w:tc>
        <w:tc>
          <w:tcPr>
            <w:tcW w:w="6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180" w:firstLineChars="100"/>
              <w:textAlignment w:val="center"/>
              <w:rPr>
                <w:rFonts w:ascii="宋体" w:hAnsi="宋体" w:cs="宋体"/>
                <w:color w:val="000000"/>
                <w:sz w:val="18"/>
                <w:szCs w:val="18"/>
              </w:rPr>
            </w:pPr>
            <w:r>
              <w:rPr>
                <w:rFonts w:hint="eastAsia" w:ascii="宋体" w:hAnsi="宋体" w:cs="宋体"/>
                <w:sz w:val="18"/>
                <w:szCs w:val="18"/>
              </w:rPr>
              <w:t>项</w:t>
            </w:r>
          </w:p>
        </w:tc>
      </w:tr>
      <w:tr>
        <w:tblPrEx>
          <w:tblCellMar>
            <w:top w:w="0" w:type="dxa"/>
            <w:left w:w="0" w:type="dxa"/>
            <w:bottom w:w="0" w:type="dxa"/>
            <w:right w:w="0" w:type="dxa"/>
          </w:tblCellMar>
        </w:tblPrEx>
        <w:trPr>
          <w:trHeight w:val="346" w:hRule="atLeast"/>
          <w:jc w:val="center"/>
        </w:trPr>
        <w:tc>
          <w:tcPr>
            <w:tcW w:w="733" w:type="dxa"/>
            <w:vMerge w:val="restart"/>
            <w:tcBorders>
              <w:top w:val="single" w:color="auto" w:sz="4" w:space="0"/>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4</w:t>
            </w:r>
          </w:p>
        </w:tc>
        <w:tc>
          <w:tcPr>
            <w:tcW w:w="753" w:type="dxa"/>
            <w:vMerge w:val="restart"/>
            <w:tcBorders>
              <w:top w:val="single" w:color="auto" w:sz="4" w:space="0"/>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机械伤害（四合一）体验装置</w:t>
            </w:r>
          </w:p>
        </w:tc>
        <w:tc>
          <w:tcPr>
            <w:tcW w:w="77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18"/>
                <w:szCs w:val="18"/>
              </w:rPr>
            </w:pPr>
            <w:r>
              <w:rPr>
                <w:rFonts w:hint="eastAsia" w:ascii="宋体" w:hAnsi="宋体" w:cs="宋体"/>
                <w:sz w:val="18"/>
                <w:szCs w:val="18"/>
              </w:rPr>
              <w:t xml:space="preserve">安全（保护）系统急停装置 </w:t>
            </w:r>
          </w:p>
        </w:tc>
        <w:tc>
          <w:tcPr>
            <w:tcW w:w="6297"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rPr>
                <w:rFonts w:ascii="宋体" w:hAnsi="宋体" w:cs="宋体"/>
                <w:sz w:val="18"/>
                <w:szCs w:val="18"/>
              </w:rPr>
            </w:pPr>
            <w:r>
              <w:rPr>
                <w:rFonts w:hint="eastAsia" w:ascii="宋体" w:hAnsi="宋体" w:cs="宋体"/>
                <w:sz w:val="18"/>
                <w:szCs w:val="18"/>
              </w:rPr>
              <w:t>红色圆按钮：直径3cm</w:t>
            </w:r>
          </w:p>
          <w:p>
            <w:pPr>
              <w:pStyle w:val="21"/>
              <w:rPr>
                <w:rFonts w:cs="宋体"/>
                <w:sz w:val="18"/>
                <w:szCs w:val="18"/>
              </w:rPr>
            </w:pPr>
            <w:r>
              <w:rPr>
                <w:rFonts w:hint="eastAsia" w:cs="宋体"/>
                <w:sz w:val="18"/>
                <w:szCs w:val="18"/>
              </w:rPr>
              <w:t>1、设备故障、紧急停止系统；</w:t>
            </w:r>
            <w:r>
              <w:rPr>
                <w:rFonts w:hint="eastAsia" w:cs="宋体"/>
                <w:sz w:val="18"/>
                <w:szCs w:val="18"/>
              </w:rPr>
              <w:br w:type="textWrapping"/>
            </w:r>
            <w:r>
              <w:rPr>
                <w:rFonts w:hint="eastAsia" w:cs="宋体"/>
                <w:sz w:val="18"/>
                <w:szCs w:val="18"/>
              </w:rPr>
              <w:t>2、为常闭触点，未按下时电路处于闭合状态，设备正常运行。按下按钮后，按钮内的触点会被压紧或触发相应的机械或电子结构，使电路迅速断开，从而切断设备的电源或动力源，让设备停止运行。</w:t>
            </w:r>
            <w:r>
              <w:rPr>
                <w:rFonts w:hint="eastAsia" w:cs="宋体"/>
                <w:sz w:val="18"/>
                <w:szCs w:val="18"/>
              </w:rPr>
              <w:br w:type="textWrapping"/>
            </w:r>
            <w:r>
              <w:rPr>
                <w:rFonts w:hint="eastAsia" w:cs="宋体"/>
                <w:sz w:val="18"/>
                <w:szCs w:val="18"/>
              </w:rPr>
              <w:t>3、类型为电子式：通过电子元件控制电路开关，可实现控制功能和保护逻辑。</w:t>
            </w:r>
          </w:p>
        </w:tc>
        <w:tc>
          <w:tcPr>
            <w:tcW w:w="42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1</w:t>
            </w:r>
          </w:p>
        </w:tc>
        <w:tc>
          <w:tcPr>
            <w:tcW w:w="6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180" w:firstLineChars="100"/>
              <w:textAlignment w:val="center"/>
              <w:rPr>
                <w:rFonts w:ascii="宋体" w:hAnsi="宋体" w:cs="宋体"/>
                <w:sz w:val="18"/>
                <w:szCs w:val="18"/>
              </w:rPr>
            </w:pPr>
            <w:r>
              <w:rPr>
                <w:rFonts w:hint="eastAsia" w:ascii="宋体" w:hAnsi="宋体" w:cs="宋体"/>
                <w:color w:val="000000"/>
                <w:sz w:val="18"/>
                <w:szCs w:val="18"/>
              </w:rPr>
              <w:t>项</w:t>
            </w:r>
          </w:p>
        </w:tc>
      </w:tr>
      <w:tr>
        <w:tblPrEx>
          <w:tblCellMar>
            <w:top w:w="0" w:type="dxa"/>
            <w:left w:w="0" w:type="dxa"/>
            <w:bottom w:w="0" w:type="dxa"/>
            <w:right w:w="0" w:type="dxa"/>
          </w:tblCellMar>
        </w:tblPrEx>
        <w:trPr>
          <w:trHeight w:val="346" w:hRule="atLeast"/>
          <w:jc w:val="center"/>
        </w:trPr>
        <w:tc>
          <w:tcPr>
            <w:tcW w:w="733"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p>
        </w:tc>
        <w:tc>
          <w:tcPr>
            <w:tcW w:w="753"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p>
        </w:tc>
        <w:tc>
          <w:tcPr>
            <w:tcW w:w="77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18"/>
                <w:szCs w:val="18"/>
              </w:rPr>
            </w:pPr>
            <w:r>
              <w:rPr>
                <w:rFonts w:hint="eastAsia" w:ascii="宋体" w:hAnsi="宋体" w:cs="宋体"/>
                <w:sz w:val="18"/>
                <w:szCs w:val="18"/>
              </w:rPr>
              <w:t>控制系统 （定制机柜）</w:t>
            </w:r>
          </w:p>
        </w:tc>
        <w:tc>
          <w:tcPr>
            <w:tcW w:w="6297"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rPr>
                <w:rFonts w:ascii="宋体" w:hAnsi="宋体" w:cs="宋体"/>
                <w:sz w:val="18"/>
                <w:szCs w:val="18"/>
              </w:rPr>
            </w:pPr>
            <w:r>
              <w:rPr>
                <w:rFonts w:hint="eastAsia" w:ascii="宋体" w:hAnsi="宋体" w:cs="宋体"/>
                <w:sz w:val="18"/>
                <w:szCs w:val="18"/>
              </w:rPr>
              <w:t>高*长*宽：1000*850*300</w:t>
            </w:r>
          </w:p>
          <w:p>
            <w:pPr>
              <w:pStyle w:val="21"/>
              <w:rPr>
                <w:rFonts w:cs="宋体"/>
                <w:sz w:val="18"/>
                <w:szCs w:val="18"/>
              </w:rPr>
            </w:pPr>
            <w:r>
              <w:rPr>
                <w:rFonts w:hint="eastAsia" w:cs="宋体"/>
                <w:sz w:val="18"/>
                <w:szCs w:val="18"/>
              </w:rPr>
              <w:t>1、控制单元：工控主板，具有更高的性能和稳定性，可实现多任务处理和复杂的控制逻辑，可实现高控制精度和实时性。</w:t>
            </w:r>
            <w:r>
              <w:rPr>
                <w:rFonts w:hint="eastAsia" w:cs="宋体"/>
                <w:sz w:val="18"/>
                <w:szCs w:val="18"/>
              </w:rPr>
              <w:br w:type="textWrapping"/>
            </w:r>
            <w:r>
              <w:rPr>
                <w:rFonts w:hint="eastAsia" w:cs="宋体"/>
                <w:sz w:val="18"/>
                <w:szCs w:val="18"/>
              </w:rPr>
              <w:t xml:space="preserve"> 2、人机交互系统：触摸一体机，用户与控制系统进行交互的主要界面，为21寸，方便用户进行操作和查看信息。</w:t>
            </w:r>
            <w:r>
              <w:rPr>
                <w:rFonts w:hint="eastAsia" w:cs="宋体"/>
                <w:sz w:val="18"/>
                <w:szCs w:val="18"/>
              </w:rPr>
              <w:br w:type="textWrapping"/>
            </w:r>
            <w:r>
              <w:rPr>
                <w:rFonts w:hint="eastAsia" w:cs="宋体"/>
                <w:sz w:val="18"/>
                <w:szCs w:val="18"/>
              </w:rPr>
              <w:t>3、撞击机构控制：</w:t>
            </w:r>
            <w:r>
              <w:rPr>
                <w:rFonts w:hint="eastAsia" w:cs="宋体"/>
                <w:sz w:val="18"/>
                <w:szCs w:val="18"/>
              </w:rPr>
              <w:br w:type="textWrapping"/>
            </w:r>
            <w:r>
              <w:rPr>
                <w:rFonts w:cs="宋体"/>
                <w:sz w:val="18"/>
                <w:szCs w:val="18"/>
              </w:rPr>
              <w:t>①</w:t>
            </w:r>
            <w:r>
              <w:rPr>
                <w:rFonts w:hint="eastAsia" w:cs="宋体"/>
                <w:sz w:val="18"/>
                <w:szCs w:val="18"/>
              </w:rPr>
              <w:t>电机驱动模块：根据控制单元的指令，驱动电机转动，从而带动撞击物的升降或摆动，实现对佩戴安全帽的体验者的头部模拟撞击。采用伺服电机，以实现精确的位置控制和速度调节。</w:t>
            </w:r>
            <w:r>
              <w:rPr>
                <w:rFonts w:hint="eastAsia" w:cs="宋体"/>
                <w:sz w:val="18"/>
                <w:szCs w:val="18"/>
              </w:rPr>
              <w:br w:type="textWrapping"/>
            </w:r>
            <w:r>
              <w:rPr>
                <w:rFonts w:cs="宋体"/>
                <w:sz w:val="18"/>
                <w:szCs w:val="18"/>
              </w:rPr>
              <w:t>②</w:t>
            </w:r>
            <w:r>
              <w:rPr>
                <w:rFonts w:hint="eastAsia" w:cs="宋体"/>
                <w:sz w:val="18"/>
                <w:szCs w:val="18"/>
              </w:rPr>
              <w:t>高度与速度调节：可通过控制电机的转速和转动时间来调节撞击物的下落高度和速度，从而模拟不同强度的撞击场景。</w:t>
            </w:r>
            <w:r>
              <w:rPr>
                <w:rFonts w:hint="eastAsia" w:cs="宋体"/>
                <w:sz w:val="18"/>
                <w:szCs w:val="18"/>
              </w:rPr>
              <w:br w:type="textWrapping"/>
            </w:r>
            <w:r>
              <w:rPr>
                <w:rFonts w:hint="eastAsia" w:cs="宋体"/>
                <w:sz w:val="18"/>
                <w:szCs w:val="18"/>
              </w:rPr>
              <w:t>4、传感器系统：位置传感器，用于检测撞击物的位置和状态，确保撞击过程的准确性和安全性。</w:t>
            </w:r>
            <w:r>
              <w:rPr>
                <w:rFonts w:hint="eastAsia" w:cs="宋体"/>
                <w:sz w:val="18"/>
                <w:szCs w:val="18"/>
              </w:rPr>
              <w:br w:type="textWrapping"/>
            </w:r>
            <w:r>
              <w:rPr>
                <w:rFonts w:hint="eastAsia" w:cs="宋体"/>
                <w:sz w:val="18"/>
                <w:szCs w:val="18"/>
              </w:rPr>
              <w:t>5、安全保护系统：紧急制动装置：在出现异常情况时，如撞击力度过大、体验者身体不适等，紧急制动装置会立即启动，停止撞击机构的运行，避免对体验者造成伤害。</w:t>
            </w:r>
          </w:p>
        </w:tc>
        <w:tc>
          <w:tcPr>
            <w:tcW w:w="42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1</w:t>
            </w:r>
          </w:p>
        </w:tc>
        <w:tc>
          <w:tcPr>
            <w:tcW w:w="6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180" w:firstLineChars="100"/>
              <w:textAlignment w:val="center"/>
              <w:rPr>
                <w:rFonts w:ascii="宋体" w:hAnsi="宋体" w:cs="宋体"/>
                <w:sz w:val="18"/>
                <w:szCs w:val="18"/>
              </w:rPr>
            </w:pPr>
            <w:r>
              <w:rPr>
                <w:rFonts w:hint="eastAsia" w:ascii="宋体" w:hAnsi="宋体" w:cs="宋体"/>
                <w:color w:val="000000"/>
                <w:sz w:val="18"/>
                <w:szCs w:val="18"/>
              </w:rPr>
              <w:t>台</w:t>
            </w:r>
          </w:p>
        </w:tc>
      </w:tr>
      <w:tr>
        <w:tblPrEx>
          <w:tblCellMar>
            <w:top w:w="0" w:type="dxa"/>
            <w:left w:w="0" w:type="dxa"/>
            <w:bottom w:w="0" w:type="dxa"/>
            <w:right w:w="0" w:type="dxa"/>
          </w:tblCellMar>
        </w:tblPrEx>
        <w:trPr>
          <w:trHeight w:val="346" w:hRule="atLeast"/>
          <w:jc w:val="center"/>
        </w:trPr>
        <w:tc>
          <w:tcPr>
            <w:tcW w:w="733"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p>
        </w:tc>
        <w:tc>
          <w:tcPr>
            <w:tcW w:w="753"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p>
        </w:tc>
        <w:tc>
          <w:tcPr>
            <w:tcW w:w="77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18"/>
                <w:szCs w:val="18"/>
              </w:rPr>
            </w:pPr>
            <w:r>
              <w:rPr>
                <w:rFonts w:hint="eastAsia" w:ascii="宋体" w:hAnsi="宋体" w:cs="宋体"/>
                <w:sz w:val="18"/>
                <w:szCs w:val="18"/>
              </w:rPr>
              <w:t>21寸触摸控制显示屏</w:t>
            </w:r>
          </w:p>
        </w:tc>
        <w:tc>
          <w:tcPr>
            <w:tcW w:w="6297"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Style w:val="21"/>
              <w:rPr>
                <w:rFonts w:cs="宋体"/>
                <w:sz w:val="18"/>
                <w:szCs w:val="18"/>
              </w:rPr>
            </w:pPr>
            <w:r>
              <w:rPr>
                <w:rFonts w:hint="eastAsia" w:cs="宋体"/>
                <w:sz w:val="18"/>
                <w:szCs w:val="18"/>
              </w:rPr>
              <w:t>1、屏幕尺寸：21.5寸触摸屏；</w:t>
            </w:r>
            <w:r>
              <w:rPr>
                <w:rFonts w:hint="eastAsia" w:cs="宋体"/>
                <w:sz w:val="18"/>
                <w:szCs w:val="18"/>
              </w:rPr>
              <w:br w:type="textWrapping"/>
            </w:r>
            <w:r>
              <w:rPr>
                <w:rFonts w:hint="eastAsia" w:cs="宋体"/>
                <w:sz w:val="18"/>
                <w:szCs w:val="18"/>
              </w:rPr>
              <w:t>2、触摸技术：电容式触摸技术，多点触摸。</w:t>
            </w:r>
            <w:r>
              <w:rPr>
                <w:rFonts w:hint="eastAsia" w:cs="宋体"/>
                <w:sz w:val="18"/>
                <w:szCs w:val="18"/>
              </w:rPr>
              <w:br w:type="textWrapping"/>
            </w:r>
            <w:r>
              <w:rPr>
                <w:rFonts w:hint="eastAsia" w:cs="宋体"/>
                <w:sz w:val="18"/>
                <w:szCs w:val="18"/>
              </w:rPr>
              <w:t>3、电容式触摸屏：利用人体电容感应来检测触摸位置，支持多点触摸，触摸灵敏度高、反应速度快，广泛应用于智能手机、平板电脑、商业展示等领域。</w:t>
            </w:r>
            <w:r>
              <w:rPr>
                <w:rFonts w:ascii="Arial" w:hAnsi="Arial" w:eastAsia="MS Gothic" w:cs="Arial"/>
                <w:sz w:val="18"/>
                <w:szCs w:val="18"/>
              </w:rPr>
              <w:t> </w:t>
            </w:r>
            <w:r>
              <w:rPr>
                <w:rFonts w:hint="eastAsia" w:cs="宋体"/>
                <w:sz w:val="18"/>
                <w:szCs w:val="18"/>
              </w:rPr>
              <w:br w:type="textWrapping"/>
            </w:r>
            <w:r>
              <w:rPr>
                <w:rFonts w:hint="eastAsia" w:cs="宋体"/>
                <w:sz w:val="18"/>
                <w:szCs w:val="18"/>
              </w:rPr>
              <w:t>4、高分辨率：1920×1080，可清晰展示图像、文字信息。</w:t>
            </w:r>
            <w:r>
              <w:rPr>
                <w:rFonts w:hint="eastAsia" w:cs="宋体"/>
                <w:sz w:val="18"/>
                <w:szCs w:val="18"/>
              </w:rPr>
              <w:br w:type="textWrapping"/>
            </w:r>
            <w:r>
              <w:rPr>
                <w:rFonts w:hint="eastAsia" w:cs="宋体"/>
                <w:sz w:val="18"/>
                <w:szCs w:val="18"/>
              </w:rPr>
              <w:t>5、良好的透光率：透光率通常&gt;90%，使屏幕显示清晰明亮，减少视觉疲劳。</w:t>
            </w:r>
            <w:r>
              <w:rPr>
                <w:rFonts w:hint="eastAsia" w:cs="宋体"/>
                <w:sz w:val="18"/>
                <w:szCs w:val="18"/>
              </w:rPr>
              <w:br w:type="textWrapping"/>
            </w:r>
            <w:r>
              <w:rPr>
                <w:rFonts w:hint="eastAsia" w:cs="宋体"/>
                <w:sz w:val="18"/>
                <w:szCs w:val="18"/>
              </w:rPr>
              <w:t>6、长触摸寿命：单点触摸寿命可达5000万次以上，保证长期稳定使用。</w:t>
            </w:r>
            <w:r>
              <w:rPr>
                <w:rFonts w:hint="eastAsia" w:cs="宋体"/>
                <w:sz w:val="18"/>
                <w:szCs w:val="18"/>
              </w:rPr>
              <w:br w:type="textWrapping"/>
            </w:r>
            <w:r>
              <w:rPr>
                <w:rFonts w:hint="eastAsia" w:cs="宋体"/>
                <w:sz w:val="18"/>
                <w:szCs w:val="18"/>
              </w:rPr>
              <w:t>7、多种接口：具备HDMI、VGA、USB、LAN等接口，方便与电脑、主机等设备连接。</w:t>
            </w:r>
          </w:p>
        </w:tc>
        <w:tc>
          <w:tcPr>
            <w:tcW w:w="42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1</w:t>
            </w:r>
          </w:p>
        </w:tc>
        <w:tc>
          <w:tcPr>
            <w:tcW w:w="6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180" w:firstLineChars="100"/>
              <w:textAlignment w:val="center"/>
              <w:rPr>
                <w:rFonts w:ascii="宋体" w:hAnsi="宋体" w:cs="宋体"/>
                <w:sz w:val="18"/>
                <w:szCs w:val="18"/>
              </w:rPr>
            </w:pPr>
          </w:p>
        </w:tc>
      </w:tr>
      <w:tr>
        <w:tblPrEx>
          <w:tblCellMar>
            <w:top w:w="0" w:type="dxa"/>
            <w:left w:w="0" w:type="dxa"/>
            <w:bottom w:w="0" w:type="dxa"/>
            <w:right w:w="0" w:type="dxa"/>
          </w:tblCellMar>
        </w:tblPrEx>
        <w:trPr>
          <w:trHeight w:val="346" w:hRule="atLeast"/>
          <w:jc w:val="center"/>
        </w:trPr>
        <w:tc>
          <w:tcPr>
            <w:tcW w:w="733"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p>
        </w:tc>
        <w:tc>
          <w:tcPr>
            <w:tcW w:w="753"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p>
        </w:tc>
        <w:tc>
          <w:tcPr>
            <w:tcW w:w="77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18"/>
                <w:szCs w:val="18"/>
              </w:rPr>
            </w:pPr>
            <w:r>
              <w:rPr>
                <w:rFonts w:hint="eastAsia" w:ascii="宋体" w:hAnsi="宋体" w:cs="宋体"/>
                <w:sz w:val="18"/>
                <w:szCs w:val="18"/>
              </w:rPr>
              <w:t>安全帽撞击体验</w:t>
            </w:r>
          </w:p>
        </w:tc>
        <w:tc>
          <w:tcPr>
            <w:tcW w:w="6297"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rPr>
                <w:rFonts w:ascii="宋体" w:hAnsi="宋体" w:cs="宋体"/>
                <w:sz w:val="18"/>
                <w:szCs w:val="18"/>
              </w:rPr>
            </w:pPr>
            <w:r>
              <w:rPr>
                <w:rFonts w:hint="eastAsia" w:ascii="宋体" w:hAnsi="宋体" w:cs="宋体"/>
                <w:sz w:val="18"/>
                <w:szCs w:val="18"/>
              </w:rPr>
              <w:t>高*长*宽：2400*1000*1000</w:t>
            </w:r>
          </w:p>
          <w:p>
            <w:pPr>
              <w:pStyle w:val="21"/>
              <w:rPr>
                <w:rFonts w:cs="宋体"/>
                <w:sz w:val="18"/>
                <w:szCs w:val="18"/>
              </w:rPr>
            </w:pPr>
            <w:r>
              <w:rPr>
                <w:rFonts w:hint="eastAsia" w:cs="宋体"/>
                <w:sz w:val="18"/>
                <w:szCs w:val="18"/>
              </w:rPr>
              <w:t>1、伺服电动缸模块*2</w:t>
            </w:r>
            <w:r>
              <w:rPr>
                <w:rFonts w:hint="eastAsia" w:cs="宋体"/>
                <w:sz w:val="18"/>
                <w:szCs w:val="18"/>
              </w:rPr>
              <w:br w:type="textWrapping"/>
            </w:r>
            <w:r>
              <w:rPr>
                <w:rFonts w:hint="eastAsia" w:cs="宋体"/>
                <w:sz w:val="18"/>
                <w:szCs w:val="18"/>
              </w:rPr>
              <w:t>2、PRC编程，连锁控制系统</w:t>
            </w:r>
            <w:r>
              <w:rPr>
                <w:rFonts w:hint="eastAsia" w:cs="宋体"/>
                <w:sz w:val="18"/>
                <w:szCs w:val="18"/>
              </w:rPr>
              <w:br w:type="textWrapping"/>
            </w:r>
            <w:r>
              <w:rPr>
                <w:rFonts w:hint="eastAsia" w:cs="宋体"/>
                <w:sz w:val="18"/>
                <w:szCs w:val="18"/>
              </w:rPr>
              <w:t>3、可对控制撞击物进行坠落与上升的控制</w:t>
            </w:r>
            <w:r>
              <w:rPr>
                <w:rFonts w:hint="eastAsia" w:cs="宋体"/>
                <w:sz w:val="18"/>
                <w:szCs w:val="18"/>
              </w:rPr>
              <w:br w:type="textWrapping"/>
            </w:r>
            <w:r>
              <w:rPr>
                <w:rFonts w:hint="eastAsia" w:cs="宋体"/>
                <w:sz w:val="18"/>
                <w:szCs w:val="18"/>
              </w:rPr>
              <w:t>4、物理撞击模拟：通常使用特制的安全帽撞击实验装置，通过遥控或手动按钮控制上端的实心圆球等撞击物从一定高度自由落下撞击安全帽，让体验者感受到冲击力，体验者会感受到冲击力和安全帽的缓冲效果。</w:t>
            </w:r>
          </w:p>
        </w:tc>
        <w:tc>
          <w:tcPr>
            <w:tcW w:w="42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1</w:t>
            </w:r>
          </w:p>
        </w:tc>
        <w:tc>
          <w:tcPr>
            <w:tcW w:w="6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180" w:firstLineChars="100"/>
              <w:textAlignment w:val="center"/>
              <w:rPr>
                <w:rFonts w:ascii="宋体" w:hAnsi="宋体" w:cs="宋体"/>
                <w:sz w:val="18"/>
                <w:szCs w:val="18"/>
              </w:rPr>
            </w:pPr>
            <w:r>
              <w:rPr>
                <w:rFonts w:hint="eastAsia" w:ascii="宋体" w:hAnsi="宋体" w:cs="宋体"/>
                <w:color w:val="000000"/>
                <w:sz w:val="18"/>
                <w:szCs w:val="18"/>
              </w:rPr>
              <w:t>项</w:t>
            </w:r>
          </w:p>
        </w:tc>
      </w:tr>
      <w:tr>
        <w:tblPrEx>
          <w:tblCellMar>
            <w:top w:w="0" w:type="dxa"/>
            <w:left w:w="0" w:type="dxa"/>
            <w:bottom w:w="0" w:type="dxa"/>
            <w:right w:w="0" w:type="dxa"/>
          </w:tblCellMar>
        </w:tblPrEx>
        <w:trPr>
          <w:trHeight w:val="346" w:hRule="atLeast"/>
          <w:jc w:val="center"/>
        </w:trPr>
        <w:tc>
          <w:tcPr>
            <w:tcW w:w="733"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p>
        </w:tc>
        <w:tc>
          <w:tcPr>
            <w:tcW w:w="753"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p>
        </w:tc>
        <w:tc>
          <w:tcPr>
            <w:tcW w:w="77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18"/>
                <w:szCs w:val="18"/>
              </w:rPr>
            </w:pPr>
            <w:r>
              <w:rPr>
                <w:rFonts w:hint="eastAsia" w:ascii="宋体" w:hAnsi="宋体" w:cs="宋体"/>
                <w:sz w:val="18"/>
                <w:szCs w:val="18"/>
              </w:rPr>
              <w:t>模拟轧机碾压伤害系统</w:t>
            </w:r>
          </w:p>
        </w:tc>
        <w:tc>
          <w:tcPr>
            <w:tcW w:w="6297"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rPr>
                <w:rFonts w:ascii="宋体" w:hAnsi="宋体" w:cs="宋体"/>
                <w:sz w:val="18"/>
                <w:szCs w:val="18"/>
              </w:rPr>
            </w:pPr>
            <w:r>
              <w:rPr>
                <w:rFonts w:hint="eastAsia" w:ascii="宋体" w:hAnsi="宋体" w:cs="宋体"/>
                <w:sz w:val="18"/>
                <w:szCs w:val="18"/>
              </w:rPr>
              <w:t>高*长*宽：2400*1000*1000</w:t>
            </w:r>
          </w:p>
          <w:p>
            <w:pPr>
              <w:pStyle w:val="21"/>
              <w:rPr>
                <w:rFonts w:cs="宋体"/>
                <w:sz w:val="18"/>
                <w:szCs w:val="18"/>
              </w:rPr>
            </w:pPr>
            <w:r>
              <w:rPr>
                <w:rFonts w:hint="eastAsia" w:cs="宋体"/>
                <w:sz w:val="18"/>
                <w:szCs w:val="18"/>
              </w:rPr>
              <w:t>1、模拟模拟真实夹手场景：通过精确控制辊子的运动，如转动速度、辊间距等，模拟出不同程度的夹手情况，让体验者真实感受到夹手的危险。</w:t>
            </w:r>
            <w:r>
              <w:rPr>
                <w:rFonts w:hint="eastAsia" w:cs="宋体"/>
                <w:sz w:val="18"/>
                <w:szCs w:val="18"/>
              </w:rPr>
              <w:br w:type="textWrapping"/>
            </w:r>
            <w:r>
              <w:rPr>
                <w:rFonts w:hint="eastAsia" w:cs="宋体"/>
                <w:sz w:val="18"/>
                <w:szCs w:val="18"/>
              </w:rPr>
              <w:t>2、安全防护功能：当模拟夹手动作启动时，系统会自动检测体验者的手部位置和状态，一旦检测到可能对体验者造成伤害的情况，会立即停止辊子的运动，确保体验者的安全。</w:t>
            </w:r>
            <w:r>
              <w:rPr>
                <w:rFonts w:hint="eastAsia" w:cs="宋体"/>
                <w:sz w:val="18"/>
                <w:szCs w:val="18"/>
              </w:rPr>
              <w:br w:type="textWrapping"/>
            </w:r>
            <w:r>
              <w:rPr>
                <w:rFonts w:hint="eastAsia" w:cs="宋体"/>
                <w:sz w:val="18"/>
                <w:szCs w:val="18"/>
              </w:rPr>
              <w:t>3、参数调节功能：可根据不同的培训需求和体验者的情况，调节辊子的转速、夹手的力度、模拟夹手的时间等参数，以适应不同的培训场景和体验者的承受能力。</w:t>
            </w:r>
          </w:p>
        </w:tc>
        <w:tc>
          <w:tcPr>
            <w:tcW w:w="42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1</w:t>
            </w:r>
          </w:p>
        </w:tc>
        <w:tc>
          <w:tcPr>
            <w:tcW w:w="6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180" w:firstLineChars="100"/>
              <w:textAlignment w:val="center"/>
              <w:rPr>
                <w:rFonts w:ascii="宋体" w:hAnsi="宋体" w:cs="宋体"/>
                <w:sz w:val="18"/>
                <w:szCs w:val="18"/>
              </w:rPr>
            </w:pPr>
            <w:r>
              <w:rPr>
                <w:rFonts w:hint="eastAsia" w:ascii="宋体" w:hAnsi="宋体" w:cs="宋体"/>
                <w:color w:val="000000"/>
                <w:sz w:val="18"/>
                <w:szCs w:val="18"/>
              </w:rPr>
              <w:t>项</w:t>
            </w:r>
          </w:p>
        </w:tc>
      </w:tr>
      <w:tr>
        <w:tblPrEx>
          <w:tblCellMar>
            <w:top w:w="0" w:type="dxa"/>
            <w:left w:w="0" w:type="dxa"/>
            <w:bottom w:w="0" w:type="dxa"/>
            <w:right w:w="0" w:type="dxa"/>
          </w:tblCellMar>
        </w:tblPrEx>
        <w:trPr>
          <w:trHeight w:val="346" w:hRule="atLeast"/>
          <w:jc w:val="center"/>
        </w:trPr>
        <w:tc>
          <w:tcPr>
            <w:tcW w:w="733"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p>
        </w:tc>
        <w:tc>
          <w:tcPr>
            <w:tcW w:w="753"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p>
        </w:tc>
        <w:tc>
          <w:tcPr>
            <w:tcW w:w="77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18"/>
                <w:szCs w:val="18"/>
              </w:rPr>
            </w:pPr>
            <w:r>
              <w:rPr>
                <w:rFonts w:hint="eastAsia" w:ascii="宋体" w:hAnsi="宋体" w:cs="宋体"/>
                <w:sz w:val="18"/>
                <w:szCs w:val="18"/>
              </w:rPr>
              <w:t>安全鞋冲击体验</w:t>
            </w:r>
          </w:p>
        </w:tc>
        <w:tc>
          <w:tcPr>
            <w:tcW w:w="6297"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rPr>
                <w:rFonts w:ascii="宋体" w:hAnsi="宋体" w:cs="宋体"/>
                <w:sz w:val="18"/>
                <w:szCs w:val="18"/>
              </w:rPr>
            </w:pPr>
            <w:r>
              <w:rPr>
                <w:rFonts w:hint="eastAsia" w:ascii="宋体" w:hAnsi="宋体" w:cs="宋体"/>
                <w:sz w:val="18"/>
                <w:szCs w:val="18"/>
              </w:rPr>
              <w:t>高*长*宽：2400*1000*1000</w:t>
            </w:r>
          </w:p>
          <w:p>
            <w:pPr>
              <w:pStyle w:val="21"/>
              <w:rPr>
                <w:rFonts w:cs="宋体"/>
                <w:sz w:val="18"/>
                <w:szCs w:val="18"/>
              </w:rPr>
            </w:pPr>
            <w:r>
              <w:rPr>
                <w:rFonts w:hint="eastAsia" w:cs="宋体"/>
                <w:sz w:val="18"/>
                <w:szCs w:val="18"/>
              </w:rPr>
              <w:t>1、体验方式：物理撞击体验，使用专门的安全鞋撞击体验设备，体验者正确穿戴安全鞋后直立在指定位置，通过遥控装置使安全球从一定高度坠落砸击安全鞋鞋头部位，感受安全鞋对冲击的缓冲效果。</w:t>
            </w:r>
            <w:r>
              <w:rPr>
                <w:rFonts w:hint="eastAsia" w:cs="宋体"/>
                <w:sz w:val="18"/>
                <w:szCs w:val="18"/>
              </w:rPr>
              <w:br w:type="textWrapping"/>
            </w:r>
            <w:r>
              <w:rPr>
                <w:rFonts w:hint="eastAsia" w:cs="宋体"/>
                <w:sz w:val="18"/>
                <w:szCs w:val="18"/>
              </w:rPr>
              <w:t>2、开启设备后，撞击物会从设定高度落下模拟物体打击，撞击安全鞋鞋头。体验者会感受到冲击力和安全鞋的缓冲效果，以及对脚部的保护作用</w:t>
            </w:r>
          </w:p>
        </w:tc>
        <w:tc>
          <w:tcPr>
            <w:tcW w:w="42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1</w:t>
            </w:r>
          </w:p>
        </w:tc>
        <w:tc>
          <w:tcPr>
            <w:tcW w:w="6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180" w:firstLineChars="100"/>
              <w:textAlignment w:val="center"/>
              <w:rPr>
                <w:rFonts w:ascii="宋体" w:hAnsi="宋体" w:cs="宋体"/>
                <w:sz w:val="18"/>
                <w:szCs w:val="18"/>
              </w:rPr>
            </w:pPr>
            <w:r>
              <w:rPr>
                <w:rFonts w:hint="eastAsia" w:ascii="宋体" w:hAnsi="宋体" w:cs="宋体"/>
                <w:color w:val="000000"/>
                <w:sz w:val="18"/>
                <w:szCs w:val="18"/>
              </w:rPr>
              <w:t>项</w:t>
            </w:r>
          </w:p>
        </w:tc>
      </w:tr>
      <w:tr>
        <w:tblPrEx>
          <w:tblCellMar>
            <w:top w:w="0" w:type="dxa"/>
            <w:left w:w="0" w:type="dxa"/>
            <w:bottom w:w="0" w:type="dxa"/>
            <w:right w:w="0" w:type="dxa"/>
          </w:tblCellMar>
        </w:tblPrEx>
        <w:trPr>
          <w:trHeight w:val="346" w:hRule="atLeast"/>
          <w:jc w:val="center"/>
        </w:trPr>
        <w:tc>
          <w:tcPr>
            <w:tcW w:w="733" w:type="dxa"/>
            <w:vMerge w:val="continue"/>
            <w:tcBorders>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p>
        </w:tc>
        <w:tc>
          <w:tcPr>
            <w:tcW w:w="753" w:type="dxa"/>
            <w:vMerge w:val="continue"/>
            <w:tcBorders>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p>
        </w:tc>
        <w:tc>
          <w:tcPr>
            <w:tcW w:w="77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18"/>
                <w:szCs w:val="18"/>
              </w:rPr>
            </w:pPr>
            <w:r>
              <w:rPr>
                <w:rFonts w:hint="eastAsia" w:ascii="宋体" w:hAnsi="宋体" w:cs="宋体"/>
                <w:sz w:val="18"/>
                <w:szCs w:val="18"/>
              </w:rPr>
              <w:t>触电体验</w:t>
            </w:r>
          </w:p>
        </w:tc>
        <w:tc>
          <w:tcPr>
            <w:tcW w:w="6297"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cs="宋体"/>
                <w:sz w:val="18"/>
                <w:szCs w:val="18"/>
              </w:rPr>
            </w:pPr>
            <w:r>
              <w:rPr>
                <w:rFonts w:hint="eastAsia" w:ascii="宋体" w:hAnsi="宋体" w:cs="宋体"/>
                <w:sz w:val="18"/>
                <w:szCs w:val="18"/>
              </w:rPr>
              <w:t>高*宽2100*1300</w:t>
            </w:r>
          </w:p>
          <w:p>
            <w:pPr>
              <w:pStyle w:val="21"/>
              <w:rPr>
                <w:rFonts w:cs="宋体"/>
                <w:sz w:val="18"/>
                <w:szCs w:val="18"/>
              </w:rPr>
            </w:pPr>
            <w:r>
              <w:rPr>
                <w:rFonts w:hint="eastAsia" w:cs="宋体"/>
                <w:sz w:val="18"/>
                <w:szCs w:val="18"/>
              </w:rPr>
              <w:t>1、工作电源：①采用隔离开关电源；②输出有效电压不大于15V（大于该电压会自保护，此时输出为0V），输出电流50μA。</w:t>
            </w:r>
            <w:r>
              <w:rPr>
                <w:rFonts w:hint="eastAsia" w:cs="宋体"/>
                <w:sz w:val="18"/>
                <w:szCs w:val="18"/>
              </w:rPr>
              <w:br w:type="textWrapping"/>
            </w:r>
            <w:r>
              <w:rPr>
                <w:rFonts w:hint="eastAsia" w:cs="宋体"/>
                <w:sz w:val="18"/>
                <w:szCs w:val="18"/>
              </w:rPr>
              <w:t>③输出波形及频率：脉冲基波为方波:脉冲宽度为80μs，误差≤±3％；调制波频率范围：20Hz~300Hz，误差≤±3％；开路峰值电压不超过200V。</w:t>
            </w:r>
            <w:r>
              <w:rPr>
                <w:rFonts w:hint="eastAsia" w:cs="宋体"/>
                <w:sz w:val="18"/>
                <w:szCs w:val="18"/>
              </w:rPr>
              <w:br w:type="textWrapping"/>
            </w:r>
            <w:r>
              <w:rPr>
                <w:rFonts w:hint="eastAsia" w:cs="宋体"/>
                <w:sz w:val="18"/>
                <w:szCs w:val="18"/>
              </w:rPr>
              <w:t>2、体验方式：低压触电模拟，利用安全的低压电源（低于36V），通过调节电压和电流强度，模拟人体接触漏电设备时的触电感觉。这种方式相对安全，主要用于让体验者初步感受触电的麻刺感。</w:t>
            </w:r>
          </w:p>
        </w:tc>
        <w:tc>
          <w:tcPr>
            <w:tcW w:w="42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1</w:t>
            </w:r>
          </w:p>
        </w:tc>
        <w:tc>
          <w:tcPr>
            <w:tcW w:w="6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180" w:firstLineChars="100"/>
              <w:textAlignment w:val="center"/>
              <w:rPr>
                <w:rFonts w:ascii="宋体" w:hAnsi="宋体" w:cs="宋体"/>
                <w:sz w:val="18"/>
                <w:szCs w:val="18"/>
              </w:rPr>
            </w:pPr>
            <w:r>
              <w:rPr>
                <w:rFonts w:hint="eastAsia" w:ascii="宋体" w:hAnsi="宋体" w:cs="宋体"/>
                <w:color w:val="000000"/>
                <w:sz w:val="18"/>
                <w:szCs w:val="18"/>
              </w:rPr>
              <w:t>项</w:t>
            </w:r>
          </w:p>
        </w:tc>
      </w:tr>
      <w:tr>
        <w:tblPrEx>
          <w:tblCellMar>
            <w:top w:w="0" w:type="dxa"/>
            <w:left w:w="0" w:type="dxa"/>
            <w:bottom w:w="0" w:type="dxa"/>
            <w:right w:w="0" w:type="dxa"/>
          </w:tblCellMar>
        </w:tblPrEx>
        <w:trPr>
          <w:trHeight w:val="346" w:hRule="atLeast"/>
          <w:jc w:val="center"/>
        </w:trPr>
        <w:tc>
          <w:tcPr>
            <w:tcW w:w="733" w:type="dxa"/>
            <w:vMerge w:val="restart"/>
            <w:tcBorders>
              <w:top w:val="single" w:color="auto" w:sz="4" w:space="0"/>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5</w:t>
            </w:r>
          </w:p>
        </w:tc>
        <w:tc>
          <w:tcPr>
            <w:tcW w:w="753" w:type="dxa"/>
            <w:vMerge w:val="restart"/>
            <w:tcBorders>
              <w:top w:val="single" w:color="auto" w:sz="4" w:space="0"/>
              <w:left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 w:val="18"/>
                <w:szCs w:val="18"/>
              </w:rPr>
            </w:pPr>
            <w:r>
              <w:rPr>
                <w:rFonts w:hint="eastAsia" w:ascii="宋体" w:hAnsi="宋体" w:cs="宋体"/>
                <w:color w:val="000000"/>
                <w:sz w:val="18"/>
                <w:szCs w:val="18"/>
              </w:rPr>
              <w:t>有限空间体验系统</w:t>
            </w:r>
          </w:p>
        </w:tc>
        <w:tc>
          <w:tcPr>
            <w:tcW w:w="7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18"/>
                <w:szCs w:val="18"/>
              </w:rPr>
            </w:pPr>
            <w:r>
              <w:rPr>
                <w:rFonts w:hint="eastAsia" w:ascii="宋体" w:hAnsi="宋体" w:cs="宋体"/>
                <w:sz w:val="18"/>
                <w:szCs w:val="18"/>
              </w:rPr>
              <w:t>多媒体软件</w:t>
            </w:r>
          </w:p>
        </w:tc>
        <w:tc>
          <w:tcPr>
            <w:tcW w:w="629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cs="宋体"/>
                <w:sz w:val="18"/>
                <w:szCs w:val="18"/>
              </w:rPr>
            </w:pPr>
            <w:r>
              <w:rPr>
                <w:rFonts w:hint="eastAsia" w:ascii="宋体" w:hAnsi="宋体" w:cs="宋体"/>
                <w:sz w:val="18"/>
                <w:szCs w:val="18"/>
              </w:rPr>
              <w:t>在受限的空间内作业是最为危险的，主要受限空间有管道、储罐、容器、反应釜、地下电缆沟、阴井、水池、烟道等。这些环境都是比较密封的，由于环境十分复杂，并且容易发生变化，同时在出现危险的时候求助难度也较大，很容易发生安全事故，如果没有有效的救援方式，还有可能扩大事故伤亡。掌握正确的进入有限空间的流程。</w:t>
            </w:r>
          </w:p>
        </w:tc>
        <w:tc>
          <w:tcPr>
            <w:tcW w:w="42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1</w:t>
            </w:r>
          </w:p>
        </w:tc>
        <w:tc>
          <w:tcPr>
            <w:tcW w:w="6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180" w:firstLineChars="100"/>
              <w:textAlignment w:val="center"/>
              <w:rPr>
                <w:rFonts w:ascii="宋体" w:hAnsi="宋体" w:cs="宋体"/>
                <w:sz w:val="18"/>
                <w:szCs w:val="18"/>
              </w:rPr>
            </w:pPr>
            <w:r>
              <w:rPr>
                <w:rFonts w:hint="eastAsia" w:ascii="宋体" w:hAnsi="宋体" w:cs="宋体"/>
                <w:color w:val="000000"/>
                <w:sz w:val="18"/>
                <w:szCs w:val="18"/>
              </w:rPr>
              <w:t>项</w:t>
            </w:r>
          </w:p>
        </w:tc>
      </w:tr>
      <w:tr>
        <w:tblPrEx>
          <w:tblCellMar>
            <w:top w:w="0" w:type="dxa"/>
            <w:left w:w="0" w:type="dxa"/>
            <w:bottom w:w="0" w:type="dxa"/>
            <w:right w:w="0" w:type="dxa"/>
          </w:tblCellMar>
        </w:tblPrEx>
        <w:trPr>
          <w:trHeight w:val="346" w:hRule="atLeast"/>
          <w:jc w:val="center"/>
        </w:trPr>
        <w:tc>
          <w:tcPr>
            <w:tcW w:w="733"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p>
        </w:tc>
        <w:tc>
          <w:tcPr>
            <w:tcW w:w="753"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p>
        </w:tc>
        <w:tc>
          <w:tcPr>
            <w:tcW w:w="7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18"/>
                <w:szCs w:val="18"/>
              </w:rPr>
            </w:pPr>
            <w:r>
              <w:rPr>
                <w:rFonts w:hint="eastAsia" w:ascii="宋体" w:hAnsi="宋体" w:cs="宋体"/>
                <w:sz w:val="18"/>
                <w:szCs w:val="18"/>
              </w:rPr>
              <w:t>有限空间+配件</w:t>
            </w:r>
          </w:p>
        </w:tc>
        <w:tc>
          <w:tcPr>
            <w:tcW w:w="629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cs="宋体"/>
                <w:sz w:val="18"/>
                <w:szCs w:val="18"/>
              </w:rPr>
            </w:pPr>
            <w:r>
              <w:rPr>
                <w:rFonts w:hint="eastAsia" w:ascii="宋体" w:hAnsi="宋体" w:cs="宋体"/>
                <w:sz w:val="18"/>
                <w:szCs w:val="18"/>
              </w:rPr>
              <w:t>碳钢定制，防腐工艺，罐体直径不小于180厘米，</w:t>
            </w:r>
          </w:p>
        </w:tc>
        <w:tc>
          <w:tcPr>
            <w:tcW w:w="42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1</w:t>
            </w:r>
          </w:p>
        </w:tc>
        <w:tc>
          <w:tcPr>
            <w:tcW w:w="6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180" w:firstLineChars="100"/>
              <w:textAlignment w:val="center"/>
              <w:rPr>
                <w:rFonts w:ascii="宋体" w:hAnsi="宋体" w:cs="宋体"/>
                <w:sz w:val="18"/>
                <w:szCs w:val="18"/>
              </w:rPr>
            </w:pPr>
            <w:r>
              <w:rPr>
                <w:rFonts w:hint="eastAsia" w:ascii="宋体" w:hAnsi="宋体" w:cs="宋体"/>
                <w:color w:val="000000"/>
                <w:sz w:val="18"/>
                <w:szCs w:val="18"/>
              </w:rPr>
              <w:t>项</w:t>
            </w:r>
          </w:p>
        </w:tc>
      </w:tr>
      <w:tr>
        <w:tblPrEx>
          <w:tblCellMar>
            <w:top w:w="0" w:type="dxa"/>
            <w:left w:w="0" w:type="dxa"/>
            <w:bottom w:w="0" w:type="dxa"/>
            <w:right w:w="0" w:type="dxa"/>
          </w:tblCellMar>
        </w:tblPrEx>
        <w:trPr>
          <w:trHeight w:val="346" w:hRule="atLeast"/>
          <w:jc w:val="center"/>
        </w:trPr>
        <w:tc>
          <w:tcPr>
            <w:tcW w:w="733"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p>
        </w:tc>
        <w:tc>
          <w:tcPr>
            <w:tcW w:w="753"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p>
        </w:tc>
        <w:tc>
          <w:tcPr>
            <w:tcW w:w="7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18"/>
                <w:szCs w:val="18"/>
              </w:rPr>
            </w:pPr>
            <w:r>
              <w:rPr>
                <w:rFonts w:hint="eastAsia" w:ascii="宋体" w:hAnsi="宋体" w:cs="宋体"/>
                <w:sz w:val="18"/>
                <w:szCs w:val="18"/>
              </w:rPr>
              <w:t>触控一体机</w:t>
            </w:r>
          </w:p>
        </w:tc>
        <w:tc>
          <w:tcPr>
            <w:tcW w:w="629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cs="宋体"/>
                <w:sz w:val="18"/>
                <w:szCs w:val="18"/>
              </w:rPr>
            </w:pPr>
            <w:r>
              <w:rPr>
                <w:rFonts w:hint="eastAsia" w:ascii="宋体" w:hAnsi="宋体" w:cs="宋体"/>
                <w:sz w:val="18"/>
                <w:szCs w:val="18"/>
              </w:rPr>
              <w:t>50寸触摸一体机，4G运行，128G固态，多点红外触摸屏，触摸分辩率32767*32767，非接触式红外感应定位技术</w:t>
            </w:r>
          </w:p>
        </w:tc>
        <w:tc>
          <w:tcPr>
            <w:tcW w:w="42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1</w:t>
            </w:r>
          </w:p>
        </w:tc>
        <w:tc>
          <w:tcPr>
            <w:tcW w:w="6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180" w:firstLineChars="100"/>
              <w:textAlignment w:val="center"/>
              <w:rPr>
                <w:rFonts w:ascii="宋体" w:hAnsi="宋体" w:cs="宋体"/>
                <w:sz w:val="18"/>
                <w:szCs w:val="18"/>
              </w:rPr>
            </w:pPr>
            <w:r>
              <w:rPr>
                <w:rFonts w:hint="eastAsia" w:ascii="宋体" w:hAnsi="宋体" w:cs="宋体"/>
                <w:color w:val="000000"/>
                <w:sz w:val="18"/>
                <w:szCs w:val="18"/>
              </w:rPr>
              <w:t>项</w:t>
            </w:r>
          </w:p>
        </w:tc>
      </w:tr>
      <w:tr>
        <w:tblPrEx>
          <w:tblCellMar>
            <w:top w:w="0" w:type="dxa"/>
            <w:left w:w="0" w:type="dxa"/>
            <w:bottom w:w="0" w:type="dxa"/>
            <w:right w:w="0" w:type="dxa"/>
          </w:tblCellMar>
        </w:tblPrEx>
        <w:trPr>
          <w:trHeight w:val="346" w:hRule="atLeast"/>
          <w:jc w:val="center"/>
        </w:trPr>
        <w:tc>
          <w:tcPr>
            <w:tcW w:w="733" w:type="dxa"/>
            <w:vMerge w:val="continue"/>
            <w:tcBorders>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p>
        </w:tc>
        <w:tc>
          <w:tcPr>
            <w:tcW w:w="753" w:type="dxa"/>
            <w:vMerge w:val="continue"/>
            <w:tcBorders>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p>
        </w:tc>
        <w:tc>
          <w:tcPr>
            <w:tcW w:w="7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18"/>
                <w:szCs w:val="18"/>
              </w:rPr>
            </w:pPr>
            <w:r>
              <w:rPr>
                <w:rFonts w:hint="eastAsia" w:ascii="宋体" w:hAnsi="宋体" w:cs="宋体"/>
                <w:sz w:val="18"/>
                <w:szCs w:val="18"/>
              </w:rPr>
              <w:t>模拟假人</w:t>
            </w:r>
          </w:p>
        </w:tc>
        <w:tc>
          <w:tcPr>
            <w:tcW w:w="629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cs="宋体"/>
                <w:sz w:val="18"/>
                <w:szCs w:val="18"/>
              </w:rPr>
            </w:pPr>
            <w:r>
              <w:rPr>
                <w:rFonts w:hint="eastAsia" w:ascii="宋体" w:hAnsi="宋体" w:cs="宋体"/>
                <w:sz w:val="18"/>
                <w:szCs w:val="18"/>
              </w:rPr>
              <w:t>高分子合成，51寸</w:t>
            </w:r>
          </w:p>
        </w:tc>
        <w:tc>
          <w:tcPr>
            <w:tcW w:w="42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1</w:t>
            </w:r>
          </w:p>
        </w:tc>
        <w:tc>
          <w:tcPr>
            <w:tcW w:w="6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180" w:firstLineChars="100"/>
              <w:textAlignment w:val="center"/>
              <w:rPr>
                <w:rFonts w:ascii="宋体" w:hAnsi="宋体" w:cs="宋体"/>
                <w:sz w:val="18"/>
                <w:szCs w:val="18"/>
              </w:rPr>
            </w:pPr>
            <w:r>
              <w:rPr>
                <w:rFonts w:hint="eastAsia" w:ascii="宋体" w:hAnsi="宋体" w:cs="宋体"/>
                <w:color w:val="000000"/>
                <w:sz w:val="18"/>
                <w:szCs w:val="18"/>
              </w:rPr>
              <w:t>项</w:t>
            </w:r>
          </w:p>
        </w:tc>
      </w:tr>
    </w:tbl>
    <w:p>
      <w:pPr>
        <w:pStyle w:val="2"/>
        <w:spacing w:line="240" w:lineRule="auto"/>
        <w:ind w:left="0" w:leftChars="0" w:firstLine="0" w:firstLineChars="0"/>
        <w:jc w:val="both"/>
        <w:rPr>
          <w:rFonts w:ascii="楷体_GB2312" w:hAnsi="楷体_GB2312" w:eastAsia="楷体_GB2312" w:cs="楷体_GB2312"/>
          <w:b/>
          <w:bCs/>
          <w:sz w:val="28"/>
          <w:szCs w:val="28"/>
          <w:lang w:eastAsia="zh-CN"/>
        </w:rPr>
      </w:pPr>
      <w:r>
        <w:rPr>
          <w:rFonts w:hint="eastAsia" w:ascii="楷体_GB2312" w:hAnsi="楷体_GB2312" w:eastAsia="楷体_GB2312" w:cs="楷体_GB2312"/>
          <w:b/>
          <w:bCs/>
          <w:sz w:val="28"/>
          <w:szCs w:val="28"/>
          <w:lang w:eastAsia="zh-CN"/>
        </w:rPr>
        <w:t>三、室内布展技术要求</w:t>
      </w:r>
    </w:p>
    <w:tbl>
      <w:tblPr>
        <w:tblStyle w:val="13"/>
        <w:tblW w:w="4971" w:type="pct"/>
        <w:jc w:val="center"/>
        <w:tblLayout w:type="autofit"/>
        <w:tblCellMar>
          <w:top w:w="0" w:type="dxa"/>
          <w:left w:w="108" w:type="dxa"/>
          <w:bottom w:w="0" w:type="dxa"/>
          <w:right w:w="108" w:type="dxa"/>
        </w:tblCellMar>
      </w:tblPr>
      <w:tblGrid>
        <w:gridCol w:w="581"/>
        <w:gridCol w:w="1420"/>
        <w:gridCol w:w="6472"/>
      </w:tblGrid>
      <w:tr>
        <w:tblPrEx>
          <w:tblCellMar>
            <w:top w:w="0" w:type="dxa"/>
            <w:left w:w="108" w:type="dxa"/>
            <w:bottom w:w="0" w:type="dxa"/>
            <w:right w:w="108" w:type="dxa"/>
          </w:tblCellMar>
        </w:tblPrEx>
        <w:trPr>
          <w:trHeight w:val="567" w:hRule="atLeast"/>
          <w:jc w:val="center"/>
        </w:trPr>
        <w:tc>
          <w:tcPr>
            <w:tcW w:w="343"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kern w:val="0"/>
                <w:szCs w:val="21"/>
              </w:rPr>
            </w:pPr>
            <w:r>
              <w:rPr>
                <w:rFonts w:hint="eastAsia" w:ascii="宋体" w:hAnsi="宋体" w:cs="宋体"/>
                <w:b/>
                <w:bCs/>
                <w:kern w:val="0"/>
                <w:szCs w:val="21"/>
              </w:rPr>
              <w:t>序号</w:t>
            </w:r>
          </w:p>
        </w:tc>
        <w:tc>
          <w:tcPr>
            <w:tcW w:w="838"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kern w:val="0"/>
                <w:szCs w:val="21"/>
              </w:rPr>
            </w:pPr>
            <w:r>
              <w:rPr>
                <w:rFonts w:hint="eastAsia" w:ascii="宋体" w:hAnsi="宋体" w:cs="宋体"/>
                <w:b/>
                <w:bCs/>
                <w:kern w:val="0"/>
                <w:szCs w:val="21"/>
              </w:rPr>
              <w:t>项目名称</w:t>
            </w:r>
          </w:p>
        </w:tc>
        <w:tc>
          <w:tcPr>
            <w:tcW w:w="3819"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kern w:val="0"/>
                <w:szCs w:val="21"/>
              </w:rPr>
            </w:pPr>
            <w:r>
              <w:rPr>
                <w:rFonts w:hint="eastAsia" w:ascii="宋体" w:hAnsi="宋体" w:cs="宋体"/>
                <w:b/>
                <w:bCs/>
                <w:kern w:val="0"/>
                <w:szCs w:val="21"/>
              </w:rPr>
              <w:t>技术指标要求</w:t>
            </w:r>
          </w:p>
        </w:tc>
      </w:tr>
      <w:tr>
        <w:tblPrEx>
          <w:tblCellMar>
            <w:top w:w="0" w:type="dxa"/>
            <w:left w:w="108" w:type="dxa"/>
            <w:bottom w:w="0" w:type="dxa"/>
            <w:right w:w="108" w:type="dxa"/>
          </w:tblCellMar>
        </w:tblPrEx>
        <w:trPr>
          <w:trHeight w:val="567" w:hRule="atLeast"/>
          <w:jc w:val="center"/>
        </w:trPr>
        <w:tc>
          <w:tcPr>
            <w:tcW w:w="343"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1</w:t>
            </w:r>
          </w:p>
        </w:tc>
        <w:tc>
          <w:tcPr>
            <w:tcW w:w="838"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kern w:val="0"/>
                <w:szCs w:val="21"/>
              </w:rPr>
            </w:pPr>
            <w:r>
              <w:rPr>
                <w:rFonts w:hint="eastAsia" w:ascii="宋体" w:hAnsi="宋体" w:cs="宋体"/>
                <w:sz w:val="18"/>
                <w:szCs w:val="18"/>
              </w:rPr>
              <w:t>装修设计</w:t>
            </w:r>
          </w:p>
        </w:tc>
        <w:tc>
          <w:tcPr>
            <w:tcW w:w="3819" w:type="pct"/>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b/>
                <w:bCs/>
                <w:kern w:val="0"/>
                <w:szCs w:val="21"/>
              </w:rPr>
            </w:pPr>
            <w:r>
              <w:rPr>
                <w:rFonts w:hint="eastAsia" w:ascii="宋体" w:hAnsi="宋体" w:cs="宋体"/>
                <w:kern w:val="0"/>
                <w:szCs w:val="21"/>
              </w:rPr>
              <w:t>装修部局设计要整体协调、合理、美观，色调要与设备的色调协调。要符合国家及行业的标准和规范，以及安全、健康、环保的相关要求。</w:t>
            </w:r>
          </w:p>
        </w:tc>
      </w:tr>
      <w:tr>
        <w:tblPrEx>
          <w:tblCellMar>
            <w:top w:w="0" w:type="dxa"/>
            <w:left w:w="108" w:type="dxa"/>
            <w:bottom w:w="0" w:type="dxa"/>
            <w:right w:w="108" w:type="dxa"/>
          </w:tblCellMar>
        </w:tblPrEx>
        <w:trPr>
          <w:trHeight w:val="567" w:hRule="atLeast"/>
          <w:jc w:val="center"/>
        </w:trPr>
        <w:tc>
          <w:tcPr>
            <w:tcW w:w="343"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2</w:t>
            </w:r>
          </w:p>
        </w:tc>
        <w:tc>
          <w:tcPr>
            <w:tcW w:w="838" w:type="pct"/>
            <w:tcBorders>
              <w:top w:val="single" w:color="auto" w:sz="4" w:space="0"/>
              <w:left w:val="single" w:color="auto" w:sz="4" w:space="0"/>
              <w:bottom w:val="single" w:color="auto" w:sz="4" w:space="0"/>
              <w:right w:val="single" w:color="auto" w:sz="4" w:space="0"/>
            </w:tcBorders>
            <w:shd w:val="clear" w:color="FFFFFF" w:fill="FFFFFF"/>
            <w:vAlign w:val="center"/>
          </w:tcPr>
          <w:p>
            <w:pPr>
              <w:jc w:val="center"/>
              <w:rPr>
                <w:rFonts w:ascii="宋体" w:hAnsi="宋体" w:cs="宋体"/>
                <w:kern w:val="0"/>
                <w:szCs w:val="21"/>
              </w:rPr>
            </w:pPr>
            <w:r>
              <w:rPr>
                <w:rFonts w:hint="eastAsia"/>
              </w:rPr>
              <w:t>强电</w:t>
            </w:r>
          </w:p>
        </w:tc>
        <w:tc>
          <w:tcPr>
            <w:tcW w:w="3819" w:type="pct"/>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ascii="宋体" w:hAnsi="宋体" w:cs="宋体"/>
                <w:sz w:val="18"/>
                <w:szCs w:val="18"/>
              </w:rPr>
            </w:pPr>
            <w:r>
              <w:rPr>
                <w:rFonts w:hint="eastAsia" w:ascii="宋体" w:hAnsi="宋体" w:cs="宋体"/>
                <w:sz w:val="18"/>
                <w:szCs w:val="18"/>
              </w:rPr>
              <w:t>1、供电容量和负荷应满足照明设备、空调系统、安防系统等多种用电设备需求，一般照明负荷按每平方米10 - 20瓦计算，空调负荷根据不同的空调类型和使用面积来确定。</w:t>
            </w:r>
            <w:r>
              <w:rPr>
                <w:rFonts w:hint="eastAsia" w:ascii="宋体" w:hAnsi="宋体" w:cs="宋体"/>
                <w:sz w:val="18"/>
                <w:szCs w:val="18"/>
              </w:rPr>
              <w:br w:type="textWrapping"/>
            </w:r>
            <w:r>
              <w:rPr>
                <w:rFonts w:ascii="宋体" w:hAnsi="宋体" w:cs="宋体"/>
                <w:sz w:val="18"/>
                <w:szCs w:val="18"/>
              </w:rPr>
              <w:t>2</w:t>
            </w:r>
            <w:r>
              <w:rPr>
                <w:rFonts w:hint="eastAsia" w:ascii="宋体" w:hAnsi="宋体" w:cs="宋体"/>
                <w:sz w:val="18"/>
                <w:szCs w:val="18"/>
              </w:rPr>
              <w:t>、照明设计，主要考虑参观人员的视觉体验，保证展区有足够的亮度。</w:t>
            </w:r>
            <w:r>
              <w:rPr>
                <w:rFonts w:hint="eastAsia" w:ascii="宋体" w:hAnsi="宋体" w:cs="宋体"/>
                <w:sz w:val="18"/>
                <w:szCs w:val="18"/>
              </w:rPr>
              <w:br w:type="textWrapping"/>
            </w:r>
            <w:r>
              <w:rPr>
                <w:rFonts w:ascii="宋体" w:hAnsi="宋体" w:cs="宋体"/>
                <w:sz w:val="18"/>
                <w:szCs w:val="18"/>
              </w:rPr>
              <w:t>3</w:t>
            </w:r>
            <w:r>
              <w:rPr>
                <w:rFonts w:hint="eastAsia" w:ascii="宋体" w:hAnsi="宋体" w:cs="宋体"/>
                <w:sz w:val="18"/>
                <w:szCs w:val="18"/>
              </w:rPr>
              <w:t>、动力电供应主要用于空调、消防设备等。</w:t>
            </w:r>
          </w:p>
        </w:tc>
      </w:tr>
      <w:tr>
        <w:tblPrEx>
          <w:tblCellMar>
            <w:top w:w="0" w:type="dxa"/>
            <w:left w:w="108" w:type="dxa"/>
            <w:bottom w:w="0" w:type="dxa"/>
            <w:right w:w="108" w:type="dxa"/>
          </w:tblCellMar>
        </w:tblPrEx>
        <w:trPr>
          <w:trHeight w:val="567" w:hRule="atLeast"/>
          <w:jc w:val="center"/>
        </w:trPr>
        <w:tc>
          <w:tcPr>
            <w:tcW w:w="343"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3</w:t>
            </w:r>
          </w:p>
        </w:tc>
        <w:tc>
          <w:tcPr>
            <w:tcW w:w="838" w:type="pct"/>
            <w:tcBorders>
              <w:top w:val="nil"/>
              <w:left w:val="single" w:color="auto" w:sz="4" w:space="0"/>
              <w:bottom w:val="single" w:color="auto" w:sz="4" w:space="0"/>
              <w:right w:val="single" w:color="auto" w:sz="4" w:space="0"/>
            </w:tcBorders>
            <w:shd w:val="clear" w:color="FFFFFF" w:fill="FFFFFF"/>
            <w:vAlign w:val="center"/>
          </w:tcPr>
          <w:p>
            <w:pPr>
              <w:jc w:val="center"/>
              <w:rPr>
                <w:rFonts w:ascii="宋体" w:hAnsi="宋体" w:cs="宋体"/>
                <w:kern w:val="0"/>
                <w:szCs w:val="21"/>
              </w:rPr>
            </w:pPr>
            <w:r>
              <w:rPr>
                <w:rFonts w:hint="eastAsia"/>
              </w:rPr>
              <w:t>弱电</w:t>
            </w:r>
          </w:p>
        </w:tc>
        <w:tc>
          <w:tcPr>
            <w:tcW w:w="3819" w:type="pct"/>
            <w:tcBorders>
              <w:top w:val="nil"/>
              <w:left w:val="single" w:color="auto" w:sz="4" w:space="0"/>
              <w:bottom w:val="single" w:color="auto" w:sz="4" w:space="0"/>
              <w:right w:val="single" w:color="auto" w:sz="4" w:space="0"/>
            </w:tcBorders>
            <w:shd w:val="clear" w:color="000000" w:fill="FFFFFF"/>
            <w:vAlign w:val="center"/>
          </w:tcPr>
          <w:p>
            <w:pPr>
              <w:jc w:val="left"/>
              <w:rPr>
                <w:rFonts w:ascii="宋体" w:hAnsi="宋体" w:cs="宋体"/>
                <w:sz w:val="18"/>
                <w:szCs w:val="18"/>
              </w:rPr>
            </w:pPr>
            <w:r>
              <w:rPr>
                <w:rFonts w:hint="eastAsia" w:ascii="宋体" w:hAnsi="宋体" w:cs="宋体"/>
                <w:sz w:val="18"/>
                <w:szCs w:val="18"/>
              </w:rPr>
              <w:t>1、安防系统：包括监控系统、门禁系统。监控系统实现展厅、通道等区域的全覆盖，摄像头具备高清晰度和夜视功能。门禁系统严格控制人员进出，通过刷卡、指纹识别等方式，只允许授权人员进入特定区域。</w:t>
            </w:r>
            <w:r>
              <w:rPr>
                <w:rFonts w:hint="eastAsia" w:ascii="宋体" w:hAnsi="宋体" w:cs="宋体"/>
                <w:sz w:val="18"/>
                <w:szCs w:val="18"/>
              </w:rPr>
              <w:br w:type="textWrapping"/>
            </w:r>
            <w:r>
              <w:rPr>
                <w:rFonts w:hint="eastAsia" w:ascii="宋体" w:hAnsi="宋体" w:cs="宋体"/>
                <w:sz w:val="18"/>
                <w:szCs w:val="18"/>
              </w:rPr>
              <w:t>2、通信系统便于工作人员之间的沟通以及观众的信息查询，需要完善的通信系统。馆内设置足够的信息查询终端，为体验人员提供展品介绍、参观路线等信息服务。</w:t>
            </w:r>
            <w:r>
              <w:rPr>
                <w:rFonts w:hint="eastAsia" w:ascii="宋体" w:hAnsi="宋体" w:cs="宋体"/>
                <w:sz w:val="18"/>
                <w:szCs w:val="18"/>
              </w:rPr>
              <w:br w:type="textWrapping"/>
            </w:r>
            <w:r>
              <w:rPr>
                <w:rFonts w:hint="eastAsia" w:ascii="宋体" w:hAnsi="宋体" w:cs="宋体"/>
                <w:sz w:val="18"/>
                <w:szCs w:val="18"/>
              </w:rPr>
              <w:t>3、智能化控制系统：通过智能控制系统，可以实现对照明、空调等设备的集中控制和自动化管理。可以根据不同的时间、季节和参观人数调节照明亮度和空调温度，既能满足体验馆的运行需求，又节约能源。</w:t>
            </w:r>
            <w:r>
              <w:rPr>
                <w:rFonts w:hint="eastAsia" w:ascii="宋体" w:hAnsi="宋体" w:cs="宋体"/>
                <w:sz w:val="18"/>
                <w:szCs w:val="18"/>
              </w:rPr>
              <w:br w:type="textWrapping"/>
            </w:r>
            <w:r>
              <w:rPr>
                <w:rFonts w:hint="eastAsia" w:ascii="宋体" w:hAnsi="宋体" w:cs="宋体"/>
                <w:sz w:val="18"/>
                <w:szCs w:val="18"/>
              </w:rPr>
              <w:t>4、网络系统为高速稳定的网络系统，用于办公自动化、展区数字化管理、在线展览等功能。同时，确保网络安全，防止网络攻击。</w:t>
            </w:r>
          </w:p>
        </w:tc>
      </w:tr>
      <w:tr>
        <w:tblPrEx>
          <w:tblCellMar>
            <w:top w:w="0" w:type="dxa"/>
            <w:left w:w="108" w:type="dxa"/>
            <w:bottom w:w="0" w:type="dxa"/>
            <w:right w:w="108" w:type="dxa"/>
          </w:tblCellMar>
        </w:tblPrEx>
        <w:trPr>
          <w:trHeight w:val="567" w:hRule="atLeast"/>
          <w:jc w:val="center"/>
        </w:trPr>
        <w:tc>
          <w:tcPr>
            <w:tcW w:w="343"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4</w:t>
            </w:r>
          </w:p>
        </w:tc>
        <w:tc>
          <w:tcPr>
            <w:tcW w:w="838" w:type="pct"/>
            <w:tcBorders>
              <w:top w:val="nil"/>
              <w:left w:val="single" w:color="auto" w:sz="4" w:space="0"/>
              <w:bottom w:val="single" w:color="auto" w:sz="4" w:space="0"/>
              <w:right w:val="single" w:color="auto" w:sz="4" w:space="0"/>
            </w:tcBorders>
            <w:shd w:val="clear" w:color="FFFFFF" w:fill="FFFFFF"/>
            <w:vAlign w:val="center"/>
          </w:tcPr>
          <w:p>
            <w:pPr>
              <w:jc w:val="center"/>
              <w:rPr>
                <w:rFonts w:ascii="宋体" w:hAnsi="宋体" w:cs="宋体"/>
                <w:kern w:val="0"/>
                <w:szCs w:val="21"/>
              </w:rPr>
            </w:pPr>
            <w:r>
              <w:rPr>
                <w:rFonts w:hint="eastAsia"/>
              </w:rPr>
              <w:t>隔断墙</w:t>
            </w:r>
          </w:p>
        </w:tc>
        <w:tc>
          <w:tcPr>
            <w:tcW w:w="3819" w:type="pct"/>
            <w:tcBorders>
              <w:top w:val="nil"/>
              <w:left w:val="single" w:color="auto" w:sz="4" w:space="0"/>
              <w:bottom w:val="single" w:color="auto" w:sz="4" w:space="0"/>
              <w:right w:val="single" w:color="auto" w:sz="4" w:space="0"/>
            </w:tcBorders>
            <w:shd w:val="clear" w:color="auto" w:fill="auto"/>
            <w:vAlign w:val="center"/>
          </w:tcPr>
          <w:p>
            <w:pPr>
              <w:jc w:val="left"/>
              <w:rPr>
                <w:rFonts w:ascii="宋体" w:hAnsi="宋体" w:cs="宋体"/>
                <w:sz w:val="18"/>
                <w:szCs w:val="18"/>
              </w:rPr>
            </w:pPr>
            <w:r>
              <w:rPr>
                <w:rFonts w:hint="eastAsia" w:ascii="宋体" w:hAnsi="宋体" w:cs="宋体"/>
                <w:sz w:val="18"/>
                <w:szCs w:val="18"/>
              </w:rPr>
              <w:t>轻钢龙骨石膏板隔断墙：轻钢龙骨为框架，纸面石膏板为墙面材料。可以根据需要灵活调整墙体高度和长度。</w:t>
            </w:r>
          </w:p>
        </w:tc>
      </w:tr>
      <w:tr>
        <w:tblPrEx>
          <w:tblCellMar>
            <w:top w:w="0" w:type="dxa"/>
            <w:left w:w="108" w:type="dxa"/>
            <w:bottom w:w="0" w:type="dxa"/>
            <w:right w:w="108" w:type="dxa"/>
          </w:tblCellMar>
        </w:tblPrEx>
        <w:trPr>
          <w:trHeight w:val="567" w:hRule="atLeast"/>
          <w:jc w:val="center"/>
        </w:trPr>
        <w:tc>
          <w:tcPr>
            <w:tcW w:w="343"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5</w:t>
            </w:r>
          </w:p>
        </w:tc>
        <w:tc>
          <w:tcPr>
            <w:tcW w:w="838" w:type="pct"/>
            <w:tcBorders>
              <w:top w:val="nil"/>
              <w:left w:val="single" w:color="auto" w:sz="4" w:space="0"/>
              <w:bottom w:val="single" w:color="auto" w:sz="4" w:space="0"/>
              <w:right w:val="single" w:color="auto" w:sz="4" w:space="0"/>
            </w:tcBorders>
            <w:shd w:val="clear" w:color="FFFFFF" w:fill="FFFFFF"/>
            <w:vAlign w:val="center"/>
          </w:tcPr>
          <w:p>
            <w:pPr>
              <w:jc w:val="center"/>
              <w:rPr>
                <w:rFonts w:ascii="宋体" w:hAnsi="宋体" w:cs="宋体"/>
                <w:kern w:val="0"/>
                <w:szCs w:val="21"/>
              </w:rPr>
            </w:pPr>
            <w:r>
              <w:rPr>
                <w:rFonts w:hint="eastAsia"/>
              </w:rPr>
              <w:t>广告</w:t>
            </w:r>
          </w:p>
        </w:tc>
        <w:tc>
          <w:tcPr>
            <w:tcW w:w="3819" w:type="pct"/>
            <w:tcBorders>
              <w:top w:val="nil"/>
              <w:left w:val="single" w:color="auto" w:sz="4" w:space="0"/>
              <w:bottom w:val="single" w:color="auto" w:sz="4" w:space="0"/>
              <w:right w:val="single" w:color="auto" w:sz="4" w:space="0"/>
            </w:tcBorders>
            <w:shd w:val="clear" w:color="auto" w:fill="auto"/>
            <w:vAlign w:val="center"/>
          </w:tcPr>
          <w:p>
            <w:pPr>
              <w:jc w:val="left"/>
              <w:rPr>
                <w:rFonts w:ascii="宋体" w:hAnsi="宋体" w:cs="宋体"/>
                <w:sz w:val="18"/>
                <w:szCs w:val="18"/>
              </w:rPr>
            </w:pPr>
            <w:r>
              <w:rPr>
                <w:rFonts w:hint="eastAsia" w:ascii="宋体" w:hAnsi="宋体" w:cs="宋体"/>
                <w:sz w:val="18"/>
                <w:szCs w:val="18"/>
              </w:rPr>
              <w:t>雪弗板标识牌及亚克力字、 宣绒布喷绘画</w:t>
            </w:r>
          </w:p>
        </w:tc>
      </w:tr>
      <w:tr>
        <w:tblPrEx>
          <w:tblCellMar>
            <w:top w:w="0" w:type="dxa"/>
            <w:left w:w="108" w:type="dxa"/>
            <w:bottom w:w="0" w:type="dxa"/>
            <w:right w:w="108" w:type="dxa"/>
          </w:tblCellMar>
        </w:tblPrEx>
        <w:trPr>
          <w:trHeight w:val="567" w:hRule="atLeast"/>
          <w:jc w:val="center"/>
        </w:trPr>
        <w:tc>
          <w:tcPr>
            <w:tcW w:w="343"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6</w:t>
            </w:r>
          </w:p>
        </w:tc>
        <w:tc>
          <w:tcPr>
            <w:tcW w:w="838" w:type="pct"/>
            <w:tcBorders>
              <w:top w:val="nil"/>
              <w:left w:val="single" w:color="auto" w:sz="4" w:space="0"/>
              <w:bottom w:val="single" w:color="auto" w:sz="4" w:space="0"/>
              <w:right w:val="single" w:color="auto" w:sz="4" w:space="0"/>
            </w:tcBorders>
            <w:shd w:val="clear" w:color="FFFFFF" w:fill="FFFFFF"/>
            <w:vAlign w:val="center"/>
          </w:tcPr>
          <w:p>
            <w:pPr>
              <w:jc w:val="center"/>
              <w:rPr>
                <w:rFonts w:ascii="宋体" w:hAnsi="宋体" w:cs="宋体"/>
                <w:kern w:val="0"/>
                <w:szCs w:val="21"/>
              </w:rPr>
            </w:pPr>
            <w:r>
              <w:rPr>
                <w:rFonts w:hint="eastAsia"/>
              </w:rPr>
              <w:t>造型灯带</w:t>
            </w:r>
          </w:p>
        </w:tc>
        <w:tc>
          <w:tcPr>
            <w:tcW w:w="3819" w:type="pct"/>
            <w:tcBorders>
              <w:top w:val="nil"/>
              <w:left w:val="single" w:color="auto" w:sz="4" w:space="0"/>
              <w:bottom w:val="single" w:color="auto" w:sz="4" w:space="0"/>
              <w:right w:val="single" w:color="auto" w:sz="4" w:space="0"/>
            </w:tcBorders>
            <w:shd w:val="clear" w:color="000000" w:fill="FFFFFF"/>
            <w:vAlign w:val="center"/>
          </w:tcPr>
          <w:p>
            <w:pPr>
              <w:jc w:val="left"/>
              <w:rPr>
                <w:rFonts w:ascii="宋体" w:hAnsi="宋体" w:cs="宋体"/>
                <w:sz w:val="18"/>
                <w:szCs w:val="18"/>
              </w:rPr>
            </w:pPr>
            <w:r>
              <w:rPr>
                <w:rFonts w:hint="eastAsia" w:ascii="宋体" w:hAnsi="宋体" w:cs="宋体"/>
                <w:sz w:val="18"/>
                <w:szCs w:val="18"/>
              </w:rPr>
              <w:t>1、采用软灯带：灯带质地柔软，可以随意弯曲造型。能够贴合各种不规则的形状，实现多种创意造型。</w:t>
            </w:r>
            <w:r>
              <w:rPr>
                <w:rFonts w:hint="eastAsia" w:ascii="宋体" w:hAnsi="宋体" w:cs="宋体"/>
                <w:sz w:val="18"/>
                <w:szCs w:val="18"/>
              </w:rPr>
              <w:br w:type="textWrapping"/>
            </w:r>
            <w:r>
              <w:rPr>
                <w:rFonts w:hint="eastAsia" w:ascii="宋体" w:hAnsi="宋体" w:cs="宋体"/>
                <w:sz w:val="18"/>
                <w:szCs w:val="18"/>
              </w:rPr>
              <w:t>2、发光效果为单色光，可选用暖白色、冷白色等。其中冷白色光比较明亮，适合应急体验馆。</w:t>
            </w:r>
            <w:r>
              <w:rPr>
                <w:rFonts w:hint="eastAsia" w:ascii="宋体" w:hAnsi="宋体" w:cs="宋体"/>
                <w:sz w:val="18"/>
                <w:szCs w:val="18"/>
              </w:rPr>
              <w:br w:type="textWrapping"/>
            </w:r>
            <w:r>
              <w:rPr>
                <w:rFonts w:hint="eastAsia" w:ascii="宋体" w:hAnsi="宋体" w:cs="宋体"/>
                <w:sz w:val="18"/>
                <w:szCs w:val="18"/>
              </w:rPr>
              <w:t>3、安装方式为嵌入式安装，需要在安装的物体表面开槽，将灯带嵌入其中，使灯带与表面齐平。</w:t>
            </w:r>
          </w:p>
        </w:tc>
      </w:tr>
      <w:tr>
        <w:tblPrEx>
          <w:tblCellMar>
            <w:top w:w="0" w:type="dxa"/>
            <w:left w:w="108" w:type="dxa"/>
            <w:bottom w:w="0" w:type="dxa"/>
            <w:right w:w="108" w:type="dxa"/>
          </w:tblCellMar>
        </w:tblPrEx>
        <w:trPr>
          <w:trHeight w:val="567" w:hRule="atLeast"/>
          <w:jc w:val="center"/>
        </w:trPr>
        <w:tc>
          <w:tcPr>
            <w:tcW w:w="343"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7</w:t>
            </w:r>
          </w:p>
        </w:tc>
        <w:tc>
          <w:tcPr>
            <w:tcW w:w="838" w:type="pct"/>
            <w:tcBorders>
              <w:top w:val="nil"/>
              <w:left w:val="single" w:color="auto" w:sz="4" w:space="0"/>
              <w:bottom w:val="single" w:color="auto" w:sz="4" w:space="0"/>
              <w:right w:val="single" w:color="auto" w:sz="4" w:space="0"/>
            </w:tcBorders>
            <w:shd w:val="clear" w:color="FFFFFF" w:fill="FFFFFF"/>
            <w:vAlign w:val="center"/>
          </w:tcPr>
          <w:p>
            <w:pPr>
              <w:jc w:val="center"/>
              <w:rPr>
                <w:rFonts w:ascii="宋体" w:hAnsi="宋体" w:cs="宋体"/>
                <w:kern w:val="0"/>
                <w:szCs w:val="21"/>
              </w:rPr>
            </w:pPr>
            <w:r>
              <w:rPr>
                <w:rFonts w:hint="eastAsia"/>
              </w:rPr>
              <w:t>应急照明及疏散指示</w:t>
            </w:r>
          </w:p>
        </w:tc>
        <w:tc>
          <w:tcPr>
            <w:tcW w:w="3819" w:type="pct"/>
            <w:tcBorders>
              <w:top w:val="nil"/>
              <w:left w:val="single" w:color="auto" w:sz="4" w:space="0"/>
              <w:bottom w:val="single" w:color="auto" w:sz="4" w:space="0"/>
              <w:right w:val="single" w:color="auto" w:sz="4" w:space="0"/>
            </w:tcBorders>
            <w:shd w:val="clear" w:color="auto" w:fill="auto"/>
            <w:vAlign w:val="center"/>
          </w:tcPr>
          <w:p>
            <w:pPr>
              <w:jc w:val="left"/>
              <w:rPr>
                <w:rFonts w:ascii="宋体" w:hAnsi="宋体" w:cs="宋体"/>
                <w:sz w:val="18"/>
                <w:szCs w:val="18"/>
              </w:rPr>
            </w:pPr>
            <w:r>
              <w:rPr>
                <w:rFonts w:hint="eastAsia" w:ascii="宋体" w:hAnsi="宋体" w:cs="宋体"/>
                <w:sz w:val="18"/>
                <w:szCs w:val="18"/>
              </w:rPr>
              <w:t>应急照明及疏散指示、安全出口按照国家标准布设。</w:t>
            </w:r>
          </w:p>
        </w:tc>
      </w:tr>
      <w:tr>
        <w:tblPrEx>
          <w:tblCellMar>
            <w:top w:w="0" w:type="dxa"/>
            <w:left w:w="108" w:type="dxa"/>
            <w:bottom w:w="0" w:type="dxa"/>
            <w:right w:w="108" w:type="dxa"/>
          </w:tblCellMar>
        </w:tblPrEx>
        <w:trPr>
          <w:trHeight w:val="567" w:hRule="atLeast"/>
          <w:jc w:val="center"/>
        </w:trPr>
        <w:tc>
          <w:tcPr>
            <w:tcW w:w="343"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8</w:t>
            </w:r>
          </w:p>
        </w:tc>
        <w:tc>
          <w:tcPr>
            <w:tcW w:w="838" w:type="pct"/>
            <w:tcBorders>
              <w:top w:val="nil"/>
              <w:left w:val="single" w:color="auto" w:sz="4" w:space="0"/>
              <w:bottom w:val="single" w:color="auto" w:sz="4" w:space="0"/>
              <w:right w:val="single" w:color="auto" w:sz="4" w:space="0"/>
            </w:tcBorders>
            <w:shd w:val="clear" w:color="auto" w:fill="auto"/>
            <w:vAlign w:val="center"/>
          </w:tcPr>
          <w:p>
            <w:pPr>
              <w:jc w:val="center"/>
            </w:pPr>
            <w:r>
              <w:rPr>
                <w:rFonts w:hint="eastAsia"/>
              </w:rPr>
              <w:t>地面分区装饰</w:t>
            </w:r>
          </w:p>
        </w:tc>
        <w:tc>
          <w:tcPr>
            <w:tcW w:w="3819" w:type="pct"/>
            <w:tcBorders>
              <w:top w:val="nil"/>
              <w:left w:val="single" w:color="auto" w:sz="4" w:space="0"/>
              <w:bottom w:val="single" w:color="auto" w:sz="4" w:space="0"/>
              <w:right w:val="single" w:color="auto" w:sz="4" w:space="0"/>
            </w:tcBorders>
            <w:shd w:val="clear" w:color="auto" w:fill="auto"/>
            <w:vAlign w:val="center"/>
          </w:tcPr>
          <w:p>
            <w:pPr>
              <w:jc w:val="left"/>
              <w:rPr>
                <w:rFonts w:ascii="宋体" w:hAnsi="宋体" w:cs="宋体"/>
                <w:sz w:val="18"/>
                <w:szCs w:val="18"/>
              </w:rPr>
            </w:pPr>
            <w:r>
              <w:rPr>
                <w:rFonts w:hint="eastAsia" w:ascii="宋体" w:hAnsi="宋体" w:cs="宋体"/>
                <w:sz w:val="18"/>
                <w:szCs w:val="18"/>
              </w:rPr>
              <w:t>通过不同材料、色彩、图案等元素组合，对地面空间进行划分，提升空间功能性与美观度。</w:t>
            </w:r>
          </w:p>
        </w:tc>
      </w:tr>
      <w:tr>
        <w:tblPrEx>
          <w:tblCellMar>
            <w:top w:w="0" w:type="dxa"/>
            <w:left w:w="108" w:type="dxa"/>
            <w:bottom w:w="0" w:type="dxa"/>
            <w:right w:w="108" w:type="dxa"/>
          </w:tblCellMar>
        </w:tblPrEx>
        <w:trPr>
          <w:trHeight w:val="567" w:hRule="atLeast"/>
          <w:jc w:val="center"/>
        </w:trPr>
        <w:tc>
          <w:tcPr>
            <w:tcW w:w="343"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9</w:t>
            </w:r>
          </w:p>
        </w:tc>
        <w:tc>
          <w:tcPr>
            <w:tcW w:w="838"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3P柜式空调</w:t>
            </w:r>
          </w:p>
        </w:tc>
        <w:tc>
          <w:tcPr>
            <w:tcW w:w="3819" w:type="pct"/>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宋体" w:hAnsi="宋体" w:cs="宋体"/>
                <w:sz w:val="18"/>
                <w:szCs w:val="18"/>
              </w:rPr>
            </w:pPr>
            <w:r>
              <w:rPr>
                <w:rFonts w:hint="eastAsia" w:ascii="宋体" w:hAnsi="宋体" w:cs="宋体"/>
                <w:sz w:val="18"/>
                <w:szCs w:val="18"/>
              </w:rPr>
              <w:t>包含主辅材采购、运输、安装等全部内容</w:t>
            </w:r>
          </w:p>
        </w:tc>
      </w:tr>
    </w:tbl>
    <w:p>
      <w:pPr>
        <w:pStyle w:val="2"/>
        <w:spacing w:line="240" w:lineRule="auto"/>
        <w:ind w:left="0" w:leftChars="0" w:firstLine="0" w:firstLineChars="0"/>
        <w:jc w:val="both"/>
        <w:rPr>
          <w:rFonts w:ascii="楷体_GB2312" w:hAnsi="楷体_GB2312" w:eastAsia="楷体_GB2312" w:cs="楷体_GB2312"/>
          <w:b/>
          <w:bCs/>
          <w:sz w:val="28"/>
          <w:szCs w:val="28"/>
          <w:lang w:eastAsia="zh-CN"/>
        </w:rPr>
      </w:pPr>
      <w:r>
        <w:rPr>
          <w:rFonts w:hint="eastAsia" w:ascii="楷体_GB2312" w:hAnsi="楷体_GB2312" w:eastAsia="楷体_GB2312" w:cs="楷体_GB2312"/>
          <w:b/>
          <w:bCs/>
          <w:sz w:val="28"/>
          <w:szCs w:val="28"/>
          <w:lang w:eastAsia="zh-CN"/>
        </w:rPr>
        <w:t>四、室内装修施工要求：</w:t>
      </w:r>
    </w:p>
    <w:p>
      <w:pPr>
        <w:pStyle w:val="2"/>
        <w:spacing w:line="520" w:lineRule="exact"/>
        <w:ind w:left="0" w:leftChars="0" w:firstLine="480"/>
        <w:jc w:val="both"/>
        <w:rPr>
          <w:rFonts w:ascii="宋体" w:hAnsi="宋体" w:cs="仿宋"/>
          <w:kern w:val="2"/>
          <w:sz w:val="24"/>
          <w:lang w:eastAsia="zh-CN"/>
        </w:rPr>
      </w:pPr>
      <w:r>
        <w:rPr>
          <w:rFonts w:hint="eastAsia" w:ascii="宋体" w:hAnsi="宋体" w:cs="仿宋"/>
          <w:kern w:val="2"/>
          <w:sz w:val="24"/>
          <w:lang w:eastAsia="zh-CN"/>
        </w:rPr>
        <w:t>装修材质应选取质量、性能稳定，符合国家环保标准的高品质装修材料，工艺应细致入微，符合公司整体风格。</w:t>
      </w:r>
    </w:p>
    <w:p>
      <w:pPr>
        <w:pStyle w:val="2"/>
        <w:spacing w:line="520" w:lineRule="exact"/>
        <w:ind w:left="0" w:leftChars="0" w:firstLine="480"/>
        <w:jc w:val="both"/>
        <w:rPr>
          <w:rFonts w:ascii="宋体" w:hAnsi="宋体" w:cs="仿宋"/>
          <w:kern w:val="2"/>
          <w:sz w:val="24"/>
          <w:lang w:eastAsia="zh-CN"/>
        </w:rPr>
      </w:pPr>
      <w:r>
        <w:rPr>
          <w:rFonts w:hint="eastAsia" w:ascii="宋体" w:hAnsi="宋体" w:cs="仿宋"/>
          <w:kern w:val="2"/>
          <w:sz w:val="24"/>
          <w:lang w:eastAsia="zh-CN"/>
        </w:rPr>
        <w:t>在各设备后侧墙面一定高度处设置相对应的插座满足使用。</w:t>
      </w:r>
    </w:p>
    <w:p>
      <w:pPr>
        <w:pStyle w:val="2"/>
        <w:spacing w:line="520" w:lineRule="exact"/>
        <w:ind w:left="0" w:leftChars="0" w:firstLine="480"/>
        <w:jc w:val="both"/>
        <w:rPr>
          <w:rFonts w:ascii="宋体" w:hAnsi="宋体" w:cs="仿宋"/>
          <w:kern w:val="2"/>
          <w:sz w:val="24"/>
          <w:lang w:eastAsia="zh-CN"/>
        </w:rPr>
      </w:pPr>
      <w:r>
        <w:rPr>
          <w:rFonts w:hint="eastAsia" w:ascii="宋体" w:hAnsi="宋体" w:cs="仿宋"/>
          <w:kern w:val="2"/>
          <w:sz w:val="24"/>
          <w:lang w:eastAsia="zh-CN"/>
        </w:rPr>
        <w:t>文化墙内容（文字展板及广告类）的选取、制作应符合招标方公司实际，内容新颖，能够反应企业安全文化典型内涵，对外展示企业安全文化精神面貌。</w:t>
      </w:r>
    </w:p>
    <w:p>
      <w:pPr>
        <w:pStyle w:val="2"/>
        <w:spacing w:line="520" w:lineRule="exact"/>
        <w:ind w:left="0" w:leftChars="0" w:firstLine="480"/>
        <w:jc w:val="both"/>
        <w:rPr>
          <w:rFonts w:ascii="宋体" w:hAnsi="宋体" w:cs="仿宋"/>
          <w:kern w:val="2"/>
          <w:sz w:val="24"/>
          <w:lang w:eastAsia="zh-CN"/>
        </w:rPr>
      </w:pPr>
      <w:r>
        <w:rPr>
          <w:rFonts w:hint="eastAsia" w:ascii="宋体" w:hAnsi="宋体" w:cs="仿宋"/>
          <w:kern w:val="2"/>
          <w:sz w:val="24"/>
          <w:lang w:eastAsia="zh-CN"/>
        </w:rPr>
        <w:t>所改造的房间墙面进行粉刷统一色调并保证采用具有环保性能要求的乳胶漆等，地面铺设耐磨塑胶地板。</w:t>
      </w:r>
    </w:p>
    <w:p>
      <w:pPr>
        <w:pStyle w:val="2"/>
        <w:spacing w:line="520" w:lineRule="exact"/>
        <w:ind w:left="0" w:leftChars="0" w:firstLine="480"/>
        <w:jc w:val="both"/>
        <w:rPr>
          <w:rFonts w:ascii="宋体" w:hAnsi="宋体" w:cs="仿宋"/>
          <w:kern w:val="2"/>
          <w:sz w:val="24"/>
          <w:lang w:eastAsia="zh-CN"/>
        </w:rPr>
      </w:pPr>
      <w:r>
        <w:rPr>
          <w:rFonts w:hint="eastAsia" w:ascii="宋体" w:hAnsi="宋体" w:cs="仿宋"/>
          <w:kern w:val="2"/>
          <w:sz w:val="24"/>
          <w:lang w:eastAsia="zh-CN"/>
        </w:rPr>
        <w:t xml:space="preserve">部分灯带采用防水、防火耐高温节能型材料。 </w:t>
      </w:r>
    </w:p>
    <w:p>
      <w:pPr>
        <w:pStyle w:val="2"/>
        <w:spacing w:line="520" w:lineRule="exact"/>
        <w:ind w:left="0" w:leftChars="0" w:firstLine="480"/>
        <w:jc w:val="both"/>
        <w:rPr>
          <w:rFonts w:ascii="宋体" w:hAnsi="宋体" w:cs="仿宋"/>
          <w:kern w:val="2"/>
          <w:sz w:val="24"/>
          <w:lang w:eastAsia="zh-CN"/>
        </w:rPr>
      </w:pPr>
      <w:r>
        <w:rPr>
          <w:rFonts w:hint="eastAsia" w:ascii="宋体" w:hAnsi="宋体" w:cs="仿宋"/>
          <w:kern w:val="2"/>
          <w:sz w:val="24"/>
          <w:lang w:eastAsia="zh-CN"/>
        </w:rPr>
        <w:t xml:space="preserve">所有埋线处规整，使用国标产品电线电缆以及具有防火性能。要求的穿线管进行管内敷设，裸露在外的穿线管粉刷防火材料，做到有意识的在起火根源进行杜绝。 </w:t>
      </w:r>
    </w:p>
    <w:p>
      <w:pPr>
        <w:pStyle w:val="2"/>
        <w:spacing w:line="520" w:lineRule="exact"/>
        <w:ind w:left="0" w:leftChars="0" w:firstLine="480"/>
        <w:jc w:val="both"/>
        <w:rPr>
          <w:rFonts w:ascii="宋体" w:hAnsi="宋体" w:cs="仿宋"/>
          <w:kern w:val="2"/>
          <w:sz w:val="24"/>
          <w:lang w:eastAsia="zh-CN"/>
        </w:rPr>
      </w:pPr>
      <w:r>
        <w:rPr>
          <w:rFonts w:hint="eastAsia" w:ascii="宋体" w:hAnsi="宋体" w:cs="仿宋"/>
          <w:kern w:val="2"/>
          <w:sz w:val="24"/>
          <w:lang w:eastAsia="zh-CN"/>
        </w:rPr>
        <w:t>不得破坏原有的消防设施并且对部分消防设施进行美化，不得破坏关键承重墙体。</w:t>
      </w:r>
    </w:p>
    <w:p>
      <w:pPr>
        <w:pStyle w:val="2"/>
        <w:spacing w:line="520" w:lineRule="exact"/>
        <w:ind w:left="0" w:leftChars="0" w:firstLine="480"/>
        <w:jc w:val="both"/>
        <w:rPr>
          <w:rFonts w:ascii="宋体" w:hAnsi="宋体" w:cs="仿宋"/>
          <w:kern w:val="2"/>
          <w:sz w:val="24"/>
          <w:lang w:eastAsia="zh-CN"/>
        </w:rPr>
      </w:pPr>
      <w:r>
        <w:rPr>
          <w:rFonts w:hint="eastAsia" w:ascii="宋体" w:hAnsi="宋体" w:cs="仿宋"/>
          <w:kern w:val="2"/>
          <w:sz w:val="24"/>
          <w:lang w:eastAsia="zh-CN"/>
        </w:rPr>
        <w:t>若需电路改造时，要考虑电缆隐藏等问题。</w:t>
      </w:r>
    </w:p>
    <w:p>
      <w:pPr>
        <w:pStyle w:val="2"/>
        <w:spacing w:line="520" w:lineRule="exact"/>
        <w:ind w:left="0" w:leftChars="0" w:firstLine="480"/>
        <w:jc w:val="both"/>
        <w:rPr>
          <w:rFonts w:ascii="宋体" w:hAnsi="宋体" w:cs="仿宋"/>
          <w:kern w:val="2"/>
          <w:sz w:val="24"/>
          <w:lang w:eastAsia="zh-CN"/>
        </w:rPr>
      </w:pPr>
      <w:r>
        <w:rPr>
          <w:rFonts w:hint="eastAsia" w:ascii="宋体" w:hAnsi="宋体" w:cs="仿宋"/>
          <w:kern w:val="2"/>
          <w:sz w:val="24"/>
          <w:lang w:eastAsia="zh-CN"/>
        </w:rPr>
        <w:t>所有墙面装饰等材料采用具有一定性能要求的亚克力板进行雕刻并且保证美观。</w:t>
      </w:r>
    </w:p>
    <w:p>
      <w:pPr>
        <w:pStyle w:val="2"/>
        <w:spacing w:line="240" w:lineRule="auto"/>
        <w:ind w:left="0" w:leftChars="0" w:firstLine="0" w:firstLineChars="0"/>
        <w:jc w:val="both"/>
        <w:rPr>
          <w:rFonts w:ascii="楷体_GB2312" w:hAnsi="楷体_GB2312" w:eastAsia="楷体_GB2312" w:cs="楷体_GB2312"/>
          <w:b/>
          <w:bCs/>
          <w:sz w:val="28"/>
          <w:szCs w:val="28"/>
          <w:lang w:eastAsia="zh-CN"/>
        </w:rPr>
      </w:pPr>
      <w:r>
        <w:rPr>
          <w:rFonts w:hint="eastAsia" w:ascii="楷体_GB2312" w:hAnsi="楷体_GB2312" w:eastAsia="楷体_GB2312" w:cs="楷体_GB2312"/>
          <w:b/>
          <w:bCs/>
          <w:sz w:val="28"/>
          <w:szCs w:val="28"/>
          <w:lang w:eastAsia="zh-CN"/>
        </w:rPr>
        <w:t>六、调试和验收</w:t>
      </w:r>
    </w:p>
    <w:p>
      <w:pPr>
        <w:pStyle w:val="2"/>
        <w:spacing w:line="520" w:lineRule="exact"/>
        <w:ind w:left="0" w:leftChars="0" w:firstLine="480"/>
        <w:jc w:val="both"/>
        <w:rPr>
          <w:rFonts w:ascii="宋体" w:hAnsi="宋体" w:cs="仿宋"/>
          <w:kern w:val="2"/>
          <w:sz w:val="24"/>
          <w:lang w:eastAsia="zh-CN"/>
        </w:rPr>
      </w:pPr>
      <w:r>
        <w:rPr>
          <w:rFonts w:hint="eastAsia" w:ascii="宋体" w:hAnsi="宋体" w:cs="仿宋"/>
          <w:kern w:val="2"/>
          <w:sz w:val="24"/>
          <w:lang w:eastAsia="zh-CN"/>
        </w:rPr>
        <w:t>1.</w:t>
      </w:r>
      <w:r>
        <w:rPr>
          <w:rFonts w:ascii="宋体" w:hAnsi="宋体" w:cs="仿宋"/>
          <w:kern w:val="2"/>
          <w:sz w:val="24"/>
          <w:lang w:eastAsia="zh-CN"/>
        </w:rPr>
        <w:t>性能验收试验的目的是为了检验合同设备的所有性能是否符合</w:t>
      </w:r>
      <w:r>
        <w:rPr>
          <w:rFonts w:hint="eastAsia" w:ascii="宋体" w:hAnsi="宋体" w:cs="仿宋"/>
          <w:kern w:val="2"/>
          <w:sz w:val="24"/>
          <w:lang w:eastAsia="zh-CN"/>
        </w:rPr>
        <w:t>技术规范</w:t>
      </w:r>
      <w:r>
        <w:rPr>
          <w:rFonts w:ascii="宋体" w:hAnsi="宋体" w:cs="仿宋"/>
          <w:kern w:val="2"/>
          <w:sz w:val="24"/>
          <w:lang w:eastAsia="zh-CN"/>
        </w:rPr>
        <w:t>的要求。</w:t>
      </w:r>
    </w:p>
    <w:p>
      <w:pPr>
        <w:pStyle w:val="2"/>
        <w:spacing w:line="520" w:lineRule="exact"/>
        <w:ind w:left="0" w:leftChars="0" w:firstLine="480"/>
        <w:jc w:val="both"/>
        <w:rPr>
          <w:rFonts w:ascii="宋体" w:hAnsi="宋体" w:cs="仿宋"/>
          <w:kern w:val="2"/>
          <w:sz w:val="24"/>
          <w:lang w:eastAsia="zh-CN"/>
        </w:rPr>
      </w:pPr>
      <w:r>
        <w:rPr>
          <w:rFonts w:ascii="宋体" w:hAnsi="宋体" w:cs="仿宋"/>
          <w:kern w:val="2"/>
          <w:sz w:val="24"/>
          <w:lang w:eastAsia="zh-CN"/>
        </w:rPr>
        <w:t>2.合同设备试运行和验收</w:t>
      </w:r>
      <w:r>
        <w:rPr>
          <w:rFonts w:hint="eastAsia" w:ascii="宋体" w:hAnsi="宋体" w:cs="仿宋"/>
          <w:kern w:val="2"/>
          <w:sz w:val="24"/>
          <w:lang w:eastAsia="zh-CN"/>
        </w:rPr>
        <w:t>，室内装修验收</w:t>
      </w:r>
      <w:r>
        <w:rPr>
          <w:rFonts w:ascii="宋体" w:hAnsi="宋体" w:cs="仿宋"/>
          <w:kern w:val="2"/>
          <w:sz w:val="24"/>
          <w:lang w:eastAsia="zh-CN"/>
        </w:rPr>
        <w:t>根据</w:t>
      </w:r>
      <w:r>
        <w:rPr>
          <w:rFonts w:hint="eastAsia" w:ascii="宋体" w:hAnsi="宋体" w:cs="仿宋"/>
          <w:kern w:val="2"/>
          <w:sz w:val="24"/>
          <w:lang w:eastAsia="zh-CN"/>
        </w:rPr>
        <w:t>国家和行业现行</w:t>
      </w:r>
      <w:r>
        <w:rPr>
          <w:rFonts w:ascii="宋体" w:hAnsi="宋体" w:cs="仿宋"/>
          <w:kern w:val="2"/>
          <w:sz w:val="24"/>
          <w:lang w:eastAsia="zh-CN"/>
        </w:rPr>
        <w:t>标准、规程、规范进行。</w:t>
      </w:r>
    </w:p>
    <w:p>
      <w:pPr>
        <w:pStyle w:val="2"/>
        <w:spacing w:line="520" w:lineRule="exact"/>
        <w:ind w:left="0" w:leftChars="0" w:firstLine="480"/>
        <w:jc w:val="both"/>
        <w:rPr>
          <w:rFonts w:ascii="宋体" w:hAnsi="宋体" w:cs="仿宋"/>
          <w:kern w:val="2"/>
          <w:sz w:val="24"/>
          <w:lang w:eastAsia="zh-CN"/>
        </w:rPr>
      </w:pPr>
      <w:r>
        <w:rPr>
          <w:rFonts w:ascii="宋体" w:hAnsi="宋体" w:cs="仿宋"/>
          <w:kern w:val="2"/>
          <w:sz w:val="24"/>
          <w:lang w:eastAsia="zh-CN"/>
        </w:rPr>
        <w:t>3.验收时间为安装、</w:t>
      </w:r>
      <w:r>
        <w:rPr>
          <w:rFonts w:hint="eastAsia" w:ascii="宋体" w:hAnsi="宋体" w:cs="仿宋"/>
          <w:kern w:val="2"/>
          <w:sz w:val="24"/>
          <w:lang w:eastAsia="zh-CN"/>
        </w:rPr>
        <w:t>室内装修施工、</w:t>
      </w:r>
      <w:r>
        <w:rPr>
          <w:rFonts w:ascii="宋体" w:hAnsi="宋体" w:cs="仿宋"/>
          <w:kern w:val="2"/>
          <w:sz w:val="24"/>
          <w:lang w:eastAsia="zh-CN"/>
        </w:rPr>
        <w:t>调试完成后并稳定试运行。在此期间，所有的合同设备都应达到各项运行性能指标要求。买卖双方可签署合同设备的验收证明书。该证明书共两份，双方各执一份。</w:t>
      </w:r>
    </w:p>
    <w:p>
      <w:pPr>
        <w:pStyle w:val="2"/>
        <w:spacing w:line="240" w:lineRule="auto"/>
        <w:ind w:left="0" w:leftChars="0" w:firstLine="0" w:firstLineChars="0"/>
        <w:jc w:val="both"/>
        <w:rPr>
          <w:rFonts w:ascii="楷体_GB2312" w:hAnsi="楷体_GB2312" w:eastAsia="楷体_GB2312" w:cs="楷体_GB2312"/>
          <w:b/>
          <w:bCs/>
          <w:sz w:val="28"/>
          <w:szCs w:val="28"/>
          <w:lang w:eastAsia="zh-CN"/>
        </w:rPr>
      </w:pPr>
      <w:r>
        <w:rPr>
          <w:rFonts w:hint="eastAsia" w:ascii="楷体_GB2312" w:hAnsi="楷体_GB2312" w:eastAsia="楷体_GB2312" w:cs="楷体_GB2312"/>
          <w:b/>
          <w:bCs/>
          <w:sz w:val="28"/>
          <w:szCs w:val="28"/>
          <w:lang w:eastAsia="zh-CN"/>
        </w:rPr>
        <w:t>七、承包方式</w:t>
      </w:r>
    </w:p>
    <w:p>
      <w:pPr>
        <w:pStyle w:val="2"/>
        <w:spacing w:line="520" w:lineRule="exact"/>
        <w:ind w:left="0" w:leftChars="0" w:firstLine="480"/>
        <w:jc w:val="both"/>
        <w:rPr>
          <w:rFonts w:ascii="宋体" w:hAnsi="宋体" w:cs="仿宋"/>
          <w:kern w:val="2"/>
          <w:sz w:val="24"/>
          <w:lang w:eastAsia="zh-CN"/>
        </w:rPr>
      </w:pPr>
      <w:r>
        <w:rPr>
          <w:rFonts w:hint="eastAsia" w:ascii="宋体" w:hAnsi="宋体" w:cs="仿宋"/>
          <w:kern w:val="2"/>
          <w:sz w:val="24"/>
          <w:lang w:eastAsia="zh-CN"/>
        </w:rPr>
        <w:t>承包方式为包工包料，“交钥匙”工程，所用材料需经招标单位认可后才能施工。投标人应在收到招标文件后自行组织现场踏勘，以充分了解本工程需要新增设备及施工的情况，并认真编制工程量清单和报价。供投标人在编制投标文件时参考，招标人不对投标人据此作出的判断和决策负责。</w:t>
      </w:r>
    </w:p>
    <w:p>
      <w:pPr>
        <w:pStyle w:val="2"/>
        <w:spacing w:line="240" w:lineRule="auto"/>
        <w:ind w:left="0" w:leftChars="0" w:firstLine="0" w:firstLineChars="0"/>
        <w:jc w:val="both"/>
        <w:rPr>
          <w:rFonts w:ascii="楷体_GB2312" w:hAnsi="楷体_GB2312" w:eastAsia="楷体_GB2312" w:cs="楷体_GB2312"/>
          <w:b/>
          <w:bCs/>
          <w:sz w:val="28"/>
          <w:szCs w:val="28"/>
          <w:lang w:eastAsia="zh-CN"/>
        </w:rPr>
      </w:pPr>
      <w:r>
        <w:rPr>
          <w:rFonts w:hint="eastAsia" w:ascii="楷体_GB2312" w:hAnsi="楷体_GB2312" w:eastAsia="楷体_GB2312" w:cs="楷体_GB2312"/>
          <w:b/>
          <w:bCs/>
          <w:sz w:val="28"/>
          <w:szCs w:val="28"/>
          <w:lang w:eastAsia="zh-CN"/>
        </w:rPr>
        <w:t>八、其他</w:t>
      </w:r>
    </w:p>
    <w:p>
      <w:pPr>
        <w:pStyle w:val="2"/>
        <w:spacing w:line="520" w:lineRule="exact"/>
        <w:ind w:left="0" w:leftChars="0" w:firstLine="480"/>
        <w:jc w:val="both"/>
        <w:rPr>
          <w:rFonts w:ascii="宋体" w:hAnsi="宋体" w:cs="仿宋"/>
          <w:kern w:val="2"/>
          <w:sz w:val="24"/>
          <w:lang w:eastAsia="zh-CN"/>
        </w:rPr>
      </w:pPr>
      <w:r>
        <w:rPr>
          <w:rFonts w:hint="eastAsia" w:ascii="宋体" w:hAnsi="宋体" w:cs="仿宋"/>
          <w:kern w:val="2"/>
          <w:sz w:val="24"/>
          <w:lang w:eastAsia="zh-CN"/>
        </w:rPr>
        <w:t>1.投标人承诺对参与该项目所获得的与招标人产品相关的所有信息都予以保密，并承担与此相关的所有法律责任。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仿宋"/>
          <w:kern w:val="2"/>
          <w:sz w:val="24"/>
          <w:szCs w:val="24"/>
          <w:lang w:val="en-US" w:eastAsia="zh-CN" w:bidi="ar-SA"/>
        </w:rPr>
      </w:pPr>
      <w:r>
        <w:rPr>
          <w:rFonts w:hint="eastAsia" w:ascii="宋体" w:hAnsi="宋体" w:eastAsia="宋体" w:cs="仿宋"/>
          <w:kern w:val="2"/>
          <w:sz w:val="24"/>
          <w:szCs w:val="24"/>
          <w:lang w:val="en-US" w:eastAsia="zh-CN" w:bidi="ar-SA"/>
        </w:rPr>
        <w:t>2.其余未尽事宜，投标人应与招标人指派的答疑人员充分沟通，理解认可并接受相关技术规范及服务要求。</w:t>
      </w:r>
    </w:p>
    <w:bookmarkEnd w:id="9"/>
    <w:bookmarkEnd w:id="10"/>
    <w:p>
      <w:pPr>
        <w:autoSpaceDE w:val="0"/>
        <w:autoSpaceDN w:val="0"/>
        <w:adjustRightInd w:val="0"/>
        <w:spacing w:line="360" w:lineRule="auto"/>
        <w:jc w:val="center"/>
        <w:rPr>
          <w:rFonts w:ascii="宋体" w:hAnsi="宋体" w:cs="方正小标宋简体"/>
          <w:b/>
          <w:kern w:val="0"/>
          <w:sz w:val="28"/>
          <w:szCs w:val="28"/>
        </w:rPr>
      </w:pPr>
    </w:p>
    <w:p>
      <w:pPr>
        <w:autoSpaceDE w:val="0"/>
        <w:autoSpaceDN w:val="0"/>
        <w:adjustRightInd w:val="0"/>
        <w:spacing w:line="360" w:lineRule="auto"/>
        <w:jc w:val="center"/>
        <w:rPr>
          <w:rFonts w:ascii="宋体" w:hAnsi="宋体" w:cs="方正小标宋简体"/>
          <w:b/>
          <w:kern w:val="0"/>
          <w:sz w:val="28"/>
          <w:szCs w:val="28"/>
        </w:rPr>
      </w:pPr>
    </w:p>
    <w:p>
      <w:pPr>
        <w:autoSpaceDE w:val="0"/>
        <w:autoSpaceDN w:val="0"/>
        <w:adjustRightInd w:val="0"/>
        <w:spacing w:line="360" w:lineRule="auto"/>
        <w:jc w:val="center"/>
        <w:rPr>
          <w:rFonts w:ascii="宋体" w:hAnsi="宋体" w:cs="方正小标宋简体"/>
          <w:b/>
          <w:kern w:val="0"/>
          <w:sz w:val="28"/>
          <w:szCs w:val="28"/>
        </w:rPr>
      </w:pPr>
    </w:p>
    <w:p>
      <w:pPr>
        <w:autoSpaceDE w:val="0"/>
        <w:autoSpaceDN w:val="0"/>
        <w:adjustRightInd w:val="0"/>
        <w:spacing w:line="360" w:lineRule="auto"/>
        <w:jc w:val="center"/>
        <w:rPr>
          <w:rFonts w:ascii="宋体" w:hAnsi="宋体" w:cs="方正小标宋简体"/>
          <w:b/>
          <w:kern w:val="0"/>
          <w:sz w:val="28"/>
          <w:szCs w:val="28"/>
        </w:rPr>
      </w:pPr>
    </w:p>
    <w:p>
      <w:pPr>
        <w:autoSpaceDE w:val="0"/>
        <w:autoSpaceDN w:val="0"/>
        <w:adjustRightInd w:val="0"/>
        <w:spacing w:line="360" w:lineRule="auto"/>
        <w:jc w:val="center"/>
        <w:rPr>
          <w:rFonts w:ascii="宋体" w:hAnsi="宋体" w:cs="方正小标宋简体"/>
          <w:b/>
          <w:kern w:val="0"/>
          <w:sz w:val="28"/>
          <w:szCs w:val="28"/>
        </w:rPr>
      </w:pPr>
    </w:p>
    <w:p>
      <w:pPr>
        <w:autoSpaceDE w:val="0"/>
        <w:autoSpaceDN w:val="0"/>
        <w:adjustRightInd w:val="0"/>
        <w:spacing w:line="360" w:lineRule="auto"/>
        <w:jc w:val="center"/>
        <w:rPr>
          <w:rFonts w:ascii="宋体" w:hAnsi="宋体" w:cs="方正小标宋简体"/>
          <w:b/>
          <w:kern w:val="0"/>
          <w:sz w:val="28"/>
          <w:szCs w:val="28"/>
        </w:rPr>
      </w:pPr>
    </w:p>
    <w:p>
      <w:pPr>
        <w:autoSpaceDE w:val="0"/>
        <w:autoSpaceDN w:val="0"/>
        <w:adjustRightInd w:val="0"/>
        <w:spacing w:line="360" w:lineRule="auto"/>
        <w:jc w:val="center"/>
        <w:rPr>
          <w:rFonts w:ascii="宋体" w:hAnsi="宋体" w:cs="方正小标宋简体"/>
          <w:b/>
          <w:kern w:val="0"/>
          <w:sz w:val="28"/>
          <w:szCs w:val="28"/>
        </w:rPr>
      </w:pPr>
    </w:p>
    <w:p>
      <w:pPr>
        <w:autoSpaceDE w:val="0"/>
        <w:autoSpaceDN w:val="0"/>
        <w:adjustRightInd w:val="0"/>
        <w:spacing w:line="360" w:lineRule="auto"/>
        <w:jc w:val="center"/>
        <w:rPr>
          <w:rFonts w:ascii="宋体" w:hAnsi="宋体" w:cs="方正小标宋简体"/>
          <w:b/>
          <w:kern w:val="0"/>
          <w:sz w:val="28"/>
          <w:szCs w:val="28"/>
        </w:rPr>
      </w:pPr>
    </w:p>
    <w:p>
      <w:pPr>
        <w:pStyle w:val="8"/>
        <w:ind w:firstLine="562"/>
        <w:rPr>
          <w:rFonts w:hAnsi="宋体" w:cs="方正小标宋简体"/>
          <w:b/>
          <w:kern w:val="0"/>
          <w:sz w:val="28"/>
          <w:szCs w:val="28"/>
        </w:rPr>
      </w:pPr>
    </w:p>
    <w:p>
      <w:pPr>
        <w:pStyle w:val="8"/>
        <w:ind w:firstLine="562"/>
        <w:rPr>
          <w:rFonts w:hAnsi="宋体" w:cs="方正小标宋简体"/>
          <w:b/>
          <w:kern w:val="0"/>
          <w:sz w:val="28"/>
          <w:szCs w:val="28"/>
        </w:rPr>
      </w:pPr>
    </w:p>
    <w:p>
      <w:pPr>
        <w:pStyle w:val="8"/>
        <w:ind w:firstLine="562"/>
        <w:rPr>
          <w:rFonts w:hAnsi="宋体" w:cs="方正小标宋简体"/>
          <w:b/>
          <w:kern w:val="0"/>
          <w:sz w:val="28"/>
          <w:szCs w:val="28"/>
        </w:rPr>
      </w:pPr>
    </w:p>
    <w:p>
      <w:pPr>
        <w:pStyle w:val="8"/>
        <w:ind w:firstLine="562"/>
        <w:rPr>
          <w:rFonts w:hAnsi="宋体" w:cs="方正小标宋简体"/>
          <w:b/>
          <w:kern w:val="0"/>
          <w:sz w:val="28"/>
          <w:szCs w:val="28"/>
        </w:rPr>
      </w:pPr>
    </w:p>
    <w:p>
      <w:pPr>
        <w:pStyle w:val="8"/>
        <w:ind w:firstLine="562"/>
        <w:rPr>
          <w:rFonts w:hAnsi="宋体" w:cs="方正小标宋简体"/>
          <w:b/>
          <w:kern w:val="0"/>
          <w:sz w:val="28"/>
          <w:szCs w:val="28"/>
        </w:rPr>
      </w:pPr>
    </w:p>
    <w:p>
      <w:pPr>
        <w:pStyle w:val="8"/>
        <w:ind w:firstLine="562"/>
        <w:rPr>
          <w:rFonts w:hAnsi="宋体" w:cs="方正小标宋简体"/>
          <w:b/>
          <w:kern w:val="0"/>
          <w:sz w:val="28"/>
          <w:szCs w:val="28"/>
        </w:rPr>
      </w:pPr>
    </w:p>
    <w:p>
      <w:pPr>
        <w:pStyle w:val="8"/>
        <w:rPr>
          <w:rFonts w:hAnsi="宋体" w:cs="方正小标宋简体"/>
          <w:b/>
          <w:kern w:val="0"/>
          <w:sz w:val="28"/>
          <w:szCs w:val="28"/>
        </w:rPr>
      </w:pPr>
    </w:p>
    <w:p>
      <w:pPr>
        <w:pStyle w:val="8"/>
        <w:spacing w:line="360" w:lineRule="auto"/>
        <w:ind w:firstLine="723"/>
        <w:jc w:val="center"/>
        <w:outlineLvl w:val="0"/>
        <w:rPr>
          <w:rFonts w:ascii="宋体" w:hAnsi="宋体" w:cs="仿宋"/>
          <w:sz w:val="28"/>
          <w:szCs w:val="28"/>
        </w:rPr>
      </w:pPr>
      <w:bookmarkStart w:id="13" w:name="_Toc6117"/>
      <w:r>
        <w:rPr>
          <w:rFonts w:hint="eastAsia" w:hAnsi="宋体" w:cs="黑体"/>
          <w:b/>
          <w:bCs/>
          <w:sz w:val="36"/>
          <w:szCs w:val="36"/>
        </w:rPr>
        <w:t>第五章</w:t>
      </w:r>
      <w:bookmarkEnd w:id="13"/>
      <w:r>
        <w:rPr>
          <w:rFonts w:hint="eastAsia" w:hAnsi="宋体" w:cs="黑体"/>
          <w:b/>
          <w:bCs/>
          <w:sz w:val="36"/>
          <w:szCs w:val="36"/>
        </w:rPr>
        <w:t xml:space="preserve"> 合同服务主要内容（以最终版本为准）</w:t>
      </w:r>
    </w:p>
    <w:p>
      <w:pPr>
        <w:adjustRightInd w:val="0"/>
        <w:snapToGrid w:val="0"/>
        <w:spacing w:line="360" w:lineRule="auto"/>
        <w:jc w:val="left"/>
        <w:rPr>
          <w:rFonts w:ascii="宋体" w:hAnsi="宋体" w:cs="仿宋"/>
          <w:sz w:val="24"/>
        </w:rPr>
      </w:pPr>
      <w:r>
        <w:rPr>
          <w:rFonts w:hint="eastAsia" w:ascii="宋体" w:hAnsi="宋体" w:cs="仿宋"/>
          <w:sz w:val="24"/>
        </w:rPr>
        <w:t>甲  方：中国重汽集团大同齿轮有限公司</w:t>
      </w:r>
    </w:p>
    <w:p>
      <w:pPr>
        <w:spacing w:line="360" w:lineRule="auto"/>
        <w:jc w:val="left"/>
        <w:outlineLvl w:val="0"/>
        <w:rPr>
          <w:rFonts w:ascii="宋体" w:hAnsi="宋体" w:cs="仿宋_GB2312"/>
          <w:sz w:val="28"/>
          <w:szCs w:val="28"/>
        </w:rPr>
      </w:pPr>
      <w:bookmarkStart w:id="14" w:name="_Toc22529"/>
      <w:r>
        <w:rPr>
          <w:rFonts w:hint="eastAsia" w:ascii="宋体" w:hAnsi="宋体" w:cs="仿宋"/>
          <w:sz w:val="24"/>
        </w:rPr>
        <w:t>乙  方：</w:t>
      </w:r>
      <w:bookmarkEnd w:id="14"/>
      <w:r>
        <w:rPr>
          <w:rFonts w:hint="eastAsia" w:ascii="宋体" w:hAnsi="宋体" w:cs="仿宋"/>
          <w:sz w:val="28"/>
          <w:szCs w:val="28"/>
        </w:rPr>
        <w:t xml:space="preserve">   </w:t>
      </w:r>
      <w:r>
        <w:rPr>
          <w:rFonts w:hint="eastAsia" w:ascii="宋体" w:hAnsi="宋体" w:cs="仿宋_GB2312"/>
          <w:sz w:val="28"/>
          <w:szCs w:val="28"/>
        </w:rPr>
        <w:t xml:space="preserve">                                       </w:t>
      </w:r>
    </w:p>
    <w:p>
      <w:pPr>
        <w:spacing w:line="360" w:lineRule="auto"/>
        <w:rPr>
          <w:rFonts w:ascii="宋体" w:hAnsi="宋体" w:cs="仿宋_GB2312"/>
          <w:sz w:val="24"/>
        </w:rPr>
      </w:pPr>
      <w:r>
        <w:rPr>
          <w:rFonts w:hint="eastAsia" w:ascii="宋体" w:hAnsi="宋体" w:cs="仿宋_GB2312"/>
          <w:sz w:val="24"/>
        </w:rPr>
        <w:t>根据《中华人民共和国民法典》、《中华人民共和国建筑法》及有关法律规定，遵循平等、自愿、公平和诚实信用的原则，双方安全实训基地建设项目有关事项协商一致，订立本合同就项目施工及有关事项协商一致，共同达成如下协议:</w:t>
      </w:r>
    </w:p>
    <w:p>
      <w:pPr>
        <w:spacing w:line="360" w:lineRule="auto"/>
        <w:rPr>
          <w:rFonts w:ascii="宋体" w:hAnsi="宋体" w:cs="仿宋_GB2312"/>
          <w:sz w:val="24"/>
        </w:rPr>
      </w:pPr>
      <w:r>
        <w:rPr>
          <w:rFonts w:hint="eastAsia" w:ascii="宋体" w:hAnsi="宋体" w:cs="仿宋_GB2312"/>
          <w:sz w:val="24"/>
        </w:rPr>
        <w:t>一、项目概况</w:t>
      </w:r>
    </w:p>
    <w:p>
      <w:pPr>
        <w:spacing w:line="360" w:lineRule="auto"/>
        <w:rPr>
          <w:rFonts w:ascii="宋体" w:hAnsi="宋体" w:cs="仿宋_GB2312"/>
          <w:sz w:val="24"/>
        </w:rPr>
      </w:pPr>
      <w:r>
        <w:rPr>
          <w:rFonts w:hint="eastAsia" w:ascii="宋体" w:hAnsi="宋体" w:cs="仿宋_GB2312"/>
          <w:sz w:val="24"/>
        </w:rPr>
        <w:t>1.1项目名称:安全实训基地项目。</w:t>
      </w:r>
    </w:p>
    <w:p>
      <w:pPr>
        <w:spacing w:line="360" w:lineRule="auto"/>
        <w:rPr>
          <w:rFonts w:ascii="宋体" w:hAnsi="宋体" w:cs="仿宋_GB2312"/>
          <w:sz w:val="24"/>
        </w:rPr>
      </w:pPr>
      <w:r>
        <w:rPr>
          <w:rFonts w:hint="eastAsia" w:ascii="宋体" w:hAnsi="宋体" w:cs="仿宋_GB2312"/>
          <w:sz w:val="24"/>
        </w:rPr>
        <w:t>1.2施工地点:山西省大同市云州街99号。</w:t>
      </w:r>
    </w:p>
    <w:p>
      <w:pPr>
        <w:spacing w:line="360" w:lineRule="auto"/>
        <w:rPr>
          <w:rFonts w:ascii="宋体" w:hAnsi="宋体" w:cs="仿宋_GB2312"/>
          <w:sz w:val="24"/>
        </w:rPr>
      </w:pPr>
      <w:r>
        <w:rPr>
          <w:rFonts w:hint="eastAsia" w:ascii="宋体" w:hAnsi="宋体" w:cs="仿宋_GB2312"/>
          <w:sz w:val="24"/>
        </w:rPr>
        <w:t>1.3施工内容:详见《项目工程量及施工方案》。</w:t>
      </w:r>
    </w:p>
    <w:p>
      <w:pPr>
        <w:spacing w:line="360" w:lineRule="auto"/>
        <w:rPr>
          <w:rFonts w:ascii="宋体" w:hAnsi="宋体" w:cs="仿宋_GB2312"/>
          <w:sz w:val="24"/>
        </w:rPr>
      </w:pPr>
      <w:r>
        <w:rPr>
          <w:rFonts w:hint="eastAsia" w:ascii="宋体" w:hAnsi="宋体" w:cs="仿宋_GB2312"/>
          <w:sz w:val="24"/>
        </w:rPr>
        <w:t>1.4承包方式及范围:大齿公司安全实训基地建设，包工包料。</w:t>
      </w:r>
    </w:p>
    <w:p>
      <w:pPr>
        <w:spacing w:line="360" w:lineRule="auto"/>
        <w:rPr>
          <w:rFonts w:ascii="宋体" w:hAnsi="宋体" w:cs="仿宋_GB2312"/>
          <w:sz w:val="24"/>
        </w:rPr>
      </w:pPr>
      <w:r>
        <w:rPr>
          <w:rFonts w:hint="eastAsia" w:ascii="宋体" w:hAnsi="宋体" w:cs="仿宋_GB2312"/>
          <w:sz w:val="24"/>
        </w:rPr>
        <w:t>二、合同工期</w:t>
      </w:r>
    </w:p>
    <w:p>
      <w:pPr>
        <w:spacing w:line="360" w:lineRule="auto"/>
        <w:rPr>
          <w:rFonts w:ascii="宋体" w:hAnsi="宋体" w:cs="仿宋_GB2312"/>
          <w:sz w:val="24"/>
        </w:rPr>
      </w:pPr>
      <w:r>
        <w:rPr>
          <w:rFonts w:hint="eastAsia" w:ascii="宋体" w:hAnsi="宋体" w:cs="仿宋_GB2312"/>
          <w:sz w:val="24"/>
        </w:rPr>
        <w:t>2.1计划开工日期:2025年</w:t>
      </w:r>
      <w:r>
        <w:rPr>
          <w:rFonts w:ascii="宋体" w:hAnsi="宋体" w:cs="仿宋_GB2312"/>
          <w:sz w:val="24"/>
        </w:rPr>
        <w:t>5</w:t>
      </w:r>
      <w:r>
        <w:rPr>
          <w:rFonts w:hint="eastAsia" w:ascii="宋体" w:hAnsi="宋体" w:cs="仿宋_GB2312"/>
          <w:sz w:val="24"/>
        </w:rPr>
        <w:t>月25日。</w:t>
      </w:r>
    </w:p>
    <w:p>
      <w:pPr>
        <w:spacing w:line="360" w:lineRule="auto"/>
        <w:rPr>
          <w:rFonts w:ascii="宋体" w:hAnsi="宋体" w:cs="仿宋_GB2312"/>
          <w:sz w:val="24"/>
        </w:rPr>
      </w:pPr>
      <w:r>
        <w:rPr>
          <w:rFonts w:hint="eastAsia" w:ascii="宋体" w:hAnsi="宋体" w:cs="仿宋_GB2312"/>
          <w:sz w:val="24"/>
        </w:rPr>
        <w:t>计划竣工日期:2024年7月</w:t>
      </w:r>
      <w:r>
        <w:rPr>
          <w:rFonts w:ascii="宋体" w:hAnsi="宋体" w:cs="仿宋_GB2312"/>
          <w:sz w:val="24"/>
        </w:rPr>
        <w:t>15</w:t>
      </w:r>
      <w:r>
        <w:rPr>
          <w:rFonts w:hint="eastAsia" w:ascii="宋体" w:hAnsi="宋体" w:cs="仿宋_GB2312"/>
          <w:sz w:val="24"/>
        </w:rPr>
        <w:t>日。</w:t>
      </w:r>
    </w:p>
    <w:p>
      <w:pPr>
        <w:spacing w:line="360" w:lineRule="auto"/>
        <w:rPr>
          <w:rFonts w:ascii="宋体" w:hAnsi="宋体" w:cs="仿宋_GB2312"/>
          <w:sz w:val="24"/>
        </w:rPr>
      </w:pPr>
      <w:r>
        <w:rPr>
          <w:rFonts w:hint="eastAsia" w:ascii="宋体" w:hAnsi="宋体" w:cs="仿宋_GB2312"/>
          <w:sz w:val="24"/>
        </w:rPr>
        <w:t>工期总日历天数:</w:t>
      </w:r>
      <w:r>
        <w:rPr>
          <w:rFonts w:ascii="宋体" w:hAnsi="宋体" w:cs="仿宋_GB2312"/>
          <w:sz w:val="24"/>
        </w:rPr>
        <w:t>50</w:t>
      </w:r>
      <w:r>
        <w:rPr>
          <w:rFonts w:hint="eastAsia" w:ascii="宋体" w:hAnsi="宋体" w:cs="仿宋_GB2312"/>
          <w:sz w:val="24"/>
        </w:rPr>
        <w:t>天。工期总日历天数与根据前述计划开竣工日期计算的工期天数不一致的，以工期总日历天数为准。</w:t>
      </w:r>
    </w:p>
    <w:p>
      <w:pPr>
        <w:spacing w:line="360" w:lineRule="auto"/>
        <w:rPr>
          <w:rFonts w:ascii="宋体" w:hAnsi="宋体" w:cs="仿宋_GB2312"/>
          <w:sz w:val="24"/>
        </w:rPr>
      </w:pPr>
      <w:r>
        <w:rPr>
          <w:rFonts w:hint="eastAsia" w:ascii="宋体" w:hAnsi="宋体" w:cs="仿宋_GB2312"/>
          <w:sz w:val="24"/>
        </w:rPr>
        <w:t>2.2 乙方应在进场后3日内内将详细的施工组织设计(或施工方案)和进度计划提交甲方审核，乙方必须按经甲方确认的进度计划组织施工，并接受甲方的检查、监督。项目实际进度计划不相符时，乙方应按甲方的要求提出改进措施，经甲方确认后执行。</w:t>
      </w:r>
    </w:p>
    <w:p>
      <w:pPr>
        <w:spacing w:line="360" w:lineRule="auto"/>
        <w:rPr>
          <w:rFonts w:ascii="宋体" w:hAnsi="宋体" w:cs="仿宋_GB2312"/>
          <w:sz w:val="24"/>
        </w:rPr>
      </w:pPr>
      <w:r>
        <w:rPr>
          <w:rFonts w:hint="eastAsia" w:ascii="宋体" w:hAnsi="宋体" w:cs="仿宋_GB2312"/>
          <w:sz w:val="24"/>
        </w:rPr>
        <w:t>2.3因乙方原因造成不能按期开工或中途无故停工的，工期不能顺延，由此引起的赶工等费用由乙方自行承担。除不可抗力原因外,乙方不能按合同约定的工期完成，每逾期一天按合同总价款3%的金额向甲方支付违约金，甲方并有权书面通知单方面解除未完成部分项目的合同。</w:t>
      </w:r>
    </w:p>
    <w:p>
      <w:pPr>
        <w:spacing w:line="360" w:lineRule="auto"/>
        <w:rPr>
          <w:rFonts w:hAnsi="宋体"/>
          <w:sz w:val="28"/>
          <w:szCs w:val="28"/>
        </w:rPr>
      </w:pPr>
      <w:r>
        <w:rPr>
          <w:rFonts w:hint="eastAsia" w:ascii="宋体" w:hAnsi="宋体" w:cs="仿宋_GB2312"/>
          <w:sz w:val="24"/>
        </w:rPr>
        <w:t>三、质量标准</w:t>
      </w:r>
    </w:p>
    <w:bookmarkEnd w:id="3"/>
    <w:p>
      <w:pPr>
        <w:spacing w:line="360" w:lineRule="auto"/>
        <w:rPr>
          <w:rFonts w:ascii="宋体" w:hAnsi="宋体" w:cs="仿宋_GB2312"/>
          <w:sz w:val="24"/>
        </w:rPr>
      </w:pPr>
      <w:r>
        <w:rPr>
          <w:rFonts w:hint="eastAsia" w:ascii="宋体" w:hAnsi="宋体" w:cs="仿宋_GB2312"/>
          <w:sz w:val="24"/>
        </w:rPr>
        <w:t>3.1项目质量要求:项目质量达到合格等级标准。质量标准的评定以现行国家、地方政府以及行业的质量检验评定标准为依据。</w:t>
      </w:r>
    </w:p>
    <w:p>
      <w:pPr>
        <w:spacing w:line="360" w:lineRule="auto"/>
        <w:rPr>
          <w:rFonts w:ascii="宋体" w:hAnsi="宋体" w:cs="仿宋_GB2312"/>
          <w:sz w:val="24"/>
        </w:rPr>
      </w:pPr>
      <w:r>
        <w:rPr>
          <w:rFonts w:hint="eastAsia" w:ascii="宋体" w:hAnsi="宋体" w:cs="仿宋_GB2312"/>
          <w:sz w:val="24"/>
        </w:rPr>
        <w:t>3.2经检查对于出现质量不符合要求的部位或项目质量达不到验收标准，甲方有权发出整改通知单，乙方必须返工，直至达到合同约定的验收标准为止。乙方承担由此增加的费用。如乙方收到整改通知单24小时内仍无任何整改措施，甲方有权请第三方整改或自行代为整改，由此发生的费用由乙方承担，同时不免除甲方就该事宜对乙方处以金额不超过3000元/次的罚款，该款项从合同总额款中扣除。</w:t>
      </w:r>
    </w:p>
    <w:p>
      <w:pPr>
        <w:spacing w:line="360" w:lineRule="auto"/>
        <w:rPr>
          <w:rFonts w:ascii="宋体" w:hAnsi="宋体" w:cs="仿宋_GB2312"/>
          <w:sz w:val="24"/>
        </w:rPr>
      </w:pPr>
      <w:r>
        <w:rPr>
          <w:rFonts w:hint="eastAsia" w:ascii="宋体" w:hAnsi="宋体" w:cs="仿宋_GB2312"/>
          <w:sz w:val="24"/>
        </w:rPr>
        <w:t>四、合同价款与支付方式</w:t>
      </w:r>
    </w:p>
    <w:p>
      <w:pPr>
        <w:spacing w:line="360" w:lineRule="auto"/>
        <w:rPr>
          <w:rFonts w:ascii="宋体" w:hAnsi="宋体" w:cs="仿宋_GB2312"/>
          <w:sz w:val="24"/>
        </w:rPr>
      </w:pPr>
      <w:r>
        <w:rPr>
          <w:rFonts w:hint="eastAsia" w:ascii="宋体" w:hAnsi="宋体" w:cs="仿宋_GB2312"/>
          <w:sz w:val="24"/>
        </w:rPr>
        <w:t>4.1合同价款:</w:t>
      </w:r>
    </w:p>
    <w:p>
      <w:pPr>
        <w:spacing w:line="360" w:lineRule="auto"/>
        <w:rPr>
          <w:rFonts w:ascii="宋体" w:hAnsi="宋体" w:cs="仿宋_GB2312"/>
          <w:sz w:val="24"/>
        </w:rPr>
      </w:pPr>
      <w:r>
        <w:rPr>
          <w:rFonts w:hint="eastAsia" w:ascii="宋体" w:hAnsi="宋体" w:cs="仿宋_GB2312"/>
          <w:sz w:val="24"/>
        </w:rPr>
        <w:t>本项目合同总价为:￥</w:t>
      </w:r>
      <w:r>
        <w:rPr>
          <w:rFonts w:ascii="宋体" w:hAnsi="宋体" w:cs="仿宋_GB2312"/>
          <w:sz w:val="24"/>
        </w:rPr>
        <w:t>******</w:t>
      </w:r>
      <w:r>
        <w:rPr>
          <w:rFonts w:hint="eastAsia" w:ascii="宋体" w:hAnsi="宋体" w:cs="仿宋_GB2312"/>
          <w:sz w:val="24"/>
        </w:rPr>
        <w:t>元(大写金额:叁拾玖万叁仟伍佰元整)，(不含税:</w:t>
      </w:r>
    </w:p>
    <w:p>
      <w:pPr>
        <w:spacing w:line="360" w:lineRule="auto"/>
        <w:rPr>
          <w:rFonts w:ascii="宋体" w:hAnsi="宋体" w:cs="仿宋_GB2312"/>
          <w:sz w:val="24"/>
        </w:rPr>
      </w:pPr>
      <w:r>
        <w:rPr>
          <w:rFonts w:ascii="宋体" w:hAnsi="宋体" w:cs="仿宋_GB2312"/>
          <w:sz w:val="24"/>
        </w:rPr>
        <w:t>******</w:t>
      </w:r>
      <w:r>
        <w:rPr>
          <w:rFonts w:hint="eastAsia" w:ascii="宋体" w:hAnsi="宋体" w:cs="仿宋_GB2312"/>
          <w:sz w:val="24"/>
        </w:rPr>
        <w:t>元)。如国家出台新政策对增值税税率进行了调整，则不含税价款不变，本合同含税总价在不含税价基础上根据国家最新税法进行相应调整。因乙方发票违规给甲方造成的增值税、所得税等损失，由乙方承担相关责任，包括但不限于税款、滞纳金、罚款及其他相关损失。</w:t>
      </w:r>
    </w:p>
    <w:p>
      <w:pPr>
        <w:spacing w:line="360" w:lineRule="auto"/>
        <w:rPr>
          <w:rFonts w:ascii="宋体" w:hAnsi="宋体" w:cs="仿宋_GB2312"/>
          <w:sz w:val="24"/>
        </w:rPr>
      </w:pPr>
      <w:r>
        <w:rPr>
          <w:rFonts w:hint="eastAsia" w:ascii="宋体" w:hAnsi="宋体" w:cs="仿宋_GB2312"/>
          <w:sz w:val="24"/>
        </w:rPr>
        <w:t>4.2本项目合同价格形式为:固定总价。合同价格包括本合同中乙方的全部责任和义务所需发生的所有费用，而且本项目报价中包含了为完成本项目所需的各种施工项目相关的费用。本合同内工作范围按照甲方在招标文件中给定的范围最终确定，甲方不接受由于乙方对招标范围的理解存在偏差而导致的任何索赔或价格上调。</w:t>
      </w:r>
    </w:p>
    <w:p>
      <w:pPr>
        <w:spacing w:line="360" w:lineRule="auto"/>
        <w:rPr>
          <w:rFonts w:ascii="宋体" w:hAnsi="宋体" w:cs="仿宋_GB2312"/>
          <w:sz w:val="24"/>
        </w:rPr>
      </w:pPr>
      <w:r>
        <w:rPr>
          <w:rFonts w:hint="eastAsia" w:ascii="宋体" w:hAnsi="宋体" w:cs="仿宋_GB2312"/>
          <w:sz w:val="24"/>
        </w:rPr>
        <w:t>4.3项目款支付</w:t>
      </w:r>
    </w:p>
    <w:p>
      <w:pPr>
        <w:spacing w:line="360" w:lineRule="auto"/>
        <w:rPr>
          <w:rFonts w:ascii="宋体" w:hAnsi="宋体" w:cs="仿宋_GB2312"/>
          <w:sz w:val="24"/>
        </w:rPr>
      </w:pPr>
      <w:r>
        <w:rPr>
          <w:rFonts w:hint="eastAsia" w:ascii="宋体" w:hAnsi="宋体" w:cs="仿宋_GB2312"/>
          <w:sz w:val="24"/>
        </w:rPr>
        <w:t>(1)乙方完成合同范围内的全部工程、竣工资料备案完毕及有关工作，且甲方验收合格并正式投入使用后，乙方根据合同总价开具13%增值税专用发票给甲方;</w:t>
      </w:r>
    </w:p>
    <w:p>
      <w:pPr>
        <w:spacing w:line="360" w:lineRule="auto"/>
        <w:rPr>
          <w:rFonts w:ascii="宋体" w:hAnsi="宋体" w:cs="仿宋_GB2312"/>
          <w:sz w:val="24"/>
        </w:rPr>
      </w:pPr>
      <w:r>
        <w:rPr>
          <w:rFonts w:hint="eastAsia" w:ascii="宋体" w:hAnsi="宋体" w:cs="仿宋_GB2312"/>
          <w:sz w:val="24"/>
        </w:rPr>
        <w:t>(2)双方约定的项目款支付的方式:</w:t>
      </w:r>
      <w:r>
        <w:rPr>
          <w:rFonts w:hint="eastAsia" w:ascii="宋体" w:hAnsi="宋体" w:cs="宋体"/>
          <w:bCs/>
          <w:kern w:val="0"/>
          <w:sz w:val="24"/>
        </w:rPr>
        <w:t>半年期商业汇票（包括银行承兑汇票和商业承兑汇票）。</w:t>
      </w:r>
      <w:r>
        <w:rPr>
          <w:rFonts w:hint="eastAsia" w:ascii="宋体" w:hAnsi="宋体" w:cs="仿宋_GB2312"/>
          <w:sz w:val="24"/>
        </w:rPr>
        <w:t>;</w:t>
      </w:r>
    </w:p>
    <w:p>
      <w:pPr>
        <w:spacing w:line="360" w:lineRule="auto"/>
        <w:rPr>
          <w:rFonts w:ascii="宋体" w:hAnsi="宋体" w:cs="仿宋_GB2312"/>
          <w:sz w:val="24"/>
        </w:rPr>
      </w:pPr>
      <w:r>
        <w:rPr>
          <w:rFonts w:hint="eastAsia" w:ascii="宋体" w:hAnsi="宋体" w:cs="仿宋_GB2312"/>
          <w:sz w:val="24"/>
        </w:rPr>
        <w:t>(3)本合同预付款:无预付款。</w:t>
      </w:r>
    </w:p>
    <w:p>
      <w:pPr>
        <w:spacing w:line="360" w:lineRule="auto"/>
        <w:rPr>
          <w:rFonts w:ascii="宋体" w:hAnsi="宋体" w:cs="仿宋_GB2312"/>
          <w:sz w:val="24"/>
        </w:rPr>
      </w:pPr>
      <w:r>
        <w:rPr>
          <w:rFonts w:hint="eastAsia" w:ascii="宋体" w:hAnsi="宋体" w:cs="仿宋_GB2312"/>
          <w:sz w:val="24"/>
        </w:rPr>
        <w:t>五、材料设备的供应和采购</w:t>
      </w:r>
    </w:p>
    <w:p>
      <w:pPr>
        <w:spacing w:line="360" w:lineRule="auto"/>
        <w:rPr>
          <w:rFonts w:ascii="宋体" w:hAnsi="宋体" w:cs="仿宋_GB2312"/>
          <w:sz w:val="24"/>
        </w:rPr>
      </w:pPr>
      <w:r>
        <w:rPr>
          <w:rFonts w:hint="eastAsia" w:ascii="宋体" w:hAnsi="宋体" w:cs="仿宋_GB2312"/>
          <w:sz w:val="24"/>
        </w:rPr>
        <w:t>5.1本项目的材料、设备由乙方采购。</w:t>
      </w:r>
    </w:p>
    <w:p>
      <w:pPr>
        <w:spacing w:line="360" w:lineRule="auto"/>
        <w:rPr>
          <w:rFonts w:ascii="宋体" w:hAnsi="宋体" w:cs="仿宋_GB2312"/>
          <w:sz w:val="24"/>
        </w:rPr>
      </w:pPr>
      <w:r>
        <w:rPr>
          <w:rFonts w:hint="eastAsia" w:ascii="宋体" w:hAnsi="宋体" w:cs="仿宋_GB2312"/>
          <w:sz w:val="24"/>
        </w:rPr>
        <w:t>5.2本项目的主要设备及主要材料按照附件表提供，投标文件中已按附件选择品牌的，按投标文件所报品牌执行;未按附过程中必须按此表选择品牌;附表外其他材料，乙方在投标时明确品牌品牌。另外，材料及设备必须是原厂生产，禁止使用委托第三人生产后贴牌的材料和设备，否则按不合格材料处理，乙方按章等严重情节(具体以甲方认定为准)的，甲方有权终止合同，同时乙方按合同总价的10%支付违约金，甲方有权保留进一步索赔的权利。</w:t>
      </w:r>
    </w:p>
    <w:p>
      <w:pPr>
        <w:spacing w:line="360" w:lineRule="auto"/>
        <w:rPr>
          <w:rFonts w:ascii="宋体" w:hAnsi="宋体" w:cs="仿宋_GB2312"/>
          <w:sz w:val="24"/>
        </w:rPr>
      </w:pPr>
      <w:r>
        <w:rPr>
          <w:rFonts w:hint="eastAsia" w:ascii="宋体" w:hAnsi="宋体" w:cs="仿宋_GB2312"/>
          <w:sz w:val="24"/>
        </w:rPr>
        <w:t>九、争议解决</w:t>
      </w:r>
    </w:p>
    <w:p>
      <w:pPr>
        <w:spacing w:line="360" w:lineRule="auto"/>
        <w:rPr>
          <w:rFonts w:ascii="宋体" w:hAnsi="宋体" w:cs="仿宋_GB2312"/>
          <w:sz w:val="24"/>
        </w:rPr>
      </w:pPr>
      <w:r>
        <w:rPr>
          <w:rFonts w:hint="eastAsia" w:ascii="宋体" w:hAnsi="宋体" w:cs="仿宋_GB2312"/>
          <w:sz w:val="24"/>
        </w:rPr>
        <w:t>9.1本合同有效期内发生纠纷，由双方协商解决。如协商不成，双方同意依法向甲方所在地有管辖权的人民法院起诉解决。</w:t>
      </w:r>
    </w:p>
    <w:p>
      <w:pPr>
        <w:spacing w:line="360" w:lineRule="auto"/>
        <w:rPr>
          <w:rFonts w:ascii="宋体" w:hAnsi="宋体" w:cs="仿宋_GB2312"/>
          <w:sz w:val="24"/>
        </w:rPr>
      </w:pPr>
      <w:r>
        <w:rPr>
          <w:rFonts w:hint="eastAsia" w:ascii="宋体" w:hAnsi="宋体" w:cs="仿宋_GB2312"/>
          <w:sz w:val="24"/>
        </w:rPr>
        <w:t>十、合同生效</w:t>
      </w:r>
    </w:p>
    <w:p>
      <w:pPr>
        <w:spacing w:line="360" w:lineRule="auto"/>
        <w:rPr>
          <w:rFonts w:ascii="宋体" w:hAnsi="宋体" w:cs="仿宋_GB2312"/>
          <w:sz w:val="24"/>
        </w:rPr>
      </w:pPr>
      <w:r>
        <w:rPr>
          <w:rFonts w:hint="eastAsia" w:ascii="宋体" w:hAnsi="宋体" w:cs="仿宋_GB2312"/>
          <w:sz w:val="24"/>
        </w:rPr>
        <w:t>10.1本合同一式_肆份，均具有同等法律效力，甲方贰_份，乙方_贰_份。</w:t>
      </w:r>
    </w:p>
    <w:p>
      <w:pPr>
        <w:spacing w:line="360" w:lineRule="auto"/>
        <w:rPr>
          <w:rFonts w:ascii="宋体" w:hAnsi="宋体" w:cs="仿宋_GB2312"/>
          <w:sz w:val="24"/>
        </w:rPr>
      </w:pPr>
      <w:r>
        <w:rPr>
          <w:rFonts w:hint="eastAsia" w:ascii="宋体" w:hAnsi="宋体" w:cs="仿宋_GB2312"/>
          <w:sz w:val="24"/>
        </w:rPr>
        <w:t>10.2 本合同自双方授权代表签署并加盖公章或者合同专用章之日起生效。合同附件作为合同不可分割的一部分，具有同等法律效力。</w:t>
      </w:r>
    </w:p>
    <w:p>
      <w:pPr>
        <w:pStyle w:val="2"/>
        <w:ind w:firstLine="440"/>
        <w:rPr>
          <w:lang w:eastAsia="zh-CN"/>
        </w:rPr>
      </w:pPr>
    </w:p>
    <w:p>
      <w:pPr>
        <w:spacing w:line="360" w:lineRule="auto"/>
        <w:rPr>
          <w:rFonts w:ascii="宋体" w:hAnsi="宋体" w:cs="仿宋_GB2312"/>
          <w:sz w:val="24"/>
        </w:rPr>
      </w:pPr>
      <w:r>
        <w:rPr>
          <w:rFonts w:hint="eastAsia" w:ascii="宋体" w:hAnsi="宋体" w:cs="仿宋_GB2312"/>
          <w:sz w:val="24"/>
        </w:rPr>
        <w:t>本合同的各签约方选择使用电子签约的，已由法定代表人本人或授权其代理人在电子签约平台进行了实名注册，并通过CA证书进行签约。电子签约的任一方均已知晓且同意通过代理人密码登录账户后的所有操作视为该方的行为,并自愿承担由此产生的一切法律后果。电子签约方的代理人包括在电子签约平台完成认证并具有相应盖章、签字权限的管理员、盖章人或签名人。电子签约方在相关电子合同通过CA证书进行电子签章的，视为该方有效签署合同。如各方签章时间不一致的，以最后签章的时间为准。本合同所有的手写涂改部分无效(个人手写签名除外)。若一方不使用电子签约,此情形下各方认可并同意电子签章与在纸质合同上手写签名或者盖章具有同等的法律效力，一方在合同上使用电子签章，另一方将已完成电子签章的合同打印为纸质合同后，再于合同签署处加盖实物印章、手写签名视为双方已签署完毕。</w:t>
      </w:r>
    </w:p>
    <w:tbl>
      <w:tblPr>
        <w:tblStyle w:val="14"/>
        <w:tblW w:w="93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57"/>
        <w:gridCol w:w="4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4657" w:type="dxa"/>
          </w:tcPr>
          <w:p>
            <w:pPr>
              <w:spacing w:line="360" w:lineRule="auto"/>
              <w:rPr>
                <w:rFonts w:ascii="宋体" w:hAnsi="宋体" w:cs="仿宋_GB2312"/>
                <w:sz w:val="24"/>
              </w:rPr>
            </w:pPr>
            <w:r>
              <w:rPr>
                <w:rFonts w:hint="eastAsia" w:ascii="宋体" w:hAnsi="宋体" w:cs="仿宋_GB2312"/>
                <w:sz w:val="24"/>
              </w:rPr>
              <w:t>甲方:(签章)</w:t>
            </w:r>
          </w:p>
          <w:p>
            <w:pPr>
              <w:spacing w:line="360" w:lineRule="auto"/>
              <w:rPr>
                <w:rFonts w:ascii="宋体" w:hAnsi="宋体" w:cs="仿宋_GB2312"/>
                <w:sz w:val="24"/>
              </w:rPr>
            </w:pPr>
            <w:r>
              <w:rPr>
                <w:rFonts w:hint="eastAsia" w:ascii="宋体" w:hAnsi="宋体" w:cs="仿宋_GB2312"/>
                <w:sz w:val="24"/>
              </w:rPr>
              <w:t xml:space="preserve"> 中国重汽集团大同齿轮有限公司    </w:t>
            </w:r>
          </w:p>
        </w:tc>
        <w:tc>
          <w:tcPr>
            <w:tcW w:w="4657" w:type="dxa"/>
          </w:tcPr>
          <w:p>
            <w:pPr>
              <w:pStyle w:val="2"/>
              <w:ind w:left="0" w:leftChars="0" w:firstLine="0" w:firstLineChars="0"/>
              <w:rPr>
                <w:lang w:eastAsia="zh-CN"/>
              </w:rPr>
            </w:pPr>
            <w:r>
              <w:rPr>
                <w:rFonts w:hint="eastAsia" w:ascii="宋体" w:hAnsi="宋体" w:cs="仿宋_GB2312"/>
                <w:sz w:val="24"/>
              </w:rPr>
              <w:t>乙方:(签章)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jc w:val="center"/>
        </w:trPr>
        <w:tc>
          <w:tcPr>
            <w:tcW w:w="4657" w:type="dxa"/>
          </w:tcPr>
          <w:p>
            <w:pPr>
              <w:pStyle w:val="2"/>
              <w:ind w:left="0" w:leftChars="0" w:firstLine="0" w:firstLineChars="0"/>
              <w:rPr>
                <w:lang w:eastAsia="zh-CN"/>
              </w:rPr>
            </w:pPr>
            <w:r>
              <w:rPr>
                <w:rFonts w:hint="eastAsia" w:ascii="宋体" w:hAnsi="宋体" w:cs="仿宋_GB2312"/>
                <w:sz w:val="24"/>
                <w:lang w:eastAsia="zh-CN"/>
              </w:rPr>
              <w:t xml:space="preserve">法定代表人/委托人(签字):   </w:t>
            </w:r>
          </w:p>
        </w:tc>
        <w:tc>
          <w:tcPr>
            <w:tcW w:w="4657" w:type="dxa"/>
          </w:tcPr>
          <w:p>
            <w:pPr>
              <w:pStyle w:val="2"/>
              <w:ind w:left="0" w:leftChars="0" w:firstLine="0" w:firstLineChars="0"/>
              <w:rPr>
                <w:lang w:eastAsia="zh-CN"/>
              </w:rPr>
            </w:pPr>
            <w:r>
              <w:rPr>
                <w:rFonts w:hint="eastAsia" w:ascii="宋体" w:hAnsi="宋体" w:cs="仿宋_GB2312"/>
                <w:sz w:val="24"/>
                <w:lang w:eastAsia="zh-CN"/>
              </w:rPr>
              <w:t>法定代表人/委托人(签字):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4657" w:type="dxa"/>
          </w:tcPr>
          <w:p>
            <w:pPr>
              <w:pStyle w:val="2"/>
              <w:ind w:left="0" w:leftChars="0" w:firstLine="0" w:firstLineChars="0"/>
              <w:rPr>
                <w:lang w:eastAsia="zh-CN"/>
              </w:rPr>
            </w:pPr>
            <w:r>
              <w:rPr>
                <w:rFonts w:hint="eastAsia" w:ascii="宋体" w:hAnsi="宋体" w:cs="仿宋_GB2312"/>
                <w:sz w:val="24"/>
              </w:rPr>
              <w:t>开户银行:</w:t>
            </w:r>
          </w:p>
        </w:tc>
        <w:tc>
          <w:tcPr>
            <w:tcW w:w="4657" w:type="dxa"/>
          </w:tcPr>
          <w:p>
            <w:pPr>
              <w:pStyle w:val="2"/>
              <w:ind w:left="0" w:leftChars="0" w:firstLine="0" w:firstLineChars="0"/>
              <w:rPr>
                <w:lang w:eastAsia="zh-CN"/>
              </w:rPr>
            </w:pPr>
            <w:r>
              <w:rPr>
                <w:rFonts w:hint="eastAsia" w:ascii="宋体" w:hAnsi="宋体" w:cs="仿宋_GB2312"/>
                <w:sz w:val="24"/>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4657" w:type="dxa"/>
          </w:tcPr>
          <w:p>
            <w:pPr>
              <w:pStyle w:val="2"/>
              <w:ind w:left="0" w:leftChars="0" w:firstLine="0" w:firstLineChars="0"/>
              <w:rPr>
                <w:lang w:eastAsia="zh-CN"/>
              </w:rPr>
            </w:pPr>
            <w:r>
              <w:rPr>
                <w:rFonts w:hint="eastAsia" w:ascii="宋体" w:hAnsi="宋体" w:cs="仿宋_GB2312"/>
                <w:sz w:val="24"/>
              </w:rPr>
              <w:t>账号:</w:t>
            </w:r>
          </w:p>
        </w:tc>
        <w:tc>
          <w:tcPr>
            <w:tcW w:w="4657" w:type="dxa"/>
          </w:tcPr>
          <w:p>
            <w:pPr>
              <w:pStyle w:val="2"/>
              <w:ind w:left="0" w:leftChars="0" w:firstLine="0" w:firstLineChars="0"/>
              <w:rPr>
                <w:lang w:eastAsia="zh-CN"/>
              </w:rPr>
            </w:pPr>
            <w:r>
              <w:rPr>
                <w:rFonts w:hint="eastAsia" w:ascii="宋体" w:hAnsi="宋体" w:cs="仿宋_GB2312"/>
                <w:sz w:val="24"/>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4657" w:type="dxa"/>
          </w:tcPr>
          <w:p>
            <w:pPr>
              <w:pStyle w:val="2"/>
              <w:ind w:left="0" w:leftChars="0" w:firstLine="0" w:firstLineChars="0"/>
              <w:rPr>
                <w:lang w:eastAsia="zh-CN"/>
              </w:rPr>
            </w:pPr>
            <w:r>
              <w:rPr>
                <w:rFonts w:hint="eastAsia" w:ascii="宋体" w:hAnsi="宋体" w:cs="仿宋_GB2312"/>
                <w:sz w:val="24"/>
              </w:rPr>
              <w:t>纳税人识别号:</w:t>
            </w:r>
          </w:p>
        </w:tc>
        <w:tc>
          <w:tcPr>
            <w:tcW w:w="4657" w:type="dxa"/>
          </w:tcPr>
          <w:p>
            <w:pPr>
              <w:pStyle w:val="2"/>
              <w:ind w:left="0" w:leftChars="0" w:firstLine="0" w:firstLineChars="0"/>
              <w:rPr>
                <w:lang w:eastAsia="zh-CN"/>
              </w:rPr>
            </w:pPr>
            <w:r>
              <w:rPr>
                <w:rFonts w:hint="eastAsia" w:ascii="宋体" w:hAnsi="宋体" w:cs="仿宋_GB2312"/>
                <w:sz w:val="24"/>
              </w:rPr>
              <w:t xml:space="preserve">纳税人识别号: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4657" w:type="dxa"/>
          </w:tcPr>
          <w:p>
            <w:pPr>
              <w:pStyle w:val="2"/>
              <w:ind w:left="0" w:leftChars="0" w:firstLine="0" w:firstLineChars="0"/>
              <w:rPr>
                <w:lang w:eastAsia="zh-CN"/>
              </w:rPr>
            </w:pPr>
            <w:r>
              <w:rPr>
                <w:rFonts w:hint="eastAsia" w:ascii="宋体" w:hAnsi="宋体" w:cs="仿宋_GB2312"/>
                <w:sz w:val="24"/>
              </w:rPr>
              <w:t>地址:</w:t>
            </w:r>
          </w:p>
        </w:tc>
        <w:tc>
          <w:tcPr>
            <w:tcW w:w="4657" w:type="dxa"/>
          </w:tcPr>
          <w:p>
            <w:pPr>
              <w:pStyle w:val="2"/>
              <w:ind w:left="0" w:leftChars="0" w:firstLine="0" w:firstLineChars="0"/>
              <w:rPr>
                <w:lang w:eastAsia="zh-CN"/>
              </w:rPr>
            </w:pPr>
            <w:r>
              <w:rPr>
                <w:rFonts w:hint="eastAsia" w:ascii="宋体" w:hAnsi="宋体" w:cs="仿宋_GB2312"/>
                <w:sz w:val="24"/>
              </w:rPr>
              <w:t>地址:</w:t>
            </w:r>
          </w:p>
        </w:tc>
      </w:tr>
    </w:tbl>
    <w:p>
      <w:pPr>
        <w:spacing w:line="360" w:lineRule="auto"/>
        <w:rPr>
          <w:rFonts w:ascii="宋体" w:hAnsi="宋体" w:cs="仿宋_GB2312"/>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 w:name="NKGHNB+Arial">
    <w:altName w:val="仿宋"/>
    <w:panose1 w:val="00000000000000000000"/>
    <w:charset w:val="86"/>
    <w:family w:val="swiss"/>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MS Gothic">
    <w:panose1 w:val="020B0609070205080204"/>
    <w:charset w:val="80"/>
    <w:family w:val="modern"/>
    <w:pitch w:val="default"/>
    <w:sig w:usb0="E00002FF" w:usb1="6AC7FDFB" w:usb2="08000012" w:usb3="00000000" w:csb0="4002009F" w:csb1="DFD70000"/>
  </w:font>
  <w:font w:name="方正小标宋简体">
    <w:altName w:val="Microsoft YaHei UI"/>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15D189C"/>
    <w:multiLevelType w:val="multilevel"/>
    <w:tmpl w:val="215D189C"/>
    <w:lvl w:ilvl="0" w:tentative="0">
      <w:start w:val="1"/>
      <w:numFmt w:val="decimalEnclosedParen"/>
      <w:lvlText w:val="%1"/>
      <w:lvlJc w:val="left"/>
      <w:pPr>
        <w:ind w:left="782" w:hanging="360"/>
      </w:pPr>
      <w:rPr>
        <w:rFonts w:hint="default" w:hAnsi="宋体"/>
      </w:rPr>
    </w:lvl>
    <w:lvl w:ilvl="1" w:tentative="0">
      <w:start w:val="1"/>
      <w:numFmt w:val="lowerLetter"/>
      <w:lvlText w:val="%2)"/>
      <w:lvlJc w:val="left"/>
      <w:pPr>
        <w:ind w:left="1262" w:hanging="420"/>
      </w:pPr>
    </w:lvl>
    <w:lvl w:ilvl="2" w:tentative="0">
      <w:start w:val="1"/>
      <w:numFmt w:val="lowerRoman"/>
      <w:lvlText w:val="%3."/>
      <w:lvlJc w:val="right"/>
      <w:pPr>
        <w:ind w:left="1682" w:hanging="420"/>
      </w:pPr>
    </w:lvl>
    <w:lvl w:ilvl="3" w:tentative="0">
      <w:start w:val="1"/>
      <w:numFmt w:val="decimal"/>
      <w:lvlText w:val="%4."/>
      <w:lvlJc w:val="left"/>
      <w:pPr>
        <w:ind w:left="2102" w:hanging="420"/>
      </w:pPr>
    </w:lvl>
    <w:lvl w:ilvl="4" w:tentative="0">
      <w:start w:val="1"/>
      <w:numFmt w:val="lowerLetter"/>
      <w:lvlText w:val="%5)"/>
      <w:lvlJc w:val="left"/>
      <w:pPr>
        <w:ind w:left="2522" w:hanging="420"/>
      </w:pPr>
    </w:lvl>
    <w:lvl w:ilvl="5" w:tentative="0">
      <w:start w:val="1"/>
      <w:numFmt w:val="lowerRoman"/>
      <w:lvlText w:val="%6."/>
      <w:lvlJc w:val="right"/>
      <w:pPr>
        <w:ind w:left="2942" w:hanging="420"/>
      </w:pPr>
    </w:lvl>
    <w:lvl w:ilvl="6" w:tentative="0">
      <w:start w:val="1"/>
      <w:numFmt w:val="decimal"/>
      <w:lvlText w:val="%7."/>
      <w:lvlJc w:val="left"/>
      <w:pPr>
        <w:ind w:left="3362" w:hanging="420"/>
      </w:pPr>
    </w:lvl>
    <w:lvl w:ilvl="7" w:tentative="0">
      <w:start w:val="1"/>
      <w:numFmt w:val="lowerLetter"/>
      <w:lvlText w:val="%8)"/>
      <w:lvlJc w:val="left"/>
      <w:pPr>
        <w:ind w:left="3782" w:hanging="420"/>
      </w:pPr>
    </w:lvl>
    <w:lvl w:ilvl="8" w:tentative="0">
      <w:start w:val="1"/>
      <w:numFmt w:val="lowerRoman"/>
      <w:lvlText w:val="%9."/>
      <w:lvlJc w:val="right"/>
      <w:pPr>
        <w:ind w:left="4202" w:hanging="420"/>
      </w:pPr>
    </w:lvl>
  </w:abstractNum>
  <w:abstractNum w:abstractNumId="1">
    <w:nsid w:val="2CC074AB"/>
    <w:multiLevelType w:val="multilevel"/>
    <w:tmpl w:val="2CC074AB"/>
    <w:lvl w:ilvl="0" w:tentative="0">
      <w:start w:val="1"/>
      <w:numFmt w:val="decimal"/>
      <w:lvlText w:val="%1．"/>
      <w:lvlJc w:val="left"/>
      <w:pPr>
        <w:tabs>
          <w:tab w:val="left" w:pos="795"/>
        </w:tabs>
        <w:ind w:left="795" w:hanging="360"/>
      </w:pPr>
      <w:rPr>
        <w:rFonts w:hint="eastAsia"/>
      </w:rPr>
    </w:lvl>
    <w:lvl w:ilvl="1" w:tentative="0">
      <w:start w:val="1"/>
      <w:numFmt w:val="lowerLetter"/>
      <w:lvlText w:val="%2)"/>
      <w:lvlJc w:val="left"/>
      <w:pPr>
        <w:tabs>
          <w:tab w:val="left" w:pos="1275"/>
        </w:tabs>
        <w:ind w:left="1275" w:hanging="420"/>
      </w:pPr>
    </w:lvl>
    <w:lvl w:ilvl="2" w:tentative="0">
      <w:start w:val="1"/>
      <w:numFmt w:val="lowerRoman"/>
      <w:lvlText w:val="%3."/>
      <w:lvlJc w:val="right"/>
      <w:pPr>
        <w:tabs>
          <w:tab w:val="left" w:pos="1695"/>
        </w:tabs>
        <w:ind w:left="1695" w:hanging="420"/>
      </w:pPr>
    </w:lvl>
    <w:lvl w:ilvl="3" w:tentative="0">
      <w:start w:val="1"/>
      <w:numFmt w:val="decimal"/>
      <w:lvlText w:val="%4."/>
      <w:lvlJc w:val="left"/>
      <w:pPr>
        <w:tabs>
          <w:tab w:val="left" w:pos="2115"/>
        </w:tabs>
        <w:ind w:left="2115" w:hanging="420"/>
      </w:pPr>
    </w:lvl>
    <w:lvl w:ilvl="4" w:tentative="0">
      <w:start w:val="1"/>
      <w:numFmt w:val="lowerLetter"/>
      <w:lvlText w:val="%5)"/>
      <w:lvlJc w:val="left"/>
      <w:pPr>
        <w:tabs>
          <w:tab w:val="left" w:pos="2535"/>
        </w:tabs>
        <w:ind w:left="2535" w:hanging="420"/>
      </w:pPr>
    </w:lvl>
    <w:lvl w:ilvl="5" w:tentative="0">
      <w:start w:val="1"/>
      <w:numFmt w:val="lowerRoman"/>
      <w:lvlText w:val="%6."/>
      <w:lvlJc w:val="right"/>
      <w:pPr>
        <w:tabs>
          <w:tab w:val="left" w:pos="2955"/>
        </w:tabs>
        <w:ind w:left="2955" w:hanging="420"/>
      </w:pPr>
    </w:lvl>
    <w:lvl w:ilvl="6" w:tentative="0">
      <w:start w:val="1"/>
      <w:numFmt w:val="decimal"/>
      <w:lvlText w:val="%7."/>
      <w:lvlJc w:val="left"/>
      <w:pPr>
        <w:tabs>
          <w:tab w:val="left" w:pos="3375"/>
        </w:tabs>
        <w:ind w:left="3375" w:hanging="420"/>
      </w:pPr>
    </w:lvl>
    <w:lvl w:ilvl="7" w:tentative="0">
      <w:start w:val="1"/>
      <w:numFmt w:val="lowerLetter"/>
      <w:lvlText w:val="%8)"/>
      <w:lvlJc w:val="left"/>
      <w:pPr>
        <w:tabs>
          <w:tab w:val="left" w:pos="3795"/>
        </w:tabs>
        <w:ind w:left="3795" w:hanging="420"/>
      </w:pPr>
    </w:lvl>
    <w:lvl w:ilvl="8" w:tentative="0">
      <w:start w:val="1"/>
      <w:numFmt w:val="lowerRoman"/>
      <w:lvlText w:val="%9."/>
      <w:lvlJc w:val="right"/>
      <w:pPr>
        <w:tabs>
          <w:tab w:val="left" w:pos="4215"/>
        </w:tabs>
        <w:ind w:left="4215"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E0MWNhNTBiNzQzYzRhMWIxOWRlNTFhZGE0MGEzM2QifQ=="/>
    <w:docVar w:name="KSO_WPS_MARK_KEY" w:val="bcbaaff6-2082-445c-8c72-a10caf7dd0c6"/>
  </w:docVars>
  <w:rsids>
    <w:rsidRoot w:val="00F24E63"/>
    <w:rsid w:val="00000F14"/>
    <w:rsid w:val="0000199A"/>
    <w:rsid w:val="00026A07"/>
    <w:rsid w:val="00045855"/>
    <w:rsid w:val="00056BF7"/>
    <w:rsid w:val="00087370"/>
    <w:rsid w:val="000A6D91"/>
    <w:rsid w:val="000B2323"/>
    <w:rsid w:val="000C18CF"/>
    <w:rsid w:val="000C63D1"/>
    <w:rsid w:val="000E44EA"/>
    <w:rsid w:val="000F3AC1"/>
    <w:rsid w:val="00113320"/>
    <w:rsid w:val="0012015B"/>
    <w:rsid w:val="001344AD"/>
    <w:rsid w:val="00155043"/>
    <w:rsid w:val="00160425"/>
    <w:rsid w:val="00170066"/>
    <w:rsid w:val="00171E30"/>
    <w:rsid w:val="001825CA"/>
    <w:rsid w:val="0018401E"/>
    <w:rsid w:val="00184142"/>
    <w:rsid w:val="001A033B"/>
    <w:rsid w:val="001A0E30"/>
    <w:rsid w:val="001A4329"/>
    <w:rsid w:val="001B173B"/>
    <w:rsid w:val="00207B08"/>
    <w:rsid w:val="00241B4F"/>
    <w:rsid w:val="00293A72"/>
    <w:rsid w:val="002A2668"/>
    <w:rsid w:val="002A3632"/>
    <w:rsid w:val="002A7360"/>
    <w:rsid w:val="002C07BA"/>
    <w:rsid w:val="002D3486"/>
    <w:rsid w:val="002E1534"/>
    <w:rsid w:val="00310D00"/>
    <w:rsid w:val="003608A3"/>
    <w:rsid w:val="00361AE2"/>
    <w:rsid w:val="0036571B"/>
    <w:rsid w:val="00385A6C"/>
    <w:rsid w:val="0039743E"/>
    <w:rsid w:val="003B698E"/>
    <w:rsid w:val="003E139E"/>
    <w:rsid w:val="003E5149"/>
    <w:rsid w:val="003F0E00"/>
    <w:rsid w:val="00403CE0"/>
    <w:rsid w:val="00411F28"/>
    <w:rsid w:val="00424A14"/>
    <w:rsid w:val="00430FA9"/>
    <w:rsid w:val="004440EF"/>
    <w:rsid w:val="004A2E09"/>
    <w:rsid w:val="004B47A7"/>
    <w:rsid w:val="004B698C"/>
    <w:rsid w:val="004D5104"/>
    <w:rsid w:val="004F30ED"/>
    <w:rsid w:val="0050198C"/>
    <w:rsid w:val="00531705"/>
    <w:rsid w:val="00542548"/>
    <w:rsid w:val="00542D05"/>
    <w:rsid w:val="00551B4E"/>
    <w:rsid w:val="005624A2"/>
    <w:rsid w:val="005672F4"/>
    <w:rsid w:val="00574EB1"/>
    <w:rsid w:val="005A348A"/>
    <w:rsid w:val="005C78CC"/>
    <w:rsid w:val="005C7A2A"/>
    <w:rsid w:val="005D5FD2"/>
    <w:rsid w:val="00607BF9"/>
    <w:rsid w:val="00661C96"/>
    <w:rsid w:val="00685EBB"/>
    <w:rsid w:val="00690845"/>
    <w:rsid w:val="006F0027"/>
    <w:rsid w:val="006F1D92"/>
    <w:rsid w:val="00737D56"/>
    <w:rsid w:val="007572E0"/>
    <w:rsid w:val="00773398"/>
    <w:rsid w:val="00774191"/>
    <w:rsid w:val="0077429C"/>
    <w:rsid w:val="007836DA"/>
    <w:rsid w:val="0078763E"/>
    <w:rsid w:val="007D4A31"/>
    <w:rsid w:val="007D569D"/>
    <w:rsid w:val="007E14C5"/>
    <w:rsid w:val="007E676E"/>
    <w:rsid w:val="00841AD8"/>
    <w:rsid w:val="00843EC7"/>
    <w:rsid w:val="00845398"/>
    <w:rsid w:val="00857417"/>
    <w:rsid w:val="00860800"/>
    <w:rsid w:val="00861235"/>
    <w:rsid w:val="00864401"/>
    <w:rsid w:val="00864E8D"/>
    <w:rsid w:val="0087702A"/>
    <w:rsid w:val="0088316E"/>
    <w:rsid w:val="008849A2"/>
    <w:rsid w:val="00893BF5"/>
    <w:rsid w:val="008A446C"/>
    <w:rsid w:val="008C6D67"/>
    <w:rsid w:val="008D6C71"/>
    <w:rsid w:val="008E6DEE"/>
    <w:rsid w:val="00914498"/>
    <w:rsid w:val="00915F6F"/>
    <w:rsid w:val="00931361"/>
    <w:rsid w:val="00935CDA"/>
    <w:rsid w:val="0094169D"/>
    <w:rsid w:val="00947A59"/>
    <w:rsid w:val="0098364D"/>
    <w:rsid w:val="0099748C"/>
    <w:rsid w:val="009C005A"/>
    <w:rsid w:val="009F61F0"/>
    <w:rsid w:val="00A133A6"/>
    <w:rsid w:val="00A30B4A"/>
    <w:rsid w:val="00A34D8B"/>
    <w:rsid w:val="00A35F56"/>
    <w:rsid w:val="00A4174D"/>
    <w:rsid w:val="00A516E1"/>
    <w:rsid w:val="00A5234A"/>
    <w:rsid w:val="00A538C7"/>
    <w:rsid w:val="00A73970"/>
    <w:rsid w:val="00A7699B"/>
    <w:rsid w:val="00A77F77"/>
    <w:rsid w:val="00AA7878"/>
    <w:rsid w:val="00AE33AA"/>
    <w:rsid w:val="00AF029B"/>
    <w:rsid w:val="00AF583A"/>
    <w:rsid w:val="00B05338"/>
    <w:rsid w:val="00B64908"/>
    <w:rsid w:val="00B76C91"/>
    <w:rsid w:val="00B8026E"/>
    <w:rsid w:val="00B842A3"/>
    <w:rsid w:val="00BA1EAD"/>
    <w:rsid w:val="00BB2B51"/>
    <w:rsid w:val="00BC15EF"/>
    <w:rsid w:val="00BE0D89"/>
    <w:rsid w:val="00BF64EF"/>
    <w:rsid w:val="00C158C8"/>
    <w:rsid w:val="00C37C71"/>
    <w:rsid w:val="00C46A02"/>
    <w:rsid w:val="00C544CC"/>
    <w:rsid w:val="00C65832"/>
    <w:rsid w:val="00CC462A"/>
    <w:rsid w:val="00CF39D9"/>
    <w:rsid w:val="00D036AD"/>
    <w:rsid w:val="00D261FB"/>
    <w:rsid w:val="00D479B3"/>
    <w:rsid w:val="00D56F94"/>
    <w:rsid w:val="00D62950"/>
    <w:rsid w:val="00D70DFC"/>
    <w:rsid w:val="00D85B96"/>
    <w:rsid w:val="00D87566"/>
    <w:rsid w:val="00DA621A"/>
    <w:rsid w:val="00DB3DB5"/>
    <w:rsid w:val="00DF3DE1"/>
    <w:rsid w:val="00E34B81"/>
    <w:rsid w:val="00E36CD2"/>
    <w:rsid w:val="00E74CA5"/>
    <w:rsid w:val="00E80688"/>
    <w:rsid w:val="00E80A96"/>
    <w:rsid w:val="00E863BE"/>
    <w:rsid w:val="00E876EB"/>
    <w:rsid w:val="00EA55A7"/>
    <w:rsid w:val="00EB7DB5"/>
    <w:rsid w:val="00ED7EFD"/>
    <w:rsid w:val="00EE7772"/>
    <w:rsid w:val="00EF42F0"/>
    <w:rsid w:val="00F03E92"/>
    <w:rsid w:val="00F06176"/>
    <w:rsid w:val="00F24E63"/>
    <w:rsid w:val="00F42C2B"/>
    <w:rsid w:val="00F45F49"/>
    <w:rsid w:val="00F62DEA"/>
    <w:rsid w:val="00F72B53"/>
    <w:rsid w:val="00F849F6"/>
    <w:rsid w:val="00F92D29"/>
    <w:rsid w:val="00FD011C"/>
    <w:rsid w:val="00FD7AAF"/>
    <w:rsid w:val="00FF4C9C"/>
    <w:rsid w:val="01BE7323"/>
    <w:rsid w:val="01DC5279"/>
    <w:rsid w:val="07F12200"/>
    <w:rsid w:val="0A5D2FCF"/>
    <w:rsid w:val="0A6C1E8F"/>
    <w:rsid w:val="0E62693A"/>
    <w:rsid w:val="0F5D63CD"/>
    <w:rsid w:val="11770774"/>
    <w:rsid w:val="15F100E1"/>
    <w:rsid w:val="164A4871"/>
    <w:rsid w:val="1B5538E0"/>
    <w:rsid w:val="1CE974F2"/>
    <w:rsid w:val="25EA02B1"/>
    <w:rsid w:val="27DC52B3"/>
    <w:rsid w:val="2987431B"/>
    <w:rsid w:val="2CC50F29"/>
    <w:rsid w:val="31701B38"/>
    <w:rsid w:val="31D67BED"/>
    <w:rsid w:val="37AC342D"/>
    <w:rsid w:val="3AAD7EE3"/>
    <w:rsid w:val="3C663B7E"/>
    <w:rsid w:val="41AE33BD"/>
    <w:rsid w:val="451A7046"/>
    <w:rsid w:val="57C069AE"/>
    <w:rsid w:val="5F9606B1"/>
    <w:rsid w:val="696246A4"/>
    <w:rsid w:val="6D1254AA"/>
    <w:rsid w:val="6F284B47"/>
    <w:rsid w:val="71B4538E"/>
    <w:rsid w:val="72CB732E"/>
    <w:rsid w:val="74211074"/>
    <w:rsid w:val="778B7189"/>
    <w:rsid w:val="7A0C6BE9"/>
    <w:rsid w:val="7B9E32E2"/>
    <w:rsid w:val="7BE43851"/>
    <w:rsid w:val="7EA252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link w:val="18"/>
    <w:qFormat/>
    <w:uiPriority w:val="9"/>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26"/>
    <w:semiHidden/>
    <w:unhideWhenUsed/>
    <w:qFormat/>
    <w:uiPriority w:val="0"/>
    <w:pPr>
      <w:keepNext/>
      <w:keepLines/>
      <w:spacing w:before="260" w:after="260" w:line="416" w:lineRule="auto"/>
      <w:outlineLvl w:val="2"/>
    </w:pPr>
    <w:rPr>
      <w:b/>
      <w:bCs/>
      <w:sz w:val="32"/>
      <w:szCs w:val="32"/>
    </w:rPr>
  </w:style>
  <w:style w:type="character" w:default="1" w:styleId="15">
    <w:name w:val="Default Paragraph Font"/>
    <w:semiHidden/>
    <w:unhideWhenUsed/>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spacing w:line="276" w:lineRule="auto"/>
      <w:ind w:firstLine="420"/>
      <w:jc w:val="left"/>
    </w:pPr>
    <w:rPr>
      <w:rFonts w:ascii="Calibri" w:hAnsi="Calibri"/>
      <w:kern w:val="0"/>
      <w:sz w:val="22"/>
      <w:lang w:eastAsia="en-US"/>
    </w:rPr>
  </w:style>
  <w:style w:type="paragraph" w:styleId="3">
    <w:name w:val="Body Text Indent"/>
    <w:basedOn w:val="1"/>
    <w:qFormat/>
    <w:uiPriority w:val="0"/>
    <w:pPr>
      <w:spacing w:line="480" w:lineRule="auto"/>
      <w:ind w:left="420" w:leftChars="200" w:firstLine="480" w:firstLineChars="200"/>
    </w:pPr>
    <w:rPr>
      <w:sz w:val="24"/>
    </w:rPr>
  </w:style>
  <w:style w:type="paragraph" w:styleId="6">
    <w:name w:val="toa heading"/>
    <w:basedOn w:val="1"/>
    <w:next w:val="1"/>
    <w:unhideWhenUsed/>
    <w:qFormat/>
    <w:uiPriority w:val="0"/>
    <w:pPr>
      <w:spacing w:before="120"/>
    </w:pPr>
    <w:rPr>
      <w:rFonts w:ascii="Arial" w:hAnsi="Arial"/>
      <w:sz w:val="24"/>
      <w:szCs w:val="20"/>
    </w:rPr>
  </w:style>
  <w:style w:type="paragraph" w:styleId="7">
    <w:name w:val="Body Text"/>
    <w:basedOn w:val="1"/>
    <w:next w:val="1"/>
    <w:link w:val="24"/>
    <w:qFormat/>
    <w:uiPriority w:val="99"/>
    <w:pPr>
      <w:spacing w:after="120"/>
    </w:pPr>
    <w:rPr>
      <w:sz w:val="24"/>
    </w:rPr>
  </w:style>
  <w:style w:type="paragraph" w:styleId="8">
    <w:name w:val="Plain Text"/>
    <w:basedOn w:val="1"/>
    <w:link w:val="23"/>
    <w:unhideWhenUsed/>
    <w:qFormat/>
    <w:uiPriority w:val="0"/>
    <w:rPr>
      <w:rFonts w:ascii="宋体" w:hAnsi="Courier New"/>
      <w:szCs w:val="20"/>
    </w:rPr>
  </w:style>
  <w:style w:type="paragraph" w:styleId="9">
    <w:name w:val="Date"/>
    <w:basedOn w:val="1"/>
    <w:next w:val="1"/>
    <w:qFormat/>
    <w:uiPriority w:val="0"/>
    <w:rPr>
      <w:rFonts w:ascii="宋体"/>
      <w:kern w:val="0"/>
      <w:position w:val="20"/>
      <w:sz w:val="24"/>
    </w:rPr>
  </w:style>
  <w:style w:type="paragraph" w:styleId="10">
    <w:name w:val="footer"/>
    <w:basedOn w:val="1"/>
    <w:link w:val="20"/>
    <w:qFormat/>
    <w:uiPriority w:val="0"/>
    <w:pPr>
      <w:tabs>
        <w:tab w:val="center" w:pos="4153"/>
        <w:tab w:val="right" w:pos="8306"/>
      </w:tabs>
      <w:snapToGrid w:val="0"/>
      <w:jc w:val="left"/>
    </w:pPr>
    <w:rPr>
      <w:sz w:val="18"/>
      <w:szCs w:val="18"/>
    </w:rPr>
  </w:style>
  <w:style w:type="paragraph" w:styleId="11">
    <w:name w:val="header"/>
    <w:basedOn w:val="1"/>
    <w:link w:val="19"/>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table" w:styleId="14">
    <w:name w:val="Table Grid"/>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FollowedHyperlink"/>
    <w:basedOn w:val="15"/>
    <w:qFormat/>
    <w:uiPriority w:val="0"/>
    <w:rPr>
      <w:color w:val="800080"/>
      <w:u w:val="single"/>
    </w:rPr>
  </w:style>
  <w:style w:type="character" w:styleId="17">
    <w:name w:val="Hyperlink"/>
    <w:basedOn w:val="15"/>
    <w:qFormat/>
    <w:uiPriority w:val="0"/>
    <w:rPr>
      <w:color w:val="0000FF"/>
      <w:u w:val="single"/>
    </w:rPr>
  </w:style>
  <w:style w:type="character" w:customStyle="1" w:styleId="18">
    <w:name w:val="标题 2 字符"/>
    <w:link w:val="4"/>
    <w:qFormat/>
    <w:uiPriority w:val="9"/>
    <w:rPr>
      <w:rFonts w:ascii="Arial" w:hAnsi="Arial" w:eastAsia="黑体"/>
      <w:b/>
      <w:bCs/>
      <w:sz w:val="32"/>
      <w:szCs w:val="32"/>
    </w:rPr>
  </w:style>
  <w:style w:type="character" w:customStyle="1" w:styleId="19">
    <w:name w:val="页眉 字符"/>
    <w:basedOn w:val="15"/>
    <w:link w:val="11"/>
    <w:qFormat/>
    <w:uiPriority w:val="0"/>
    <w:rPr>
      <w:rFonts w:ascii="Times New Roman" w:hAnsi="Times New Roman" w:eastAsia="宋体" w:cs="Times New Roman"/>
      <w:kern w:val="2"/>
      <w:sz w:val="18"/>
      <w:szCs w:val="18"/>
    </w:rPr>
  </w:style>
  <w:style w:type="character" w:customStyle="1" w:styleId="20">
    <w:name w:val="页脚 字符"/>
    <w:basedOn w:val="15"/>
    <w:link w:val="10"/>
    <w:qFormat/>
    <w:uiPriority w:val="0"/>
    <w:rPr>
      <w:rFonts w:ascii="Times New Roman" w:hAnsi="Times New Roman" w:eastAsia="宋体" w:cs="Times New Roman"/>
      <w:kern w:val="2"/>
      <w:sz w:val="18"/>
      <w:szCs w:val="18"/>
    </w:rPr>
  </w:style>
  <w:style w:type="paragraph" w:customStyle="1" w:styleId="21">
    <w:name w:val="[Normal]"/>
    <w:qFormat/>
    <w:uiPriority w:val="0"/>
    <w:rPr>
      <w:rFonts w:ascii="宋体" w:hAnsi="宋体" w:eastAsia="宋体" w:cs="Times New Roman"/>
      <w:sz w:val="24"/>
      <w:szCs w:val="22"/>
      <w:lang w:val="zh-CN" w:eastAsia="zh-CN" w:bidi="ar-SA"/>
    </w:rPr>
  </w:style>
  <w:style w:type="paragraph" w:styleId="22">
    <w:name w:val="List Paragraph"/>
    <w:basedOn w:val="1"/>
    <w:unhideWhenUsed/>
    <w:qFormat/>
    <w:uiPriority w:val="99"/>
    <w:pPr>
      <w:ind w:firstLine="420" w:firstLineChars="200"/>
    </w:pPr>
  </w:style>
  <w:style w:type="character" w:customStyle="1" w:styleId="23">
    <w:name w:val="纯文本 字符"/>
    <w:link w:val="8"/>
    <w:qFormat/>
    <w:uiPriority w:val="0"/>
    <w:rPr>
      <w:rFonts w:ascii="宋体" w:hAnsi="Courier New"/>
      <w:kern w:val="2"/>
      <w:sz w:val="21"/>
    </w:rPr>
  </w:style>
  <w:style w:type="character" w:customStyle="1" w:styleId="24">
    <w:name w:val="正文文本 字符"/>
    <w:basedOn w:val="15"/>
    <w:link w:val="7"/>
    <w:qFormat/>
    <w:uiPriority w:val="99"/>
    <w:rPr>
      <w:kern w:val="2"/>
      <w:sz w:val="24"/>
      <w:szCs w:val="24"/>
    </w:rPr>
  </w:style>
  <w:style w:type="paragraph" w:customStyle="1" w:styleId="25">
    <w:name w:val="WPSOffice手动目录 1"/>
    <w:qFormat/>
    <w:uiPriority w:val="0"/>
    <w:rPr>
      <w:rFonts w:ascii="Times New Roman" w:hAnsi="Times New Roman" w:eastAsia="宋体" w:cs="Times New Roman"/>
      <w:lang w:val="en-US" w:eastAsia="zh-CN" w:bidi="ar-SA"/>
    </w:rPr>
  </w:style>
  <w:style w:type="character" w:customStyle="1" w:styleId="26">
    <w:name w:val="标题 3 字符"/>
    <w:basedOn w:val="15"/>
    <w:link w:val="5"/>
    <w:semiHidden/>
    <w:qFormat/>
    <w:uiPriority w:val="0"/>
    <w:rPr>
      <w:b/>
      <w:bCs/>
      <w:kern w:val="2"/>
      <w:sz w:val="32"/>
      <w:szCs w:val="32"/>
    </w:rPr>
  </w:style>
  <w:style w:type="paragraph" w:customStyle="1" w:styleId="27">
    <w:name w:val="Table Paragraph"/>
    <w:basedOn w:val="1"/>
    <w:qFormat/>
    <w:uiPriority w:val="1"/>
    <w:pPr>
      <w:autoSpaceDE w:val="0"/>
      <w:autoSpaceDN w:val="0"/>
      <w:spacing w:before="25" w:line="267" w:lineRule="exact"/>
      <w:ind w:left="105"/>
      <w:jc w:val="center"/>
    </w:pPr>
    <w:rPr>
      <w:rFonts w:ascii="宋体" w:hAnsi="宋体" w:cs="宋体"/>
      <w:kern w:val="0"/>
      <w:sz w:val="22"/>
      <w:szCs w:val="22"/>
      <w:lang w:val="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33</Pages>
  <Words>17937</Words>
  <Characters>18792</Characters>
  <Lines>144</Lines>
  <Paragraphs>40</Paragraphs>
  <TotalTime>0</TotalTime>
  <ScaleCrop>false</ScaleCrop>
  <LinksUpToDate>false</LinksUpToDate>
  <CharactersWithSpaces>19967</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2025-04-27T02:45:00Z</dcterms:created>
  <dc:creator>200696</dc:creator>
  <cp:lastModifiedBy>田芸</cp:lastModifiedBy>
  <dcterms:modified xsi:type="dcterms:W3CDTF">2025-05-15T08:53:42Z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E636FEEC0FA14A9FBC81B34875BFED19</vt:lpwstr>
  </property>
</Properties>
</file>