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F853167">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sz w:val="36"/>
          <w:szCs w:val="36"/>
        </w:rPr>
      </w:pPr>
      <w:bookmarkStart w:id="0" w:name="_Toc10987"/>
      <w:bookmarkStart w:id="1" w:name="_Toc15310"/>
    </w:p>
    <w:p w14:paraId="3971A463">
      <w:pPr>
        <w:pStyle w:val="24"/>
        <w:rPr>
          <w:rFonts w:hint="eastAsia"/>
        </w:rPr>
      </w:pPr>
    </w:p>
    <w:p w14:paraId="0B726F97">
      <w:pPr>
        <w:autoSpaceDE w:val="0"/>
        <w:autoSpaceDN w:val="0"/>
        <w:adjustRightInd w:val="0"/>
        <w:snapToGrid w:val="0"/>
        <w:spacing w:line="360" w:lineRule="auto"/>
        <w:ind w:firstLine="256" w:firstLineChars="49"/>
        <w:jc w:val="center"/>
        <w:rPr>
          <w:rFonts w:hint="eastAsia" w:asciiTheme="minorEastAsia" w:hAnsiTheme="minorEastAsia" w:eastAsiaTheme="minorEastAsia" w:cstheme="minorEastAsia"/>
          <w:b/>
          <w:sz w:val="52"/>
          <w:szCs w:val="52"/>
          <w:lang w:val="en-US" w:eastAsia="zh-CN"/>
        </w:rPr>
      </w:pPr>
      <w:r>
        <w:rPr>
          <w:rFonts w:hint="eastAsia" w:asciiTheme="minorEastAsia" w:hAnsiTheme="minorEastAsia" w:eastAsiaTheme="minorEastAsia" w:cstheme="minorEastAsia"/>
          <w:b/>
          <w:sz w:val="52"/>
          <w:szCs w:val="52"/>
          <w:lang w:val="en-US" w:eastAsia="zh-CN"/>
        </w:rPr>
        <w:t>中国重汽集团济南动力有限公司</w:t>
      </w:r>
    </w:p>
    <w:p w14:paraId="68D623A1">
      <w:pPr>
        <w:autoSpaceDE w:val="0"/>
        <w:autoSpaceDN w:val="0"/>
        <w:adjustRightInd w:val="0"/>
        <w:snapToGrid w:val="0"/>
        <w:spacing w:line="360" w:lineRule="auto"/>
        <w:ind w:firstLine="256" w:firstLineChars="49"/>
        <w:jc w:val="center"/>
        <w:rPr>
          <w:rFonts w:hint="default" w:asciiTheme="minorEastAsia" w:hAnsiTheme="minorEastAsia" w:eastAsiaTheme="minorEastAsia" w:cstheme="minorEastAsia"/>
          <w:b/>
          <w:sz w:val="52"/>
          <w:szCs w:val="52"/>
          <w:highlight w:val="yellow"/>
          <w:lang w:val="en-US"/>
        </w:rPr>
      </w:pPr>
      <w:r>
        <w:rPr>
          <w:rFonts w:hint="eastAsia" w:asciiTheme="minorEastAsia" w:hAnsiTheme="minorEastAsia" w:eastAsiaTheme="minorEastAsia" w:cstheme="minorEastAsia"/>
          <w:b/>
          <w:sz w:val="52"/>
          <w:szCs w:val="52"/>
          <w:lang w:val="en-US" w:eastAsia="zh-CN"/>
        </w:rPr>
        <w:t>济南成型厂110kV变电站通讯系统更新改造技改项目</w:t>
      </w:r>
    </w:p>
    <w:p w14:paraId="063092C1">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410C4BC7">
      <w:pPr>
        <w:pStyle w:val="4"/>
        <w:rPr>
          <w:rFonts w:hint="eastAsia"/>
        </w:rPr>
      </w:pPr>
    </w:p>
    <w:p w14:paraId="66ADF315">
      <w:pPr>
        <w:autoSpaceDE w:val="0"/>
        <w:autoSpaceDN w:val="0"/>
        <w:adjustRightInd w:val="0"/>
        <w:snapToGrid w:val="0"/>
        <w:spacing w:line="360" w:lineRule="auto"/>
        <w:ind w:firstLine="354" w:firstLineChars="49"/>
        <w:jc w:val="center"/>
        <w:rPr>
          <w:rFonts w:hint="eastAsia" w:asciiTheme="minorEastAsia" w:hAnsiTheme="minorEastAsia" w:eastAsiaTheme="minorEastAsia" w:cstheme="minorEastAsia"/>
          <w:b/>
          <w:w w:val="99"/>
          <w:sz w:val="30"/>
          <w:szCs w:val="30"/>
        </w:rPr>
      </w:pPr>
      <w:r>
        <w:rPr>
          <w:rFonts w:hint="eastAsia" w:asciiTheme="minorEastAsia" w:hAnsiTheme="minorEastAsia" w:eastAsiaTheme="minorEastAsia" w:cstheme="minorEastAsia"/>
          <w:b/>
          <w:sz w:val="72"/>
          <w:szCs w:val="72"/>
        </w:rPr>
        <w:t>招　标　文　件</w:t>
      </w:r>
      <w:r>
        <w:rPr>
          <w:rFonts w:hint="eastAsia" w:asciiTheme="minorEastAsia" w:hAnsiTheme="minorEastAsia" w:eastAsiaTheme="minorEastAsia" w:cstheme="minorEastAsia"/>
          <w:b/>
          <w:spacing w:val="-20"/>
          <w:sz w:val="28"/>
          <w:szCs w:val="28"/>
        </w:rPr>
        <w:t xml:space="preserve">                                       </w:t>
      </w:r>
    </w:p>
    <w:p w14:paraId="7FEC9C2A">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073CB7F0">
      <w:pPr>
        <w:tabs>
          <w:tab w:val="left" w:pos="3885"/>
          <w:tab w:val="left" w:pos="6219"/>
        </w:tabs>
        <w:autoSpaceDE w:val="0"/>
        <w:autoSpaceDN w:val="0"/>
        <w:adjustRightInd w:val="0"/>
        <w:snapToGrid w:val="0"/>
        <w:spacing w:line="360" w:lineRule="auto"/>
        <w:jc w:val="both"/>
        <w:rPr>
          <w:rFonts w:hint="eastAsia" w:asciiTheme="minorEastAsia" w:hAnsiTheme="minorEastAsia" w:eastAsiaTheme="minorEastAsia" w:cstheme="minorEastAsia"/>
          <w:b/>
          <w:w w:val="99"/>
          <w:sz w:val="30"/>
          <w:szCs w:val="30"/>
        </w:rPr>
      </w:pPr>
    </w:p>
    <w:p w14:paraId="030B0266">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6308245F">
      <w:pPr>
        <w:pStyle w:val="4"/>
        <w:rPr>
          <w:rFonts w:hint="eastAsia"/>
        </w:rPr>
      </w:pPr>
    </w:p>
    <w:p w14:paraId="65B3242C">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5D076AFE">
      <w:pPr>
        <w:tabs>
          <w:tab w:val="left" w:pos="3885"/>
          <w:tab w:val="left" w:pos="6219"/>
        </w:tabs>
        <w:autoSpaceDE w:val="0"/>
        <w:autoSpaceDN w:val="0"/>
        <w:adjustRightInd w:val="0"/>
        <w:snapToGrid w:val="0"/>
        <w:spacing w:line="360" w:lineRule="auto"/>
        <w:ind w:firstLine="292" w:firstLineChars="98"/>
        <w:jc w:val="center"/>
        <w:rPr>
          <w:rFonts w:hint="default" w:asciiTheme="minorEastAsia" w:hAnsiTheme="minorEastAsia" w:eastAsiaTheme="minorEastAsia" w:cstheme="minorEastAsia"/>
          <w:b/>
          <w:sz w:val="30"/>
          <w:szCs w:val="30"/>
          <w:u w:val="single"/>
          <w:lang w:val="en-US" w:eastAsia="zh-CN"/>
        </w:rPr>
      </w:pPr>
      <w:r>
        <w:rPr>
          <w:rFonts w:hint="eastAsia" w:asciiTheme="minorEastAsia" w:hAnsiTheme="minorEastAsia" w:eastAsiaTheme="minorEastAsia" w:cstheme="minorEastAsia"/>
          <w:b/>
          <w:w w:val="99"/>
          <w:sz w:val="30"/>
          <w:szCs w:val="30"/>
        </w:rPr>
        <w:t>招   标  人：</w:t>
      </w:r>
      <w:r>
        <w:rPr>
          <w:rFonts w:hint="eastAsia" w:asciiTheme="minorEastAsia" w:hAnsiTheme="minorEastAsia" w:eastAsiaTheme="minorEastAsia" w:cstheme="minorEastAsia"/>
          <w:b/>
          <w:w w:val="99"/>
          <w:sz w:val="30"/>
          <w:szCs w:val="30"/>
          <w:lang w:val="en-US" w:eastAsia="zh-CN"/>
        </w:rPr>
        <w:t>中国重汽集团济南动力有限公司</w:t>
      </w:r>
    </w:p>
    <w:p w14:paraId="6A49AC33">
      <w:pPr>
        <w:pStyle w:val="32"/>
        <w:tabs>
          <w:tab w:val="left" w:pos="900"/>
          <w:tab w:val="right" w:leader="dot" w:pos="9100"/>
        </w:tabs>
        <w:spacing w:line="360" w:lineRule="auto"/>
        <w:ind w:firstLine="600"/>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2026</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lang w:val="en-US" w:eastAsia="zh-CN"/>
        </w:rPr>
        <w:t>9</w:t>
      </w:r>
      <w:r>
        <w:rPr>
          <w:rFonts w:hint="eastAsia" w:asciiTheme="minorEastAsia" w:hAnsiTheme="minorEastAsia" w:eastAsiaTheme="minorEastAsia" w:cstheme="minorEastAsia"/>
          <w:sz w:val="30"/>
          <w:szCs w:val="30"/>
        </w:rPr>
        <w:t>月</w:t>
      </w:r>
    </w:p>
    <w:p w14:paraId="1FB59CED">
      <w:pPr>
        <w:ind w:firstLine="420"/>
        <w:rPr>
          <w:rFonts w:hint="eastAsia" w:asciiTheme="minorEastAsia" w:hAnsiTheme="minorEastAsia" w:eastAsiaTheme="minorEastAsia" w:cstheme="minorEastAsia"/>
        </w:rPr>
      </w:pPr>
    </w:p>
    <w:p w14:paraId="6639F5A4">
      <w:pPr>
        <w:ind w:firstLine="420"/>
        <w:rPr>
          <w:rFonts w:hint="eastAsia" w:asciiTheme="minorEastAsia" w:hAnsiTheme="minorEastAsia" w:eastAsiaTheme="minorEastAsia" w:cstheme="minorEastAsia"/>
        </w:rPr>
      </w:pPr>
    </w:p>
    <w:bookmarkEnd w:id="0"/>
    <w:bookmarkEnd w:id="1"/>
    <w:p w14:paraId="70C460E3">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31406235"/>
      <w:bookmarkStart w:id="4" w:name="_Toc16518"/>
      <w:r>
        <w:rPr>
          <w:rFonts w:hint="eastAsia" w:asciiTheme="minorEastAsia" w:hAnsiTheme="minorEastAsia" w:eastAsiaTheme="minorEastAsia" w:cstheme="minorEastAsia"/>
          <w:szCs w:val="32"/>
        </w:rPr>
        <w:br w:type="page"/>
      </w:r>
    </w:p>
    <w:p w14:paraId="263802B2">
      <w:pPr>
        <w:pStyle w:val="4"/>
        <w:snapToGrid w:val="0"/>
        <w:spacing w:before="0" w:after="0" w:line="360" w:lineRule="auto"/>
        <w:ind w:firstLine="643"/>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32"/>
        </w:rPr>
        <w:t>招标公告</w:t>
      </w:r>
      <w:bookmarkEnd w:id="2"/>
      <w:bookmarkEnd w:id="3"/>
      <w:bookmarkEnd w:id="4"/>
    </w:p>
    <w:p w14:paraId="28C7EE29">
      <w:pPr>
        <w:widowControl/>
        <w:snapToGrid w:val="0"/>
        <w:spacing w:line="360" w:lineRule="auto"/>
        <w:jc w:val="left"/>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0AA79F2">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中国重汽集团济南动力有限公司济南成型厂110kV变电站通讯系统更新改造技改项目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中国重汽集团济南动力有限公司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42E37FAB">
      <w:pPr>
        <w:widowControl/>
        <w:snapToGrid w:val="0"/>
        <w:spacing w:line="360" w:lineRule="auto"/>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0A97F76A">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44974482"/>
      <w:bookmarkEnd w:id="5"/>
      <w:bookmarkStart w:id="6" w:name="_Toc285809451"/>
      <w:bookmarkEnd w:id="6"/>
      <w:bookmarkStart w:id="7" w:name="_Toc152042290"/>
      <w:bookmarkEnd w:id="7"/>
      <w:bookmarkStart w:id="8" w:name="_Toc152045514"/>
      <w:bookmarkEnd w:id="8"/>
      <w:bookmarkStart w:id="9" w:name="_Toc179632530"/>
      <w:bookmarkEnd w:id="9"/>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 济南成型厂110kV变电站通讯系统更新改造技改项目  </w:t>
      </w:r>
    </w:p>
    <w:p w14:paraId="1A840314">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u w:val="single"/>
          <w:lang w:val="en-US" w:eastAsia="zh-CN" w:bidi="en-US"/>
        </w:rPr>
      </w:pPr>
      <w:r>
        <w:rPr>
          <w:rFonts w:hint="eastAsia" w:asciiTheme="minorEastAsia" w:hAnsiTheme="minorEastAsia" w:eastAsiaTheme="minorEastAsia" w:cstheme="minorEastAsia"/>
          <w:color w:val="auto"/>
          <w:kern w:val="0"/>
          <w:sz w:val="24"/>
          <w:szCs w:val="24"/>
          <w:highlight w:val="none"/>
          <w:lang w:bidi="en-US"/>
        </w:rPr>
        <w:t>采购形式编号：</w:t>
      </w:r>
      <w:r>
        <w:rPr>
          <w:rFonts w:hint="eastAsia" w:asciiTheme="minorEastAsia" w:hAnsiTheme="minorEastAsia" w:eastAsiaTheme="minorEastAsia" w:cstheme="minorEastAsia"/>
          <w:color w:val="auto"/>
          <w:kern w:val="0"/>
          <w:sz w:val="24"/>
          <w:szCs w:val="24"/>
          <w:highlight w:val="none"/>
          <w:u w:val="single"/>
          <w:lang w:val="en-US" w:eastAsia="zh-CN" w:bidi="en-US"/>
        </w:rPr>
        <w:t xml:space="preserve"> ZBGL2026090104；</w:t>
      </w:r>
      <w:bookmarkStart w:id="34" w:name="_GoBack"/>
      <w:bookmarkEnd w:id="34"/>
    </w:p>
    <w:p w14:paraId="5E9149AD">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imes New Roman" w:hAnsi="Times New Roman"/>
          <w:color w:val="000000"/>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山东省济南市章丘区世纪大道6677号</w:t>
      </w:r>
      <w:r>
        <w:rPr>
          <w:rFonts w:hint="eastAsia" w:ascii="宋体" w:hAnsi="宋体" w:eastAsia="宋体" w:cs="宋体"/>
          <w:color w:val="000000"/>
          <w:sz w:val="24"/>
          <w:szCs w:val="24"/>
          <w:u w:val="single"/>
        </w:rPr>
        <w:t>济南成型厂</w:t>
      </w:r>
      <w:r>
        <w:rPr>
          <w:rFonts w:hint="eastAsia" w:asciiTheme="minorEastAsia" w:hAnsiTheme="minorEastAsia" w:eastAsiaTheme="minorEastAsia" w:cstheme="minorEastAsia"/>
          <w:kern w:val="0"/>
          <w:sz w:val="24"/>
          <w:szCs w:val="24"/>
          <w:highlight w:val="none"/>
          <w:u w:val="single"/>
          <w:lang w:bidi="en-US"/>
        </w:rPr>
        <w:t>；</w:t>
      </w:r>
    </w:p>
    <w:p w14:paraId="505FD740">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r>
        <w:rPr>
          <w:rFonts w:hint="eastAsia" w:asciiTheme="minorEastAsia" w:hAnsiTheme="minorEastAsia" w:eastAsiaTheme="minorEastAsia" w:cstheme="minorEastAsia"/>
          <w:kern w:val="0"/>
          <w:sz w:val="24"/>
          <w:szCs w:val="24"/>
          <w:highlight w:val="none"/>
          <w:lang w:bidi="en-US"/>
        </w:rPr>
        <w:t>项目概况</w:t>
      </w:r>
      <w:r>
        <w:rPr>
          <w:rFonts w:hint="eastAsia" w:asciiTheme="minorEastAsia" w:hAnsiTheme="minorEastAsia" w:eastAsiaTheme="minorEastAsia" w:cstheme="minorEastAsia"/>
          <w:kern w:val="0"/>
          <w:sz w:val="24"/>
          <w:szCs w:val="24"/>
          <w:highlight w:val="none"/>
          <w:lang w:eastAsia="zh-CN" w:bidi="en-US"/>
        </w:rPr>
        <w:t>：</w:t>
      </w:r>
      <w:r>
        <w:rPr>
          <w:rFonts w:hint="eastAsia" w:asciiTheme="minorEastAsia" w:hAnsiTheme="minorEastAsia" w:eastAsiaTheme="minorEastAsia" w:cstheme="minorEastAsia"/>
          <w:kern w:val="0"/>
          <w:sz w:val="24"/>
          <w:szCs w:val="24"/>
          <w:highlight w:val="none"/>
          <w:u w:val="single"/>
          <w:lang w:val="en-US" w:eastAsia="zh-CN" w:bidi="en-US"/>
        </w:rPr>
        <w:t>新增一套5G纵向加密融合通信网关设备，对变电站通讯系统进行升级改造，采用5G多合一终端方式，将运行数据上传至济南地调系统。</w:t>
      </w:r>
      <w:r>
        <w:rPr>
          <w:rFonts w:hint="eastAsia" w:ascii="宋体" w:hAnsi="宋体"/>
          <w:b w:val="0"/>
          <w:bCs w:val="0"/>
          <w:color w:val="000000"/>
          <w:sz w:val="24"/>
          <w:szCs w:val="24"/>
          <w:lang w:val="en-US" w:eastAsia="zh-CN" w:bidi="zh-CN"/>
        </w:rPr>
        <w:t>技术要求详见“招标文件”</w:t>
      </w:r>
    </w:p>
    <w:p w14:paraId="343CD3FB">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50AD64FD">
      <w:pPr>
        <w:widowControl/>
        <w:snapToGrid w:val="0"/>
        <w:spacing w:line="360" w:lineRule="auto"/>
        <w:jc w:val="left"/>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26A0C6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1.拟投标人必须是在中华人民共和国境内注册的独立法人机构，具有独立承担民事责任能力；注册资金不少于</w:t>
      </w:r>
      <w:r>
        <w:rPr>
          <w:rFonts w:hint="eastAsia" w:hAnsi="宋体" w:cs="宋体"/>
          <w:color w:val="000000"/>
          <w:sz w:val="24"/>
          <w:szCs w:val="24"/>
          <w:highlight w:val="none"/>
          <w:lang w:val="en-US" w:eastAsia="zh-CN"/>
        </w:rPr>
        <w:t>500</w:t>
      </w:r>
      <w:r>
        <w:rPr>
          <w:rFonts w:hint="eastAsia" w:hAnsi="宋体" w:eastAsia="宋体" w:cs="宋体"/>
          <w:color w:val="000000"/>
          <w:sz w:val="24"/>
          <w:szCs w:val="24"/>
          <w:highlight w:val="none"/>
        </w:rPr>
        <w:t>万人民币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或等值其他货币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公司成立三年以上</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以营业执照成立日期到开标当日满三年为准</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且经营范围满足招标人需求；并在人员、设备、资金等方面具有承担本项目的能力；</w:t>
      </w:r>
    </w:p>
    <w:p w14:paraId="188FCA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2.拟投标人应提供三证合一的营业执照副本原件和扫描件(需盖章);</w:t>
      </w:r>
    </w:p>
    <w:p w14:paraId="0D0AE0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3.拟投标人应提供法定代表人资格证明文件；</w:t>
      </w:r>
    </w:p>
    <w:p w14:paraId="2FD9B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4.拟投标人在工商行政管理局的《国家企业信用信息公示系统》中查询不存在不良记录；</w:t>
      </w:r>
    </w:p>
    <w:p w14:paraId="147D08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5.拟投标人不存在严重违规或被列入招标人“黑名单”的声明；</w:t>
      </w:r>
    </w:p>
    <w:p w14:paraId="0D47F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6.拟投标人202</w:t>
      </w:r>
      <w:r>
        <w:rPr>
          <w:rFonts w:hint="eastAsia" w:hAnsi="宋体" w:cs="宋体"/>
          <w:color w:val="000000"/>
          <w:sz w:val="24"/>
          <w:szCs w:val="24"/>
          <w:highlight w:val="none"/>
          <w:lang w:val="en-US" w:eastAsia="zh-CN"/>
        </w:rPr>
        <w:t>3</w:t>
      </w:r>
      <w:r>
        <w:rPr>
          <w:rFonts w:hint="eastAsia" w:hAnsi="宋体" w:eastAsia="宋体" w:cs="宋体"/>
          <w:color w:val="000000"/>
          <w:sz w:val="24"/>
          <w:szCs w:val="24"/>
          <w:highlight w:val="none"/>
        </w:rPr>
        <w:t>年1月1日至今经第三方审计的公司财务报表(资产负债表、损益表、现金流量表)未显示异常；（如投标人公司没有经审计的财务报告，可提供加盖公章的近三年财务报表，包括但不限于资产负债表、利润表、现金流量表）；</w:t>
      </w:r>
    </w:p>
    <w:p w14:paraId="227002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7.拟投标人有与本次招标内容相同或类似项目业绩，且近3年内无因服务不当而造成重大事故；</w:t>
      </w:r>
    </w:p>
    <w:p w14:paraId="041029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8.投标人三年内无违法及重大违规情况；</w:t>
      </w:r>
    </w:p>
    <w:p w14:paraId="0DBA5E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9.投标人须认可招标人的工作指令，包括节、假日能正常开展工作的要求；</w:t>
      </w:r>
    </w:p>
    <w:p w14:paraId="6E6D9B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10.投标人最近半年纳税正常；</w:t>
      </w:r>
    </w:p>
    <w:p w14:paraId="5BAC09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11.投标人信用证明材料(征信报告)未显示异常；</w:t>
      </w:r>
    </w:p>
    <w:p w14:paraId="6E271F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12.供方的直接或间接股东、法定代表人、董事、监事、高管非重汽员工及其亲属；</w:t>
      </w:r>
    </w:p>
    <w:p w14:paraId="03C8A5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13.本项目不接受联合体投标，拟投标人必须是最终投标单位和签订合同单位，不得以任何理由将已中标项目以任何形式分包或转包给其他单位。</w:t>
      </w:r>
    </w:p>
    <w:p w14:paraId="0C7457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14.无招标违规、谎报年度报告信息、提供虚假资质资料等行为或其他行政处罚记录；近三年内在经营活动中无与本项目有关的违法及重大违规情况。</w:t>
      </w:r>
    </w:p>
    <w:p w14:paraId="01D671BE">
      <w:pPr>
        <w:spacing w:line="360" w:lineRule="auto"/>
        <w:ind w:firstLine="480" w:firstLineChars="200"/>
        <w:rPr>
          <w:rFonts w:hint="eastAsia" w:hAnsi="宋体" w:cs="宋体"/>
          <w:color w:val="000000"/>
          <w:sz w:val="24"/>
          <w:szCs w:val="24"/>
          <w:lang w:eastAsia="zh-CN"/>
        </w:rPr>
      </w:pPr>
      <w:r>
        <w:rPr>
          <w:rFonts w:hint="eastAsia" w:hAnsi="宋体" w:cs="宋体"/>
          <w:color w:val="000000"/>
          <w:sz w:val="24"/>
          <w:szCs w:val="24"/>
          <w:lang w:val="en-US" w:eastAsia="zh-CN"/>
        </w:rPr>
        <w:t>15.</w:t>
      </w:r>
      <w:r>
        <w:rPr>
          <w:rFonts w:hint="eastAsia" w:hAnsi="宋体" w:cs="宋体"/>
          <w:color w:val="000000"/>
          <w:sz w:val="24"/>
          <w:szCs w:val="24"/>
        </w:rPr>
        <w:t>单位负责人为同一人、存在直接/间接控股、管理关系、实际控制关系（含一致行动、股权代持、协议控制、亲属控制）的不同投标人，视为同一控制主体；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r>
        <w:rPr>
          <w:rFonts w:hint="eastAsia" w:hAnsi="宋体" w:cs="宋体"/>
          <w:color w:val="000000"/>
          <w:sz w:val="24"/>
          <w:szCs w:val="24"/>
          <w:lang w:eastAsia="zh-CN"/>
        </w:rPr>
        <w:t>。</w:t>
      </w:r>
    </w:p>
    <w:p w14:paraId="4400CEC3">
      <w:pPr>
        <w:spacing w:line="360" w:lineRule="auto"/>
        <w:ind w:firstLine="480" w:firstLineChars="200"/>
        <w:rPr>
          <w:rFonts w:hint="default" w:hAnsi="宋体" w:cs="宋体"/>
          <w:color w:val="000000"/>
          <w:sz w:val="24"/>
          <w:szCs w:val="24"/>
          <w:lang w:val="en-US" w:eastAsia="zh-CN"/>
        </w:rPr>
      </w:pPr>
      <w:r>
        <w:rPr>
          <w:rFonts w:hint="eastAsia" w:hAnsi="宋体" w:cs="宋体"/>
          <w:color w:val="000000"/>
          <w:sz w:val="24"/>
          <w:szCs w:val="24"/>
          <w:lang w:val="en-US" w:eastAsia="zh-CN"/>
        </w:rPr>
        <w:t>16.投标人须为独立法人主体，营业执照经营范围应包含信息系统集成服务，或电力自动化系统、调度控制系统的集成、安装调试等相关业务；可覆盖本项目网关、纵向加密、5G 通信模块的系统集成实施工作；投标人须持有有效期内电力设施承装三级、承（修、试）二级或以上电力设施许可证。</w:t>
      </w:r>
    </w:p>
    <w:p w14:paraId="5943C606">
      <w:pPr>
        <w:widowControl/>
        <w:snapToGrid w:val="0"/>
        <w:spacing w:line="360" w:lineRule="auto"/>
        <w:jc w:val="left"/>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7F939CCD">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w:t>
      </w:r>
      <w:r>
        <w:rPr>
          <w:rFonts w:hint="eastAsia" w:ascii="宋体" w:hAnsi="宋体" w:cs="宋体"/>
          <w:b/>
          <w:bCs/>
          <w:color w:val="000000"/>
          <w:sz w:val="24"/>
          <w:szCs w:val="24"/>
          <w:highlight w:val="none"/>
          <w:lang w:val="en-US" w:eastAsia="zh-CN"/>
        </w:rPr>
        <w:t>应标</w:t>
      </w:r>
      <w:r>
        <w:rPr>
          <w:rFonts w:hint="eastAsia" w:ascii="宋体" w:hAnsi="宋体" w:eastAsia="宋体" w:cs="宋体"/>
          <w:b/>
          <w:bCs/>
          <w:color w:val="000000"/>
          <w:sz w:val="24"/>
          <w:szCs w:val="24"/>
          <w:highlight w:val="none"/>
        </w:rPr>
        <w:t>报名</w:t>
      </w:r>
    </w:p>
    <w:p w14:paraId="32878AE6">
      <w:pPr>
        <w:keepNext/>
        <w:keepLines/>
        <w:spacing w:line="360" w:lineRule="auto"/>
        <w:ind w:firstLine="482" w:firstLineChars="200"/>
        <w:outlineLvl w:val="2"/>
        <w:rPr>
          <w:rFonts w:hint="default" w:ascii="宋体" w:hAnsi="宋体" w:eastAsia="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应标报名截止时间：2026年9月15日17：00</w:t>
      </w:r>
    </w:p>
    <w:p w14:paraId="73076DF4">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eastAsia="宋体" w:cs="宋体"/>
          <w:sz w:val="24"/>
          <w:szCs w:val="24"/>
          <w:highlight w:val="none"/>
          <w:lang w:val="en-US" w:eastAsia="zh-CN"/>
        </w:rPr>
        <w:t>在“中国重汽e采通”平台</w:t>
      </w:r>
      <w:r>
        <w:rPr>
          <w:rFonts w:hint="eastAsia" w:eastAsia="宋体" w:cs="宋体"/>
          <w:sz w:val="24"/>
          <w:szCs w:val="24"/>
          <w:highlight w:val="none"/>
        </w:rPr>
        <w:t>报名</w:t>
      </w:r>
      <w:r>
        <w:rPr>
          <w:rFonts w:hint="eastAsia" w:eastAsia="宋体" w:cs="宋体"/>
          <w:sz w:val="24"/>
          <w:szCs w:val="24"/>
          <w:highlight w:val="none"/>
          <w:lang w:eastAsia="zh-CN"/>
        </w:rPr>
        <w:t>，</w:t>
      </w:r>
      <w:r>
        <w:rPr>
          <w:rFonts w:hint="eastAsia" w:eastAsia="宋体" w:cs="宋体"/>
          <w:sz w:val="24"/>
          <w:szCs w:val="24"/>
          <w:highlight w:val="none"/>
          <w:lang w:val="en-US" w:eastAsia="zh-CN"/>
        </w:rPr>
        <w:t>具体流程如下：</w:t>
      </w:r>
      <w:r>
        <w:rPr>
          <w:rFonts w:hint="eastAsia" w:eastAsia="宋体" w:cs="宋体"/>
          <w:sz w:val="24"/>
          <w:szCs w:val="24"/>
          <w:highlight w:val="none"/>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：请登录系统核对系统中202</w:t>
      </w:r>
      <w:r>
        <w:rPr>
          <w:rFonts w:hint="eastAsia" w:hAnsi="宋体" w:eastAsia="宋体" w:cs="宋体"/>
          <w:sz w:val="24"/>
          <w:szCs w:val="24"/>
          <w:lang w:val="en-US" w:eastAsia="zh-CN"/>
        </w:rPr>
        <w:t>3</w:t>
      </w:r>
      <w:r>
        <w:rPr>
          <w:rFonts w:ascii="宋体" w:hAnsi="宋体" w:eastAsia="宋体" w:cs="宋体"/>
          <w:sz w:val="24"/>
          <w:szCs w:val="24"/>
        </w:rPr>
        <w:t>-202</w:t>
      </w:r>
      <w:r>
        <w:rPr>
          <w:rFonts w:hint="eastAsia" w:hAnsi="宋体" w:eastAsia="宋体" w:cs="宋体"/>
          <w:sz w:val="24"/>
          <w:szCs w:val="24"/>
          <w:lang w:val="en-US" w:eastAsia="zh-CN"/>
        </w:rPr>
        <w:t>5</w:t>
      </w:r>
      <w:r>
        <w:rPr>
          <w:rFonts w:ascii="宋体" w:hAnsi="宋体" w:eastAsia="宋体" w:cs="宋体"/>
          <w:sz w:val="24"/>
          <w:szCs w:val="24"/>
        </w:rPr>
        <w:t>年度财务数据。如尚未填写或信息不全，请参照《SRM非生产供应商注册手册》（附件</w:t>
      </w:r>
      <w:r>
        <w:rPr>
          <w:rFonts w:hint="eastAsia" w:ascii="宋体" w:hAnsi="宋体" w:eastAsia="宋体" w:cs="宋体"/>
          <w:sz w:val="24"/>
          <w:szCs w:val="24"/>
          <w:lang w:val="en-US" w:eastAsia="zh-CN"/>
        </w:rPr>
        <w:t>二</w:t>
      </w:r>
      <w:r>
        <w:rPr>
          <w:rFonts w:ascii="宋体" w:hAnsi="宋体" w:eastAsia="宋体" w:cs="宋体"/>
          <w:sz w:val="24"/>
          <w:szCs w:val="24"/>
        </w:rPr>
        <w:t>）及时进行补充与更新，确保信息真实、完整。因供应商信息不全或错误导致的报名不成功，由投标人自行承担</w:t>
      </w:r>
      <w:r>
        <w:rPr>
          <w:rFonts w:hint="eastAsia" w:hAnsi="宋体" w:cs="宋体"/>
          <w:sz w:val="24"/>
          <w:szCs w:val="24"/>
          <w:lang w:eastAsia="zh-CN"/>
        </w:rPr>
        <w:t>。</w:t>
      </w:r>
      <w:r>
        <w:rPr>
          <w:rFonts w:ascii="宋体" w:hAnsi="宋体" w:eastAsia="宋体" w:cs="宋体"/>
          <w:sz w:val="24"/>
          <w:szCs w:val="24"/>
        </w:rPr>
        <w:br w:type="textWrapping"/>
      </w:r>
      <w:r>
        <w:rPr>
          <w:rFonts w:ascii="宋体" w:hAnsi="宋体" w:eastAsia="宋体" w:cs="宋体"/>
          <w:b/>
          <w:bCs/>
          <w:sz w:val="24"/>
          <w:szCs w:val="24"/>
        </w:rPr>
        <w:t>②应标流程</w:t>
      </w:r>
    </w:p>
    <w:p w14:paraId="6EF7FC1C">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hint="eastAsia" w:asciiTheme="minorEastAsia" w:hAnsiTheme="minorEastAsia" w:eastAsiaTheme="minorEastAsia" w:cstheme="minorEastAsia"/>
          <w:bCs/>
          <w:sz w:val="24"/>
          <w:szCs w:val="24"/>
        </w:rPr>
      </w:pPr>
      <w:r>
        <w:rPr>
          <w:rFonts w:ascii="宋体" w:hAnsi="宋体" w:eastAsia="宋体" w:cs="宋体"/>
          <w:sz w:val="24"/>
          <w:szCs w:val="24"/>
        </w:rPr>
        <w:t>注册及财务数据维护完成后，参照《SRM系统供应商用户手册》（附件</w:t>
      </w:r>
      <w:r>
        <w:rPr>
          <w:rFonts w:hint="eastAsia" w:ascii="宋体" w:hAnsi="宋体" w:eastAsia="宋体" w:cs="宋体"/>
          <w:sz w:val="24"/>
          <w:szCs w:val="24"/>
          <w:lang w:val="en-US" w:eastAsia="zh-CN"/>
        </w:rPr>
        <w:t>三</w:t>
      </w:r>
      <w:r>
        <w:rPr>
          <w:rFonts w:ascii="宋体" w:hAnsi="宋体" w:eastAsia="宋体" w:cs="宋体"/>
          <w:sz w:val="24"/>
          <w:szCs w:val="24"/>
        </w:rPr>
        <w:t>）登录平台，进入“供应商应标”模块，选择对应项目点击“应标”，并按照本公告</w:t>
      </w:r>
      <w:r>
        <w:rPr>
          <w:rFonts w:hint="eastAsia" w:hAnsi="宋体" w:cs="宋体"/>
          <w:sz w:val="24"/>
          <w:szCs w:val="24"/>
          <w:lang w:val="en-US" w:eastAsia="zh-CN"/>
        </w:rPr>
        <w:t>的</w:t>
      </w:r>
      <w:r>
        <w:rPr>
          <w:rFonts w:ascii="宋体" w:hAnsi="宋体" w:eastAsia="宋体" w:cs="宋体"/>
          <w:sz w:val="24"/>
          <w:szCs w:val="24"/>
        </w:rPr>
        <w:t>“应标文件编制”要求准备资料并上传。资质审查通过后，视为报名成功（是否为代理商请如实选择）。</w:t>
      </w:r>
    </w:p>
    <w:p w14:paraId="0438AE9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2E3B4B40">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4FEB0F9B">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3B27B6FE">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③2023年1月1日至今，企业近三年同类项目业绩证明，须提供用户清单、采购合同复印件；</w:t>
      </w:r>
    </w:p>
    <w:p w14:paraId="71A8B519">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1214214B">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4E7E3F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5DADE2F0">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1E70AA1A">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3CA10BE0">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22F8B708">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应标时不做要求，投标时需随文件上传）</w:t>
      </w:r>
    </w:p>
    <w:p w14:paraId="2D002810">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73960C01">
      <w:pPr>
        <w:pStyle w:val="20"/>
        <w:rPr>
          <w:rFonts w:hint="eastAsia"/>
          <w:lang w:eastAsia="zh-CN"/>
        </w:rPr>
      </w:pPr>
    </w:p>
    <w:p w14:paraId="6BAD51CF">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3EEE547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p>
    <w:p w14:paraId="22CB127B">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rPr>
          <w:rFonts w:hint="eastAsia" w:asciiTheme="minorEastAsia" w:hAnsiTheme="minorEastAsia" w:eastAsiaTheme="minorEastAsia" w:cstheme="minorEastAsia"/>
          <w:bCs/>
          <w:sz w:val="24"/>
          <w:szCs w:val="24"/>
          <w:highlight w:val="green"/>
        </w:rPr>
      </w:pPr>
      <w:r>
        <w:rPr>
          <w:rFonts w:hint="eastAsia" w:asciiTheme="minorEastAsia" w:hAnsiTheme="minorEastAsia" w:eastAsiaTheme="minorEastAsia" w:cstheme="minorEastAsia"/>
          <w:bCs/>
          <w:sz w:val="24"/>
          <w:szCs w:val="24"/>
        </w:rPr>
        <w:t>投标截止时间</w:t>
      </w:r>
      <w:r>
        <w:rPr>
          <w:rFonts w:hint="eastAsia" w:asciiTheme="minorEastAsia" w:hAnsiTheme="minorEastAsia" w:eastAsiaTheme="minorEastAsia" w:cstheme="minorEastAsia"/>
          <w:bCs/>
          <w:sz w:val="24"/>
          <w:szCs w:val="24"/>
          <w:highlight w:val="none"/>
          <w:lang w:eastAsia="zh-CN"/>
        </w:rPr>
        <w:t>：</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21</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w:t>
      </w:r>
    </w:p>
    <w:p w14:paraId="0968D66D">
      <w:pPr>
        <w:tabs>
          <w:tab w:val="left" w:pos="1050"/>
          <w:tab w:val="left" w:pos="1470"/>
        </w:tabs>
        <w:autoSpaceDE w:val="0"/>
        <w:autoSpaceDN w:val="0"/>
        <w:adjustRightInd w:val="0"/>
        <w:snapToGrid w:val="0"/>
        <w:spacing w:line="360"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5586CE6A">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开标时间：</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21</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0时</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eastAsia="zh-CN"/>
        </w:rPr>
        <w:t>（</w:t>
      </w:r>
      <w:r>
        <w:rPr>
          <w:rFonts w:ascii="宋体" w:hAnsi="宋体" w:eastAsia="宋体" w:cs="宋体"/>
          <w:b/>
          <w:bCs/>
          <w:sz w:val="24"/>
          <w:szCs w:val="24"/>
        </w:rPr>
        <w:t>暂定，以实际通知为准</w:t>
      </w:r>
      <w:r>
        <w:rPr>
          <w:rFonts w:hint="eastAsia" w:asciiTheme="minorEastAsia" w:hAnsiTheme="minorEastAsia" w:eastAsiaTheme="minorEastAsia" w:cstheme="minorEastAsia"/>
          <w:b/>
          <w:sz w:val="24"/>
          <w:szCs w:val="24"/>
          <w:lang w:val="en-US" w:eastAsia="zh-CN"/>
        </w:rPr>
        <w:t>）</w:t>
      </w:r>
    </w:p>
    <w:p w14:paraId="47A1403E">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sz w:val="24"/>
          <w:szCs w:val="24"/>
          <w:lang w:val="en-US" w:eastAsia="zh-CN"/>
        </w:rPr>
        <w:t>线上会议</w:t>
      </w:r>
      <w:r>
        <w:rPr>
          <w:rFonts w:hint="eastAsia" w:asciiTheme="minorEastAsia" w:hAnsiTheme="minorEastAsia" w:eastAsiaTheme="minorEastAsia" w:cstheme="minorEastAsia"/>
          <w:b/>
          <w:bCs w:val="0"/>
          <w:color w:val="auto"/>
          <w:sz w:val="24"/>
          <w:szCs w:val="24"/>
          <w:highlight w:val="yellow"/>
          <w:lang w:val="en-US" w:eastAsia="zh-CN"/>
        </w:rPr>
        <w:t>（</w:t>
      </w:r>
      <w:r>
        <w:rPr>
          <w:rFonts w:hint="eastAsia" w:ascii="宋体" w:hAnsi="宋体" w:eastAsia="宋体" w:cs="宋体"/>
          <w:b/>
          <w:bCs w:val="0"/>
          <w:color w:val="auto"/>
          <w:kern w:val="2"/>
          <w:sz w:val="24"/>
          <w:szCs w:val="24"/>
          <w:highlight w:val="yellow"/>
          <w:lang w:val="en-US" w:eastAsia="zh-CN" w:bidi="ar"/>
        </w:rPr>
        <w:t>投标方需要在开标前，将投标保证金</w:t>
      </w:r>
      <w:r>
        <w:rPr>
          <w:rFonts w:hint="eastAsia" w:ascii="宋体" w:hAnsi="宋体" w:cs="宋体"/>
          <w:b/>
          <w:bCs w:val="0"/>
          <w:color w:val="auto"/>
          <w:kern w:val="2"/>
          <w:sz w:val="24"/>
          <w:szCs w:val="24"/>
          <w:highlight w:val="yellow"/>
          <w:lang w:val="en-US" w:eastAsia="zh-CN" w:bidi="ar"/>
        </w:rPr>
        <w:t>缴纳凭证</w:t>
      </w:r>
      <w:r>
        <w:rPr>
          <w:rFonts w:hint="eastAsia" w:ascii="宋体" w:hAnsi="宋体" w:eastAsia="宋体" w:cs="宋体"/>
          <w:b/>
          <w:bCs w:val="0"/>
          <w:color w:val="auto"/>
          <w:kern w:val="2"/>
          <w:sz w:val="24"/>
          <w:szCs w:val="24"/>
          <w:highlight w:val="yellow"/>
          <w:lang w:val="en-US" w:eastAsia="zh-CN" w:bidi="ar"/>
        </w:rPr>
        <w:t>截图发给</w:t>
      </w:r>
      <w:r>
        <w:rPr>
          <w:rFonts w:hint="eastAsia" w:cs="宋体"/>
          <w:b/>
          <w:bCs w:val="0"/>
          <w:color w:val="auto"/>
          <w:kern w:val="2"/>
          <w:sz w:val="24"/>
          <w:szCs w:val="24"/>
          <w:highlight w:val="yellow"/>
          <w:lang w:val="en-US" w:eastAsia="zh-CN" w:bidi="ar"/>
        </w:rPr>
        <w:t>商务</w:t>
      </w:r>
      <w:r>
        <w:rPr>
          <w:rFonts w:hint="eastAsia" w:ascii="宋体" w:hAnsi="宋体" w:eastAsia="宋体" w:cs="宋体"/>
          <w:b/>
          <w:bCs w:val="0"/>
          <w:color w:val="auto"/>
          <w:kern w:val="2"/>
          <w:sz w:val="24"/>
          <w:szCs w:val="24"/>
          <w:highlight w:val="yellow"/>
          <w:lang w:val="en-US" w:eastAsia="zh-CN" w:bidi="ar"/>
        </w:rPr>
        <w:t>联系人</w:t>
      </w:r>
      <w:r>
        <w:rPr>
          <w:rFonts w:hint="eastAsia" w:cs="宋体"/>
          <w:b/>
          <w:bCs w:val="0"/>
          <w:color w:val="auto"/>
          <w:kern w:val="2"/>
          <w:sz w:val="24"/>
          <w:szCs w:val="24"/>
          <w:highlight w:val="yellow"/>
          <w:lang w:val="en-US" w:eastAsia="zh-CN" w:bidi="ar"/>
        </w:rPr>
        <w:t>李长城，</w:t>
      </w:r>
      <w:r>
        <w:rPr>
          <w:rFonts w:hint="eastAsia" w:ascii="宋体" w:hAnsi="宋体" w:eastAsia="宋体" w:cs="宋体"/>
          <w:b/>
          <w:bCs w:val="0"/>
          <w:color w:val="auto"/>
          <w:kern w:val="2"/>
          <w:sz w:val="24"/>
          <w:szCs w:val="24"/>
          <w:highlight w:val="yellow"/>
          <w:lang w:val="en-US" w:eastAsia="zh-CN" w:bidi="ar"/>
        </w:rPr>
        <w:t>微信号</w:t>
      </w:r>
      <w:r>
        <w:rPr>
          <w:rFonts w:hint="eastAsia" w:cs="宋体"/>
          <w:b/>
          <w:bCs w:val="0"/>
          <w:color w:val="auto"/>
          <w:kern w:val="2"/>
          <w:sz w:val="24"/>
          <w:szCs w:val="24"/>
          <w:highlight w:val="yellow"/>
          <w:lang w:val="en-US" w:eastAsia="zh-CN" w:bidi="ar"/>
        </w:rPr>
        <w:t>18678304476</w:t>
      </w:r>
      <w:r>
        <w:rPr>
          <w:rFonts w:hint="eastAsia" w:ascii="宋体" w:hAnsi="宋体" w:eastAsia="宋体" w:cs="宋体"/>
          <w:b/>
          <w:bCs w:val="0"/>
          <w:color w:val="auto"/>
          <w:kern w:val="2"/>
          <w:sz w:val="24"/>
          <w:szCs w:val="24"/>
          <w:highlight w:val="yellow"/>
          <w:lang w:val="en-US" w:eastAsia="zh-CN" w:bidi="ar"/>
        </w:rPr>
        <w:t>，</w:t>
      </w:r>
      <w:r>
        <w:rPr>
          <w:rFonts w:hint="eastAsia" w:ascii="宋体" w:hAnsi="宋体" w:cs="宋体"/>
          <w:b/>
          <w:bCs w:val="0"/>
          <w:color w:val="auto"/>
          <w:kern w:val="2"/>
          <w:sz w:val="24"/>
          <w:szCs w:val="24"/>
          <w:highlight w:val="yellow"/>
          <w:lang w:val="en-US" w:eastAsia="zh-CN" w:bidi="ar"/>
        </w:rPr>
        <w:t>获取会议链接）</w:t>
      </w:r>
    </w:p>
    <w:p w14:paraId="71FC3A7B">
      <w:pPr>
        <w:pStyle w:val="151"/>
        <w:numPr>
          <w:ilvl w:val="0"/>
          <w:numId w:val="0"/>
        </w:numPr>
        <w:adjustRightInd w:val="0"/>
        <w:snapToGrid w:val="0"/>
        <w:spacing w:line="360" w:lineRule="auto"/>
        <w:ind w:leftChar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3.商务</w:t>
      </w: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李老师 18678304476</w:t>
      </w:r>
    </w:p>
    <w:p w14:paraId="28C574FB">
      <w:pPr>
        <w:pStyle w:val="151"/>
        <w:numPr>
          <w:ilvl w:val="0"/>
          <w:numId w:val="0"/>
        </w:numPr>
        <w:adjustRightInd w:val="0"/>
        <w:snapToGrid w:val="0"/>
        <w:spacing w:line="360" w:lineRule="auto"/>
        <w:ind w:firstLine="240" w:firstLineChars="1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技术联系人：纪</w:t>
      </w:r>
      <w:r>
        <w:rPr>
          <w:rFonts w:hint="eastAsia" w:asciiTheme="minorEastAsia" w:hAnsiTheme="minorEastAsia" w:eastAsiaTheme="minorEastAsia" w:cstheme="minorEastAsia"/>
          <w:sz w:val="24"/>
          <w:szCs w:val="24"/>
          <w:highlight w:val="none"/>
          <w:lang w:val="en-US" w:eastAsia="zh-CN"/>
        </w:rPr>
        <w:t>老师 13969113785</w:t>
      </w:r>
    </w:p>
    <w:p w14:paraId="00D62D4A">
      <w:pPr>
        <w:adjustRightInd w:val="0"/>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6BEA5D3F">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yellow"/>
          <w:lang w:eastAsia="zh-CN"/>
        </w:rPr>
      </w:pPr>
      <w:r>
        <w:rPr>
          <w:rFonts w:hint="eastAsia" w:asciiTheme="minorEastAsia" w:hAnsiTheme="minorEastAsia" w:eastAsiaTheme="minorEastAsia" w:cstheme="minorEastAsia"/>
          <w:sz w:val="24"/>
          <w:szCs w:val="24"/>
          <w:highlight w:val="none"/>
        </w:rPr>
        <w:t>本项目采用</w:t>
      </w:r>
      <w:r>
        <w:rPr>
          <w:rFonts w:hint="eastAsia" w:asciiTheme="minorEastAsia" w:hAnsiTheme="minorEastAsia" w:eastAsiaTheme="minorEastAsia" w:cstheme="minorEastAsia"/>
          <w:sz w:val="24"/>
          <w:szCs w:val="24"/>
          <w:highlight w:val="none"/>
          <w:lang w:val="en-US" w:eastAsia="zh-CN"/>
        </w:rPr>
        <w:t>合理最低价中标</w:t>
      </w:r>
      <w:r>
        <w:rPr>
          <w:rFonts w:hint="eastAsia" w:asciiTheme="minorEastAsia" w:hAnsiTheme="minorEastAsia" w:eastAsiaTheme="minorEastAsia" w:cstheme="minorEastAsia"/>
          <w:sz w:val="24"/>
          <w:szCs w:val="24"/>
          <w:highlight w:val="none"/>
          <w:lang w:eastAsia="zh-CN"/>
        </w:rPr>
        <w:t>。本着公平、公正、公开的原则，在通过技术标综合评审后入围的前提下，</w:t>
      </w:r>
      <w:r>
        <w:rPr>
          <w:rFonts w:hint="eastAsia" w:asciiTheme="minorEastAsia" w:hAnsiTheme="minorEastAsia" w:eastAsiaTheme="minorEastAsia" w:cstheme="minorEastAsia"/>
          <w:sz w:val="24"/>
          <w:szCs w:val="24"/>
          <w:highlight w:val="none"/>
        </w:rPr>
        <w:t>选取</w:t>
      </w:r>
      <w:r>
        <w:rPr>
          <w:rFonts w:hint="eastAsia" w:asciiTheme="minorEastAsia" w:hAnsiTheme="minorEastAsia" w:eastAsiaTheme="minorEastAsia" w:cstheme="minorEastAsia"/>
          <w:sz w:val="24"/>
          <w:szCs w:val="24"/>
          <w:highlight w:val="none"/>
          <w:lang w:val="en-US" w:eastAsia="zh-CN"/>
        </w:rPr>
        <w:t>价格最低的投标方作为</w:t>
      </w:r>
      <w:r>
        <w:rPr>
          <w:rFonts w:hint="eastAsia" w:asciiTheme="minorEastAsia" w:hAnsiTheme="minorEastAsia" w:eastAsiaTheme="minorEastAsia" w:cstheme="minorEastAsia"/>
          <w:sz w:val="24"/>
          <w:szCs w:val="24"/>
          <w:highlight w:val="none"/>
        </w:rPr>
        <w:t>为本项目中标人</w:t>
      </w:r>
      <w:r>
        <w:rPr>
          <w:rFonts w:hint="eastAsia" w:asciiTheme="minorEastAsia" w:hAnsiTheme="minorEastAsia" w:eastAsiaTheme="minorEastAsia" w:cstheme="minorEastAsia"/>
          <w:sz w:val="24"/>
          <w:szCs w:val="24"/>
          <w:highlight w:val="none"/>
          <w:lang w:eastAsia="zh-CN"/>
        </w:rPr>
        <w:t>，对未中标方不做任何解释。</w:t>
      </w:r>
    </w:p>
    <w:p w14:paraId="03D7F6DE">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本次评标</w:t>
      </w:r>
      <w:r>
        <w:rPr>
          <w:rFonts w:hint="eastAsia" w:asciiTheme="minorEastAsia" w:hAnsiTheme="minorEastAsia" w:eastAsiaTheme="minorEastAsia" w:cstheme="minorEastAsia"/>
          <w:sz w:val="24"/>
          <w:szCs w:val="24"/>
          <w:lang w:val="en-US" w:eastAsia="zh-CN"/>
        </w:rPr>
        <w:t>e采通上</w:t>
      </w:r>
      <w:r>
        <w:rPr>
          <w:rFonts w:hint="eastAsia" w:asciiTheme="minorEastAsia" w:hAnsiTheme="minorEastAsia" w:eastAsiaTheme="minorEastAsia" w:cstheme="minorEastAsia"/>
          <w:sz w:val="24"/>
          <w:szCs w:val="24"/>
        </w:rPr>
        <w:t>进行报价，评标专家组将与投标人进行多轮商务谈判，每轮谈判价格不得高于上一轮报价。</w:t>
      </w:r>
    </w:p>
    <w:p w14:paraId="27992003">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招标人不接受任何选择性报价，对投标人的每一种投标方案只允许有一个投标价。所有投标价均以人民币报价。</w:t>
      </w:r>
    </w:p>
    <w:p w14:paraId="0F6B5504">
      <w:pPr>
        <w:tabs>
          <w:tab w:val="left" w:pos="1134"/>
        </w:tabs>
        <w:snapToGrid w:val="0"/>
        <w:spacing w:line="360" w:lineRule="auto"/>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2C732933">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0ED040A6">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312D72E2">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318E415F">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187B02ED">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1977A554">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70DB3CC3">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③2023年1月1日至今，企业近三年同类项目业绩证明，须提供用户清单、采购合同复印件；</w:t>
      </w:r>
    </w:p>
    <w:p w14:paraId="64001A25">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60DB93BF">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68226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429E7E84">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3012A84C">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760698C6">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7F9F0A14">
      <w:pPr>
        <w:pStyle w:val="20"/>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p>
    <w:p w14:paraId="36BBE5C4">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技术</w:t>
      </w:r>
      <w:r>
        <w:rPr>
          <w:rFonts w:hint="eastAsia" w:asciiTheme="minorEastAsia" w:hAnsiTheme="minorEastAsia" w:eastAsiaTheme="minorEastAsia" w:cstheme="minorEastAsia"/>
          <w:b/>
          <w:bCs/>
          <w:sz w:val="24"/>
          <w:szCs w:val="24"/>
        </w:rPr>
        <w:t>标书</w:t>
      </w:r>
    </w:p>
    <w:p w14:paraId="6F5F568D">
      <w:pPr>
        <w:spacing w:line="360" w:lineRule="auto"/>
        <w:ind w:firstLine="480" w:firstLineChars="200"/>
        <w:rPr>
          <w:rFonts w:hint="default" w:ascii="Times New Roman" w:hAnsi="Times New Roman" w:eastAsia="宋体" w:cs="Times New Roman"/>
          <w:highlight w:val="yellow"/>
        </w:rPr>
      </w:pPr>
      <w:r>
        <w:rPr>
          <w:rFonts w:hint="default" w:ascii="Times New Roman" w:hAnsi="Times New Roman" w:eastAsia="宋体" w:cs="Times New Roman"/>
          <w:color w:val="000000"/>
          <w:sz w:val="24"/>
          <w:szCs w:val="24"/>
        </w:rPr>
        <w:t>2.1技术规格偏离表（附件5），</w:t>
      </w:r>
      <w:r>
        <w:rPr>
          <w:rFonts w:hint="default" w:ascii="Times New Roman" w:hAnsi="Times New Roman" w:eastAsia="宋体" w:cs="Times New Roman"/>
          <w:b/>
          <w:color w:val="000000"/>
          <w:sz w:val="24"/>
          <w:szCs w:val="24"/>
        </w:rPr>
        <w:t>必须先进行两列要求一一对照，不允许直接写无偏离；</w:t>
      </w:r>
    </w:p>
    <w:p w14:paraId="1C6090DE">
      <w:pPr>
        <w:spacing w:line="360" w:lineRule="auto"/>
        <w:ind w:firstLine="480" w:firstLineChars="200"/>
        <w:rPr>
          <w:rFonts w:hint="default" w:ascii="Times New Roman" w:hAnsi="Times New Roman" w:eastAsia="宋体" w:cs="Times New Roman"/>
          <w:b/>
          <w:color w:val="000000"/>
          <w:sz w:val="24"/>
          <w:szCs w:val="24"/>
        </w:rPr>
      </w:pPr>
      <w:r>
        <w:rPr>
          <w:rFonts w:hint="default" w:ascii="Times New Roman" w:hAnsi="Times New Roman" w:eastAsia="宋体" w:cs="Times New Roman"/>
          <w:bCs/>
          <w:color w:val="000000"/>
          <w:sz w:val="24"/>
          <w:szCs w:val="24"/>
        </w:rPr>
        <w:t>2.3</w:t>
      </w:r>
      <w:r>
        <w:rPr>
          <w:rFonts w:hint="default" w:ascii="Times New Roman" w:hAnsi="Times New Roman" w:eastAsia="宋体" w:cs="Times New Roman"/>
          <w:color w:val="000000"/>
          <w:sz w:val="24"/>
          <w:szCs w:val="24"/>
        </w:rPr>
        <w:t>提供</w:t>
      </w:r>
      <w:r>
        <w:rPr>
          <w:rFonts w:hint="default" w:ascii="Times New Roman" w:hAnsi="Times New Roman" w:eastAsia="宋体" w:cs="Times New Roman"/>
          <w:color w:val="000000"/>
          <w:sz w:val="24"/>
          <w:szCs w:val="24"/>
          <w:highlight w:val="none"/>
        </w:rPr>
        <w:t>202</w:t>
      </w:r>
      <w:r>
        <w:rPr>
          <w:rFonts w:hint="eastAsia"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rPr>
        <w:t>年1月1日</w:t>
      </w:r>
      <w:r>
        <w:rPr>
          <w:rFonts w:hint="default" w:ascii="Times New Roman" w:hAnsi="Times New Roman" w:eastAsia="宋体" w:cs="Times New Roman"/>
          <w:color w:val="000000"/>
          <w:sz w:val="24"/>
          <w:szCs w:val="24"/>
        </w:rPr>
        <w:t>以来同类产品的制造销售业绩（用户名单、联系方式），并附合同复印件。该同类项目业绩一览表必</w:t>
      </w:r>
      <w:r>
        <w:rPr>
          <w:rFonts w:hint="default" w:ascii="Times New Roman" w:hAnsi="Times New Roman" w:eastAsia="宋体" w:cs="Times New Roman"/>
          <w:b/>
          <w:bCs/>
          <w:color w:val="000000"/>
          <w:sz w:val="24"/>
          <w:szCs w:val="24"/>
        </w:rPr>
        <w:t>须如实填写，应全尽全</w:t>
      </w:r>
      <w:r>
        <w:rPr>
          <w:rFonts w:hint="default" w:ascii="Times New Roman" w:hAnsi="Times New Roman" w:eastAsia="宋体" w:cs="Times New Roman"/>
          <w:color w:val="000000"/>
          <w:sz w:val="24"/>
          <w:szCs w:val="24"/>
        </w:rPr>
        <w:t>；</w:t>
      </w:r>
      <w:r>
        <w:rPr>
          <w:rFonts w:hint="default" w:ascii="Times New Roman" w:hAnsi="Times New Roman" w:eastAsia="宋体" w:cs="Times New Roman"/>
          <w:b/>
          <w:bCs/>
          <w:color w:val="000000"/>
          <w:sz w:val="24"/>
          <w:szCs w:val="24"/>
        </w:rPr>
        <w:t>一览表最终的所有业绩合同总额汇总必填</w:t>
      </w:r>
      <w:r>
        <w:rPr>
          <w:rFonts w:hint="default" w:ascii="Times New Roman" w:hAnsi="Times New Roman" w:eastAsia="宋体" w:cs="Times New Roman"/>
          <w:color w:val="000000"/>
          <w:sz w:val="24"/>
          <w:szCs w:val="24"/>
        </w:rPr>
        <w:t>，数据将影响现场评标专家组对投标单位的业绩考评。</w:t>
      </w:r>
      <w:r>
        <w:rPr>
          <w:rFonts w:hint="default" w:ascii="Times New Roman" w:hAnsi="Times New Roman" w:eastAsia="宋体" w:cs="Times New Roman"/>
          <w:b/>
          <w:bCs/>
          <w:color w:val="000000"/>
          <w:sz w:val="24"/>
          <w:szCs w:val="24"/>
        </w:rPr>
        <w:t>若未提供相应业绩证明，根据技术标评分规则，将影响现场评标专家组对投标单位业绩判定打分</w:t>
      </w:r>
      <w:r>
        <w:rPr>
          <w:rFonts w:hint="default" w:ascii="Times New Roman" w:hAnsi="Times New Roman" w:eastAsia="宋体" w:cs="Times New Roman"/>
          <w:b/>
          <w:color w:val="000000"/>
          <w:sz w:val="24"/>
          <w:szCs w:val="24"/>
        </w:rPr>
        <w:t>；</w:t>
      </w:r>
    </w:p>
    <w:p w14:paraId="76416F4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2.4供货期及保证措施；</w:t>
      </w:r>
    </w:p>
    <w:p w14:paraId="7904337B">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2.5产品的技术服务和售后服务内容及措施；</w:t>
      </w:r>
    </w:p>
    <w:p w14:paraId="3808C3B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2.6交货进度及计划；</w:t>
      </w:r>
    </w:p>
    <w:p w14:paraId="4C65CA57">
      <w:pPr>
        <w:spacing w:line="360" w:lineRule="auto"/>
        <w:ind w:firstLine="480" w:firstLineChars="200"/>
        <w:rPr>
          <w:rFonts w:hint="default" w:ascii="Times New Roman" w:hAnsi="Times New Roman" w:eastAsia="宋体" w:cs="Times New Roman"/>
          <w:color w:val="000000"/>
          <w:sz w:val="24"/>
          <w:szCs w:val="24"/>
        </w:rPr>
      </w:pPr>
      <w:bookmarkStart w:id="10" w:name="_Toc536542319"/>
      <w:r>
        <w:rPr>
          <w:rFonts w:hint="default" w:ascii="Times New Roman" w:hAnsi="Times New Roman" w:eastAsia="宋体" w:cs="Times New Roman"/>
          <w:color w:val="000000"/>
          <w:sz w:val="24"/>
          <w:szCs w:val="24"/>
        </w:rPr>
        <w:t>2.7投标产品技术支持材料</w:t>
      </w:r>
      <w:bookmarkEnd w:id="10"/>
      <w:r>
        <w:rPr>
          <w:rFonts w:hint="default" w:ascii="Times New Roman" w:hAnsi="Times New Roman" w:eastAsia="宋体" w:cs="Times New Roman"/>
          <w:color w:val="000000"/>
          <w:sz w:val="24"/>
          <w:szCs w:val="24"/>
        </w:rPr>
        <w:t>，投标人所投标设备详细技术资料清单；</w:t>
      </w:r>
    </w:p>
    <w:p w14:paraId="64C4E19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2.8设备质量承诺函（附件7）；</w:t>
      </w:r>
    </w:p>
    <w:p w14:paraId="7BF0BD58">
      <w:pPr>
        <w:pStyle w:val="2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r>
        <w:rPr>
          <w:rFonts w:hint="default" w:ascii="Times New Roman" w:hAnsi="Times New Roman" w:eastAsia="宋体" w:cs="Times New Roman"/>
          <w:color w:val="000000"/>
          <w:sz w:val="24"/>
          <w:szCs w:val="24"/>
        </w:rPr>
        <w:t>2.9投标人需提交的其它资料。</w:t>
      </w:r>
    </w:p>
    <w:p w14:paraId="42CA340F">
      <w:pPr>
        <w:pStyle w:val="20"/>
        <w:rPr>
          <w:rFonts w:hint="eastAsia"/>
          <w:lang w:val="en-US" w:eastAsia="zh-CN"/>
        </w:rPr>
      </w:pPr>
    </w:p>
    <w:p w14:paraId="5770A387">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商务标书</w:t>
      </w:r>
    </w:p>
    <w:p w14:paraId="39730157">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3.1开标一览表（附件8）；</w:t>
      </w:r>
    </w:p>
    <w:p w14:paraId="7A194CBA">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3.2投标报价明细表（附件9-1至9-5）</w:t>
      </w:r>
      <w:r>
        <w:rPr>
          <w:rFonts w:hint="default" w:ascii="Times New Roman" w:hAnsi="Times New Roman" w:eastAsia="宋体" w:cs="Times New Roman"/>
          <w:b/>
          <w:color w:val="000000"/>
          <w:sz w:val="24"/>
          <w:szCs w:val="24"/>
          <w:highlight w:val="none"/>
        </w:rPr>
        <w:t>；</w:t>
      </w:r>
    </w:p>
    <w:p w14:paraId="0472ED7D">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3.3商务条款偏离表（附件10）</w:t>
      </w:r>
      <w:bookmarkStart w:id="11" w:name="OLE_LINK19"/>
      <w:bookmarkStart w:id="12" w:name="OLE_LINK18"/>
      <w:r>
        <w:rPr>
          <w:rFonts w:hint="default" w:ascii="Times New Roman" w:hAnsi="Times New Roman" w:eastAsia="宋体" w:cs="Times New Roman"/>
          <w:b/>
          <w:color w:val="000000"/>
          <w:sz w:val="24"/>
          <w:szCs w:val="24"/>
          <w:highlight w:val="none"/>
        </w:rPr>
        <w:t>；</w:t>
      </w:r>
      <w:bookmarkEnd w:id="11"/>
      <w:bookmarkEnd w:id="12"/>
      <w:r>
        <w:rPr>
          <w:rFonts w:hint="default" w:ascii="Times New Roman" w:hAnsi="Times New Roman" w:eastAsia="宋体" w:cs="Times New Roman"/>
          <w:color w:val="000000"/>
          <w:sz w:val="24"/>
          <w:szCs w:val="24"/>
          <w:highlight w:val="none"/>
        </w:rPr>
        <w:t xml:space="preserve"> </w:t>
      </w:r>
    </w:p>
    <w:p w14:paraId="3C767BBB">
      <w:pPr>
        <w:spacing w:line="360" w:lineRule="auto"/>
        <w:ind w:firstLine="480" w:firstLineChars="200"/>
        <w:rPr>
          <w:rFonts w:hint="default" w:ascii="Times New Roman" w:hAnsi="Times New Roman" w:eastAsia="宋体" w:cs="Times New Roman"/>
          <w:b/>
          <w:color w:val="000000"/>
          <w:sz w:val="24"/>
          <w:szCs w:val="24"/>
          <w:highlight w:val="none"/>
        </w:rPr>
      </w:pPr>
      <w:r>
        <w:rPr>
          <w:rFonts w:hint="default" w:ascii="Times New Roman" w:hAnsi="Times New Roman" w:eastAsia="宋体" w:cs="Times New Roman"/>
          <w:color w:val="000000"/>
          <w:sz w:val="24"/>
          <w:szCs w:val="24"/>
          <w:highlight w:val="none"/>
        </w:rPr>
        <w:t>3.4投标人承诺（附件11）</w:t>
      </w:r>
      <w:r>
        <w:rPr>
          <w:rFonts w:hint="default" w:ascii="Times New Roman" w:hAnsi="Times New Roman" w:eastAsia="宋体" w:cs="Times New Roman"/>
          <w:b/>
          <w:color w:val="000000"/>
          <w:sz w:val="24"/>
          <w:szCs w:val="24"/>
          <w:highlight w:val="none"/>
        </w:rPr>
        <w:t>；</w:t>
      </w:r>
    </w:p>
    <w:p w14:paraId="2889554B">
      <w:pPr>
        <w:spacing w:line="360" w:lineRule="auto"/>
        <w:ind w:firstLine="480" w:firstLineChars="200"/>
        <w:rPr>
          <w:rFonts w:hint="default" w:ascii="Times New Roman" w:hAnsi="Times New Roman" w:eastAsia="宋体" w:cs="Times New Roman"/>
          <w:b/>
          <w:color w:val="000000"/>
          <w:sz w:val="24"/>
          <w:szCs w:val="24"/>
          <w:highlight w:val="none"/>
        </w:rPr>
      </w:pPr>
      <w:r>
        <w:rPr>
          <w:rFonts w:hint="default" w:ascii="Times New Roman" w:hAnsi="Times New Roman" w:eastAsia="宋体" w:cs="Times New Roman"/>
          <w:color w:val="000000"/>
          <w:sz w:val="24"/>
          <w:szCs w:val="24"/>
          <w:highlight w:val="none"/>
        </w:rPr>
        <w:t>3.5服务承诺函（附件12），</w:t>
      </w:r>
      <w:r>
        <w:rPr>
          <w:rFonts w:hint="default" w:ascii="Times New Roman" w:hAnsi="Times New Roman" w:eastAsia="宋体" w:cs="Times New Roman"/>
          <w:b/>
          <w:color w:val="000000"/>
          <w:sz w:val="24"/>
          <w:szCs w:val="24"/>
          <w:highlight w:val="none"/>
        </w:rPr>
        <w:t>需写明质保期以外服务费用情况</w:t>
      </w:r>
      <w:r>
        <w:rPr>
          <w:rFonts w:hint="default" w:ascii="Times New Roman" w:hAnsi="Times New Roman" w:eastAsia="宋体" w:cs="Times New Roman"/>
          <w:color w:val="000000"/>
          <w:sz w:val="24"/>
          <w:szCs w:val="24"/>
          <w:highlight w:val="none"/>
        </w:rPr>
        <w:t>；</w:t>
      </w:r>
    </w:p>
    <w:p w14:paraId="71DA8E1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eastAsia="zh-CN"/>
        </w:rPr>
      </w:pPr>
      <w:r>
        <w:rPr>
          <w:rFonts w:hint="default" w:ascii="Times New Roman" w:hAnsi="Times New Roman" w:eastAsia="宋体" w:cs="Times New Roman"/>
          <w:color w:val="000000"/>
          <w:sz w:val="24"/>
          <w:szCs w:val="24"/>
          <w:highlight w:val="none"/>
        </w:rPr>
        <w:t>3.6按招标文件投标人须知和技术规格书中要求提供的有关文件</w:t>
      </w:r>
      <w:r>
        <w:rPr>
          <w:rFonts w:hint="eastAsia" w:asciiTheme="minorEastAsia" w:hAnsiTheme="minorEastAsia" w:eastAsiaTheme="minorEastAsia" w:cstheme="minorEastAsia"/>
          <w:bCs/>
          <w:sz w:val="24"/>
          <w:szCs w:val="24"/>
          <w:highlight w:val="none"/>
          <w:lang w:eastAsia="zh-CN"/>
        </w:rPr>
        <w:t>。</w:t>
      </w:r>
    </w:p>
    <w:p w14:paraId="2209364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30B19BB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、商务文件至少应对招标设备（或材料）“商务偏离”做出有无说明，若有，应予以详细填写和说明</w:t>
      </w:r>
      <w:r>
        <w:rPr>
          <w:rFonts w:hint="eastAsia" w:asciiTheme="minorEastAsia" w:hAnsiTheme="minorEastAsia" w:eastAsiaTheme="minorEastAsia" w:cstheme="minorEastAsia"/>
          <w:bCs/>
          <w:sz w:val="24"/>
          <w:szCs w:val="24"/>
          <w:highlight w:val="none"/>
        </w:rPr>
        <w:t>。</w:t>
      </w:r>
    </w:p>
    <w:p w14:paraId="19A1222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highlight w:val="none"/>
          <w:lang w:val="en-US" w:eastAsia="zh-CN"/>
        </w:rPr>
        <w:t>4</w:t>
      </w:r>
      <w:r>
        <w:rPr>
          <w:rFonts w:hint="eastAsia" w:asciiTheme="minorEastAsia" w:hAnsiTheme="minorEastAsia" w:eastAsiaTheme="minorEastAsia" w:cstheme="minorEastAsia"/>
          <w:bCs/>
          <w:sz w:val="24"/>
          <w:szCs w:val="24"/>
          <w:highlight w:val="none"/>
        </w:rPr>
        <w:t>、投标文件不得涂改和增删，如有修改</w:t>
      </w:r>
      <w:r>
        <w:rPr>
          <w:rFonts w:hint="eastAsia" w:asciiTheme="minorEastAsia" w:hAnsiTheme="minorEastAsia" w:eastAsiaTheme="minorEastAsia" w:cstheme="minorEastAsia"/>
          <w:bCs/>
          <w:sz w:val="24"/>
          <w:szCs w:val="24"/>
        </w:rPr>
        <w:t>错漏的地方，必须由法人代表或授权代表签字或盖章。</w:t>
      </w:r>
    </w:p>
    <w:p w14:paraId="01B7450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5</w:t>
      </w:r>
      <w:r>
        <w:rPr>
          <w:rFonts w:hint="eastAsia" w:asciiTheme="minorEastAsia" w:hAnsiTheme="minorEastAsia" w:eastAsiaTheme="minorEastAsia" w:cstheme="minorEastAsia"/>
          <w:bCs/>
          <w:sz w:val="24"/>
          <w:szCs w:val="24"/>
        </w:rPr>
        <w:t>、投标文件因字迹潦草或表达不清所引起的后果由投标人负责。</w:t>
      </w:r>
    </w:p>
    <w:p w14:paraId="745D0A25">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5AD286A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⑴本次招标为公开招标，报价应为：</w:t>
      </w:r>
    </w:p>
    <w:p w14:paraId="51AA1A4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经与招标人或其指派的答疑人员充分沟通确认基础上，由投标人在满足招标人所提出的、与本项目所有相关环节有关的所有费用；</w:t>
      </w:r>
    </w:p>
    <w:p w14:paraId="0DE5A19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⑵所有报价货币单位为：万元（人民币），</w:t>
      </w:r>
      <w:r>
        <w:rPr>
          <w:rFonts w:hint="eastAsia" w:asciiTheme="minorEastAsia" w:hAnsiTheme="minorEastAsia" w:eastAsiaTheme="minorEastAsia" w:cstheme="minorEastAsia"/>
          <w:b/>
          <w:bCs w:val="0"/>
          <w:sz w:val="24"/>
          <w:szCs w:val="24"/>
          <w:highlight w:val="none"/>
          <w:lang w:val="en-US" w:eastAsia="zh-CN"/>
        </w:rPr>
        <w:t>含税</w:t>
      </w:r>
      <w:r>
        <w:rPr>
          <w:rFonts w:hint="eastAsia" w:asciiTheme="minorEastAsia" w:hAnsiTheme="minorEastAsia" w:eastAsiaTheme="minorEastAsia" w:cstheme="minorEastAsia"/>
          <w:bCs/>
          <w:sz w:val="24"/>
          <w:szCs w:val="24"/>
          <w:highlight w:val="none"/>
          <w:lang w:val="en-US" w:eastAsia="zh-CN"/>
        </w:rPr>
        <w:t>；</w:t>
      </w:r>
    </w:p>
    <w:p w14:paraId="4AC9767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bCs/>
          <w:sz w:val="24"/>
          <w:szCs w:val="24"/>
          <w:highlight w:val="none"/>
          <w:lang w:val="en-US" w:eastAsia="zh-CN"/>
        </w:rPr>
        <w:t>⑶付款结算方式：</w:t>
      </w:r>
      <w:r>
        <w:rPr>
          <w:rFonts w:hint="eastAsia" w:asciiTheme="minorEastAsia" w:hAnsiTheme="minorEastAsia" w:eastAsiaTheme="minorEastAsia" w:cstheme="minorEastAsia"/>
          <w:b/>
          <w:bCs/>
          <w:color w:val="000000"/>
          <w:kern w:val="0"/>
          <w:sz w:val="24"/>
          <w:szCs w:val="24"/>
          <w:lang w:val="en-US" w:eastAsia="zh-CN" w:bidi="ar"/>
        </w:rPr>
        <w:t>半年期商业汇票(包括银行承兑汇票和商业承兑汇票)</w:t>
      </w:r>
    </w:p>
    <w:p w14:paraId="51013B8D">
      <w:pPr>
        <w:pStyle w:val="20"/>
        <w:keepNext w:val="0"/>
        <w:keepLines w:val="0"/>
        <w:pageBreakBefore w:val="0"/>
        <w:widowControl w:val="0"/>
        <w:kinsoku/>
        <w:wordWrap/>
        <w:topLinePunct w:val="0"/>
        <w:autoSpaceDE/>
        <w:autoSpaceDN/>
        <w:bidi w:val="0"/>
        <w:adjustRightInd w:val="0"/>
        <w:snapToGrid w:val="0"/>
        <w:spacing w:line="300" w:lineRule="auto"/>
        <w:ind w:left="273" w:right="150" w:firstLine="480" w:firstLineChars="200"/>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A. 设备全部到货、安装调试、验收合格后，中标人提供合同价款100%的增值税专用发票,经招标人依照财务制度审核通过后当月挂账、次月付款，支付合同价款的90%；</w:t>
      </w:r>
    </w:p>
    <w:p w14:paraId="7C7B2D91">
      <w:pPr>
        <w:pStyle w:val="20"/>
        <w:keepNext w:val="0"/>
        <w:keepLines w:val="0"/>
        <w:pageBreakBefore w:val="0"/>
        <w:widowControl w:val="0"/>
        <w:kinsoku/>
        <w:wordWrap/>
        <w:topLinePunct w:val="0"/>
        <w:autoSpaceDE/>
        <w:autoSpaceDN/>
        <w:bidi w:val="0"/>
        <w:adjustRightInd w:val="0"/>
        <w:snapToGrid w:val="0"/>
        <w:spacing w:line="300" w:lineRule="auto"/>
        <w:ind w:left="273" w:right="149" w:firstLine="480" w:firstLineChars="200"/>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B. 合同总价款的10%作为本合同约定设备的质量保证金，质量保证金在质量保证期内不计利息。质保期届满后支付。</w:t>
      </w:r>
    </w:p>
    <w:p w14:paraId="2B2592F8">
      <w:pPr>
        <w:pStyle w:val="24"/>
        <w:keepNext w:val="0"/>
        <w:keepLines w:val="0"/>
        <w:pageBreakBefore w:val="0"/>
        <w:widowControl w:val="0"/>
        <w:kinsoku/>
        <w:wordWrap/>
        <w:topLinePunct w:val="0"/>
        <w:autoSpaceDE/>
        <w:autoSpaceDN/>
        <w:bidi w:val="0"/>
        <w:adjustRightInd w:val="0"/>
        <w:snapToGrid w:val="0"/>
        <w:spacing w:line="300" w:lineRule="auto"/>
        <w:ind w:firstLine="482"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具体以双方最终签署的合同为准。</w:t>
      </w:r>
    </w:p>
    <w:p w14:paraId="71971907">
      <w:pPr>
        <w:pStyle w:val="57"/>
        <w:keepNext w:val="0"/>
        <w:keepLines w:val="0"/>
        <w:pageBreakBefore w:val="0"/>
        <w:widowControl w:val="0"/>
        <w:kinsoku/>
        <w:wordWrap/>
        <w:overflowPunct/>
        <w:topLinePunct w:val="0"/>
        <w:autoSpaceDE w:val="0"/>
        <w:autoSpaceDN w:val="0"/>
        <w:bidi w:val="0"/>
        <w:adjustRightInd w:val="0"/>
        <w:snapToGrid w:val="0"/>
        <w:spacing w:line="300" w:lineRule="auto"/>
        <w:ind w:firstLine="482" w:firstLineChars="200"/>
        <w:textAlignment w:val="auto"/>
        <w:rPr>
          <w:rFonts w:hint="default" w:asciiTheme="minorEastAsia" w:hAnsiTheme="minorEastAsia" w:eastAsiaTheme="minorEastAsia" w:cstheme="minorEastAsia"/>
          <w:b/>
          <w:bCs w:val="0"/>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kern w:val="2"/>
          <w:sz w:val="24"/>
          <w:szCs w:val="24"/>
          <w:highlight w:val="none"/>
          <w:lang w:val="en-US" w:eastAsia="zh-CN" w:bidi="ar-SA"/>
        </w:rPr>
        <w:t>注：付款方式和付款比例不允许偏离。</w:t>
      </w:r>
    </w:p>
    <w:p w14:paraId="3B981327">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7712300F">
      <w:pPr>
        <w:pStyle w:val="151"/>
        <w:numPr>
          <w:ilvl w:val="0"/>
          <w:numId w:val="6"/>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r>
        <w:rPr>
          <w:rFonts w:hint="eastAsia" w:asciiTheme="minorEastAsia" w:hAnsiTheme="minorEastAsia" w:eastAsiaTheme="minorEastAsia" w:cstheme="minorEastAsia"/>
          <w:color w:val="000000"/>
          <w:sz w:val="24"/>
          <w:szCs w:val="24"/>
        </w:rPr>
        <w:t>。</w:t>
      </w:r>
    </w:p>
    <w:p w14:paraId="44532940">
      <w:pPr>
        <w:pStyle w:val="151"/>
        <w:keepNext w:val="0"/>
        <w:keepLines w:val="0"/>
        <w:pageBreakBefore w:val="0"/>
        <w:widowControl w:val="0"/>
        <w:numPr>
          <w:ilvl w:val="0"/>
          <w:numId w:val="6"/>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w:t>
      </w:r>
      <w:r>
        <w:rPr>
          <w:rFonts w:hint="eastAsia" w:asciiTheme="minorEastAsia" w:hAnsiTheme="minorEastAsia" w:eastAsiaTheme="minorEastAsia" w:cstheme="minorEastAsia"/>
          <w:color w:val="000000"/>
          <w:sz w:val="24"/>
          <w:szCs w:val="24"/>
          <w:lang w:val="en-US" w:eastAsia="zh-CN"/>
        </w:rPr>
        <w:t>缴纳截止</w:t>
      </w:r>
      <w:r>
        <w:rPr>
          <w:rFonts w:hint="eastAsia" w:asciiTheme="minorEastAsia" w:hAnsiTheme="minorEastAsia" w:eastAsiaTheme="minorEastAsia" w:cstheme="minorEastAsia"/>
          <w:color w:val="000000"/>
          <w:sz w:val="24"/>
          <w:szCs w:val="24"/>
        </w:rPr>
        <w:t>时间</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b/>
          <w:bCs/>
          <w:color w:val="000000"/>
          <w:sz w:val="24"/>
          <w:szCs w:val="24"/>
          <w:highlight w:val="yellow"/>
          <w:u w:val="single"/>
        </w:rPr>
        <w:t>202</w:t>
      </w:r>
      <w:r>
        <w:rPr>
          <w:rFonts w:hint="eastAsia" w:asciiTheme="minorEastAsia" w:hAnsiTheme="minorEastAsia" w:eastAsiaTheme="minorEastAsia" w:cstheme="minorEastAsia"/>
          <w:b/>
          <w:bCs/>
          <w:color w:val="000000"/>
          <w:sz w:val="24"/>
          <w:szCs w:val="24"/>
          <w:highlight w:val="yellow"/>
          <w:u w:val="single"/>
          <w:lang w:val="en-US" w:eastAsia="zh-CN"/>
        </w:rPr>
        <w:t>6</w:t>
      </w:r>
      <w:r>
        <w:rPr>
          <w:rFonts w:hint="eastAsia" w:asciiTheme="minorEastAsia" w:hAnsiTheme="minorEastAsia" w:eastAsiaTheme="minorEastAsia" w:cstheme="minorEastAsia"/>
          <w:b/>
          <w:bCs/>
          <w:color w:val="000000"/>
          <w:sz w:val="24"/>
          <w:szCs w:val="24"/>
          <w:highlight w:val="yellow"/>
          <w:u w:val="single"/>
        </w:rPr>
        <w:t>年</w:t>
      </w:r>
      <w:r>
        <w:rPr>
          <w:rFonts w:hint="eastAsia" w:asciiTheme="minorEastAsia" w:hAnsiTheme="minorEastAsia" w:eastAsiaTheme="minorEastAsia" w:cstheme="minorEastAsia"/>
          <w:b/>
          <w:bCs/>
          <w:color w:val="000000"/>
          <w:sz w:val="24"/>
          <w:szCs w:val="24"/>
          <w:highlight w:val="yellow"/>
          <w:u w:val="single"/>
          <w:lang w:val="en-US" w:eastAsia="zh-CN"/>
        </w:rPr>
        <w:t>9</w:t>
      </w:r>
      <w:r>
        <w:rPr>
          <w:rFonts w:hint="eastAsia" w:asciiTheme="minorEastAsia" w:hAnsiTheme="minorEastAsia" w:eastAsiaTheme="minorEastAsia" w:cstheme="minorEastAsia"/>
          <w:b/>
          <w:bCs/>
          <w:color w:val="000000"/>
          <w:sz w:val="24"/>
          <w:szCs w:val="24"/>
          <w:highlight w:val="yellow"/>
          <w:u w:val="single"/>
        </w:rPr>
        <w:t>月</w:t>
      </w:r>
      <w:r>
        <w:rPr>
          <w:rFonts w:hint="eastAsia" w:asciiTheme="minorEastAsia" w:hAnsiTheme="minorEastAsia" w:eastAsiaTheme="minorEastAsia" w:cstheme="minorEastAsia"/>
          <w:b/>
          <w:bCs/>
          <w:color w:val="000000"/>
          <w:sz w:val="24"/>
          <w:szCs w:val="24"/>
          <w:highlight w:val="yellow"/>
          <w:u w:val="single"/>
          <w:lang w:val="en-US" w:eastAsia="zh-CN"/>
        </w:rPr>
        <w:t>21</w:t>
      </w:r>
      <w:r>
        <w:rPr>
          <w:rFonts w:hint="eastAsia" w:asciiTheme="minorEastAsia" w:hAnsiTheme="minorEastAsia" w:eastAsiaTheme="minorEastAsia" w:cstheme="minorEastAsia"/>
          <w:b/>
          <w:bCs/>
          <w:color w:val="000000"/>
          <w:sz w:val="24"/>
          <w:szCs w:val="24"/>
          <w:highlight w:val="yellow"/>
          <w:u w:val="single"/>
        </w:rPr>
        <w:t>日</w:t>
      </w:r>
      <w:r>
        <w:rPr>
          <w:rFonts w:hint="eastAsia" w:asciiTheme="minorEastAsia" w:hAnsiTheme="minorEastAsia" w:eastAsiaTheme="minorEastAsia" w:cstheme="minorEastAsia"/>
          <w:b/>
          <w:bCs/>
          <w:color w:val="000000"/>
          <w:sz w:val="24"/>
          <w:szCs w:val="24"/>
          <w:highlight w:val="yellow"/>
          <w:u w:val="single"/>
          <w:lang w:val="en-US" w:eastAsia="zh-CN"/>
        </w:rPr>
        <w:t>9</w:t>
      </w:r>
      <w:r>
        <w:rPr>
          <w:rFonts w:hint="eastAsia" w:asciiTheme="minorEastAsia" w:hAnsiTheme="minorEastAsia" w:eastAsiaTheme="minorEastAsia" w:cstheme="minorEastAsia"/>
          <w:b/>
          <w:bCs/>
          <w:color w:val="000000"/>
          <w:sz w:val="24"/>
          <w:szCs w:val="24"/>
          <w:highlight w:val="yellow"/>
          <w:u w:val="single"/>
        </w:rPr>
        <w:t xml:space="preserve">:00 </w:t>
      </w:r>
      <w:r>
        <w:rPr>
          <w:rFonts w:hint="eastAsia" w:asciiTheme="minorEastAsia" w:hAnsiTheme="minorEastAsia" w:eastAsiaTheme="minorEastAsia" w:cstheme="minorEastAsia"/>
          <w:b/>
          <w:color w:val="000000"/>
          <w:sz w:val="24"/>
          <w:szCs w:val="24"/>
          <w:highlight w:val="yellow"/>
          <w:u w:val="single"/>
        </w:rPr>
        <w:t>。</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5B9C0FB7">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0A23C0D7">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单位名称：中国重汽集团济南动力有限公司</w:t>
      </w:r>
    </w:p>
    <w:p w14:paraId="059C65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收款账号：371899991010003152396</w:t>
      </w:r>
    </w:p>
    <w:p w14:paraId="3E5D2C87">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开户行名称：交通银行山东省分行</w:t>
      </w:r>
    </w:p>
    <w:p w14:paraId="669BB1C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开户行行号：301451000017</w:t>
      </w:r>
    </w:p>
    <w:p w14:paraId="6D1B568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BD4C3D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272031A3">
      <w:pPr>
        <w:pStyle w:val="151"/>
        <w:numPr>
          <w:ilvl w:val="0"/>
          <w:numId w:val="6"/>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5B643B97">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73D0E26C">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1DE9F32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 xml:space="preserve"> 截至开标前3天，投标人无正当理由且未以书面形式递交说明而在投标截止日不来投标的；</w:t>
      </w:r>
    </w:p>
    <w:p w14:paraId="1B638225">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77CB7C58">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D72E01B">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69A453C8">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6914D304">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5BB7954A">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4E6E28C4">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3966A8F9">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6A250446">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66662032">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3A0A8A59">
      <w:pPr>
        <w:pStyle w:val="151"/>
        <w:numPr>
          <w:ilvl w:val="0"/>
          <w:numId w:val="8"/>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134E6B77">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若投标人已成为意向中标人，投标人必须无条件配合招标人完成核价流程的工作。</w:t>
      </w:r>
    </w:p>
    <w:p w14:paraId="46117E24">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55371443">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41B78866">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5CEFB2E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4346A46">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617F7CEB">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3FDAC2B2">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73844F6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1F55A904">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029966EE">
      <w:pPr>
        <w:pStyle w:val="24"/>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6A89D7E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E062BB1">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24F84EE">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12528C2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049D1A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66BEAD71">
      <w:pPr>
        <w:pStyle w:val="24"/>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2E3C9F10">
      <w:pPr>
        <w:pStyle w:val="24"/>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C29EC17">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72FAC046">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5D7A3A92">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0AF201FA">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1EBBB2">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482D6ACB">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3" w:name="OLE_LINK26"/>
      <w:bookmarkStart w:id="14" w:name="OLE_LINK28"/>
      <w:bookmarkStart w:id="15" w:name="OLE_LINK29"/>
      <w:bookmarkStart w:id="16" w:name="OLE_LINK25"/>
      <w:bookmarkStart w:id="17" w:name="OLE_LINK27"/>
      <w:r>
        <w:rPr>
          <w:rFonts w:hint="eastAsia" w:ascii="宋体" w:hAnsi="宋体" w:eastAsia="宋体" w:cs="宋体"/>
          <w:bCs/>
          <w:sz w:val="24"/>
          <w:szCs w:val="24"/>
          <w:highlight w:val="none"/>
        </w:rPr>
        <w:t>；</w:t>
      </w:r>
      <w:bookmarkEnd w:id="13"/>
      <w:bookmarkEnd w:id="14"/>
      <w:bookmarkEnd w:id="15"/>
      <w:bookmarkEnd w:id="16"/>
      <w:bookmarkEnd w:id="17"/>
    </w:p>
    <w:p w14:paraId="2E81C72C">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40A50D63">
      <w:pPr>
        <w:pStyle w:val="24"/>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73713845">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09CA5B46">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rFonts w:hint="eastAsia" w:ascii="宋体" w:hAnsi="宋体" w:eastAsia="宋体" w:cs="宋体"/>
          <w:b/>
          <w:color w:val="auto"/>
          <w:sz w:val="44"/>
          <w:szCs w:val="36"/>
          <w:highlight w:val="none"/>
          <w:lang w:val="en-US" w:eastAsia="zh-CN"/>
        </w:rPr>
      </w:pPr>
      <w:r>
        <w:rPr>
          <w:rFonts w:ascii="宋体" w:hAnsi="宋体" w:eastAsia="宋体" w:cs="宋体"/>
          <w:sz w:val="24"/>
          <w:szCs w:val="24"/>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4"/>
          <w:szCs w:val="24"/>
          <w:lang w:eastAsia="zh-CN"/>
        </w:rPr>
        <w:t>。</w:t>
      </w:r>
      <w:r>
        <w:rPr>
          <w:rFonts w:hint="eastAsia" w:ascii="宋体" w:hAnsi="宋体" w:eastAsia="宋体" w:cs="宋体"/>
          <w:b/>
          <w:color w:val="auto"/>
          <w:sz w:val="44"/>
          <w:szCs w:val="36"/>
          <w:highlight w:val="none"/>
          <w:lang w:val="en-US" w:eastAsia="zh-CN"/>
        </w:rPr>
        <w:br w:type="page"/>
      </w:r>
    </w:p>
    <w:p w14:paraId="4C90C82C">
      <w:pPr>
        <w:pStyle w:val="24"/>
      </w:pPr>
    </w:p>
    <w:p w14:paraId="21DF26F9">
      <w:pPr>
        <w:jc w:val="center"/>
        <w:rPr>
          <w:rFonts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中国重汽集团济南动力有限公司</w:t>
      </w:r>
    </w:p>
    <w:p w14:paraId="4BF3A237">
      <w:pPr>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济南成型厂</w:t>
      </w:r>
      <w:r>
        <w:rPr>
          <w:rFonts w:hint="eastAsia" w:asciiTheme="minorEastAsia" w:hAnsiTheme="minorEastAsia" w:eastAsiaTheme="minorEastAsia" w:cstheme="minorEastAsia"/>
          <w:b/>
          <w:sz w:val="52"/>
          <w:szCs w:val="52"/>
          <w:lang w:val="en-US" w:eastAsia="zh-CN"/>
        </w:rPr>
        <w:t>110kV</w:t>
      </w:r>
      <w:r>
        <w:rPr>
          <w:rFonts w:hint="eastAsia" w:ascii="Calibri" w:hAnsi="宋体" w:eastAsia="宋体" w:cs="Times New Roman"/>
          <w:b/>
          <w:bCs/>
          <w:color w:val="000000"/>
          <w:spacing w:val="-8"/>
          <w:sz w:val="48"/>
          <w:szCs w:val="44"/>
        </w:rPr>
        <w:t>变电站通讯系统更新改造项目</w:t>
      </w:r>
      <w:r>
        <w:rPr>
          <w:rFonts w:hint="eastAsia" w:ascii="Calibri" w:hAnsi="宋体" w:cs="Times New Roman"/>
          <w:b/>
          <w:bCs/>
          <w:color w:val="000000"/>
          <w:spacing w:val="-8"/>
          <w:sz w:val="48"/>
          <w:szCs w:val="44"/>
          <w:lang w:val="en-US" w:eastAsia="zh-CN"/>
        </w:rPr>
        <w:t>技改项目</w:t>
      </w:r>
    </w:p>
    <w:p w14:paraId="0DBDE4A6">
      <w:pPr>
        <w:pStyle w:val="24"/>
      </w:pPr>
    </w:p>
    <w:p w14:paraId="46FCB7A2">
      <w:pPr>
        <w:jc w:val="center"/>
        <w:rPr>
          <w:rFonts w:ascii="黑体" w:hAnsi="宋体" w:eastAsia="黑体" w:cs="Times New Roman"/>
          <w:color w:val="000000"/>
          <w:sz w:val="72"/>
          <w:szCs w:val="72"/>
        </w:rPr>
      </w:pPr>
    </w:p>
    <w:p w14:paraId="16D01C5E">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技</w:t>
      </w:r>
    </w:p>
    <w:p w14:paraId="363C8E07">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术</w:t>
      </w:r>
    </w:p>
    <w:p w14:paraId="67957404">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7C4C5814">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书</w:t>
      </w:r>
    </w:p>
    <w:p w14:paraId="25D33C95">
      <w:pPr>
        <w:pStyle w:val="24"/>
      </w:pPr>
    </w:p>
    <w:p w14:paraId="64B70D16">
      <w:pPr>
        <w:pStyle w:val="24"/>
        <w:rPr>
          <w:rFonts w:ascii="黑体" w:hAnsi="宋体" w:eastAsia="黑体" w:cs="Times New Roman"/>
          <w:color w:val="000000"/>
          <w:sz w:val="72"/>
          <w:szCs w:val="72"/>
        </w:rPr>
      </w:pPr>
    </w:p>
    <w:p w14:paraId="3B567B8D">
      <w:pPr>
        <w:spacing w:line="860" w:lineRule="exact"/>
        <w:rPr>
          <w:rFonts w:hint="eastAsia" w:ascii="华文仿宋" w:hAnsi="华文仿宋" w:eastAsia="华文仿宋"/>
          <w:b/>
          <w:bCs/>
          <w:sz w:val="32"/>
          <w:szCs w:val="28"/>
        </w:rPr>
      </w:pPr>
    </w:p>
    <w:p w14:paraId="674A9362">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14:paraId="57A9498D">
      <w:pPr>
        <w:pStyle w:val="24"/>
        <w:rPr>
          <w:b/>
          <w:bCs/>
        </w:rPr>
      </w:pPr>
    </w:p>
    <w:p w14:paraId="0D04AB92">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5B0368F8">
      <w:pPr>
        <w:jc w:val="center"/>
        <w:rPr>
          <w:rFonts w:hint="default" w:ascii="宋体" w:hAnsi="宋体" w:eastAsia="宋体" w:cs="宋体"/>
          <w:b/>
          <w:bCs/>
          <w:color w:val="000000"/>
          <w:sz w:val="44"/>
          <w:szCs w:val="44"/>
          <w:highlight w:val="none"/>
          <w:u w:val="none"/>
          <w:lang w:val="en-US" w:eastAsia="zh-CN" w:bidi="zh-CN"/>
        </w:rPr>
      </w:pPr>
      <w:r>
        <w:rPr>
          <w:rFonts w:hint="eastAsia"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Calibri" w:hAnsi="Calibri" w:eastAsia="宋体" w:cs="Times New Roman"/>
          <w:color w:val="000000"/>
          <w:sz w:val="28"/>
          <w:szCs w:val="28"/>
        </w:rPr>
        <w:t>年</w:t>
      </w:r>
      <w:r>
        <w:rPr>
          <w:rFonts w:hint="eastAsia" w:ascii="Calibri" w:hAnsi="Calibri" w:cs="Times New Roman"/>
          <w:color w:val="000000"/>
          <w:sz w:val="28"/>
          <w:szCs w:val="28"/>
          <w:lang w:val="en-US" w:eastAsia="zh-CN"/>
        </w:rPr>
        <w:t>9</w:t>
      </w:r>
      <w:r>
        <w:rPr>
          <w:rFonts w:hint="eastAsia" w:ascii="Calibri" w:hAnsi="Calibri" w:eastAsia="宋体" w:cs="Times New Roman"/>
          <w:color w:val="000000"/>
          <w:sz w:val="28"/>
          <w:szCs w:val="28"/>
        </w:rPr>
        <w:t>月</w:t>
      </w:r>
      <w:r>
        <w:rPr>
          <w:rFonts w:hint="default" w:ascii="宋体" w:hAnsi="宋体" w:eastAsia="宋体" w:cs="宋体"/>
          <w:b/>
          <w:bCs/>
          <w:color w:val="000000"/>
          <w:sz w:val="44"/>
          <w:szCs w:val="44"/>
          <w:highlight w:val="none"/>
          <w:u w:val="none"/>
          <w:lang w:val="en-US" w:eastAsia="zh-CN" w:bidi="zh-CN"/>
        </w:rPr>
        <w:br w:type="page"/>
      </w:r>
    </w:p>
    <w:p w14:paraId="19A838E8">
      <w:pPr>
        <w:keepNext/>
        <w:keepLines/>
        <w:spacing w:before="120" w:after="120" w:line="480" w:lineRule="exact"/>
        <w:jc w:val="center"/>
        <w:outlineLvl w:val="1"/>
        <w:rPr>
          <w:rFonts w:ascii="宋体" w:hAnsi="Calibri" w:eastAsia="宋体" w:cs="Times New Roman"/>
          <w:b/>
          <w:bCs/>
          <w:color w:val="000000"/>
          <w:kern w:val="44"/>
          <w:sz w:val="28"/>
          <w:szCs w:val="28"/>
        </w:rPr>
      </w:pPr>
      <w:r>
        <w:rPr>
          <w:rFonts w:hint="eastAsia" w:ascii="宋体" w:hAnsi="宋体" w:eastAsia="宋体" w:cs="Times New Roman"/>
          <w:b/>
          <w:bCs/>
          <w:color w:val="000000"/>
          <w:kern w:val="44"/>
          <w:sz w:val="28"/>
          <w:szCs w:val="28"/>
        </w:rPr>
        <w:t>第一章</w:t>
      </w:r>
      <w:r>
        <w:rPr>
          <w:rFonts w:ascii="宋体" w:hAnsi="宋体" w:eastAsia="宋体" w:cs="Times New Roman"/>
          <w:b/>
          <w:bCs/>
          <w:color w:val="000000"/>
          <w:kern w:val="44"/>
          <w:sz w:val="28"/>
          <w:szCs w:val="28"/>
        </w:rPr>
        <w:t xml:space="preserve">  </w:t>
      </w:r>
      <w:r>
        <w:rPr>
          <w:rFonts w:hint="eastAsia" w:ascii="宋体" w:hAnsi="宋体" w:eastAsia="宋体" w:cs="Times New Roman"/>
          <w:b/>
          <w:bCs/>
          <w:color w:val="000000"/>
          <w:kern w:val="44"/>
          <w:sz w:val="28"/>
          <w:szCs w:val="28"/>
        </w:rPr>
        <w:t>采购货物概况</w:t>
      </w:r>
    </w:p>
    <w:p w14:paraId="0D737DCC">
      <w:pPr>
        <w:keepNext/>
        <w:keepLines/>
        <w:spacing w:before="120" w:after="120" w:line="480" w:lineRule="exact"/>
        <w:jc w:val="center"/>
        <w:outlineLvl w:val="2"/>
        <w:rPr>
          <w:rFonts w:ascii="Arial" w:hAnsi="Arial" w:eastAsia="宋体" w:cs="Times New Roman"/>
          <w:b/>
          <w:bCs/>
          <w:color w:val="000000"/>
          <w:sz w:val="24"/>
          <w:szCs w:val="24"/>
        </w:rPr>
      </w:pPr>
      <w:bookmarkStart w:id="18" w:name="_Toc169605878"/>
      <w:r>
        <w:rPr>
          <w:rFonts w:hint="eastAsia" w:ascii="Arial" w:hAnsi="Arial" w:eastAsia="宋体" w:cs="Times New Roman"/>
          <w:b/>
          <w:bCs/>
          <w:color w:val="000000"/>
          <w:sz w:val="24"/>
          <w:szCs w:val="24"/>
        </w:rPr>
        <w:t>第一节</w:t>
      </w:r>
      <w:r>
        <w:rPr>
          <w:rFonts w:ascii="Arial" w:hAnsi="Arial" w:eastAsia="宋体" w:cs="Times New Roman"/>
          <w:b/>
          <w:bCs/>
          <w:color w:val="000000"/>
          <w:sz w:val="24"/>
          <w:szCs w:val="24"/>
        </w:rPr>
        <w:t xml:space="preserve">  </w:t>
      </w:r>
      <w:r>
        <w:rPr>
          <w:rFonts w:hint="eastAsia" w:ascii="Arial" w:hAnsi="Arial" w:eastAsia="宋体" w:cs="Times New Roman"/>
          <w:b/>
          <w:bCs/>
          <w:color w:val="000000"/>
          <w:sz w:val="24"/>
          <w:szCs w:val="24"/>
        </w:rPr>
        <w:t>使用环境</w:t>
      </w:r>
      <w:bookmarkEnd w:id="18"/>
    </w:p>
    <w:p w14:paraId="4A8A956B">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000000"/>
          <w:kern w:val="2"/>
          <w:sz w:val="24"/>
          <w:szCs w:val="22"/>
          <w:lang w:val="en-US" w:eastAsia="zh-CN" w:bidi="ar-SA"/>
        </w:rPr>
      </w:pPr>
      <w:r>
        <w:rPr>
          <w:rFonts w:hint="eastAsia" w:ascii="宋体" w:hAnsi="宋体" w:eastAsia="宋体" w:cs="宋体"/>
          <w:color w:val="000000"/>
          <w:kern w:val="2"/>
          <w:sz w:val="24"/>
          <w:szCs w:val="24"/>
          <w:lang w:val="en-US" w:eastAsia="zh-CN" w:bidi="ar-SA"/>
        </w:rPr>
        <w:t>一、项目名称：中国重汽集团济南动力有限公司济南成型厂110kV变电站通讯系统更新改造技改项目</w:t>
      </w:r>
      <w:r>
        <w:rPr>
          <w:rFonts w:hint="eastAsia" w:ascii="宋体" w:hAnsi="宋体" w:eastAsia="宋体" w:cs="宋体"/>
          <w:color w:val="000000"/>
          <w:kern w:val="2"/>
          <w:sz w:val="24"/>
          <w:szCs w:val="22"/>
          <w:lang w:val="en-US" w:eastAsia="zh-CN" w:bidi="ar-SA"/>
        </w:rPr>
        <w:t>。</w:t>
      </w:r>
    </w:p>
    <w:p w14:paraId="657B2549">
      <w:pPr>
        <w:spacing w:line="360" w:lineRule="auto"/>
        <w:outlineLvl w:val="3"/>
        <w:rPr>
          <w:rFonts w:ascii="宋体" w:hAnsi="宋体" w:eastAsia="宋体" w:cs="宋体"/>
          <w:color w:val="000000"/>
          <w:sz w:val="24"/>
          <w:szCs w:val="24"/>
          <w:shd w:val="pct10" w:color="auto" w:fill="FFFFFF"/>
        </w:rPr>
      </w:pPr>
      <w:r>
        <w:rPr>
          <w:rFonts w:hint="eastAsia" w:ascii="宋体" w:hAnsi="宋体" w:eastAsia="宋体" w:cs="宋体"/>
          <w:color w:val="000000"/>
          <w:sz w:val="24"/>
          <w:szCs w:val="24"/>
        </w:rPr>
        <w:t>二、建设地点：济南成型厂1</w:t>
      </w:r>
      <w:r>
        <w:rPr>
          <w:rFonts w:ascii="宋体" w:hAnsi="宋体" w:eastAsia="宋体" w:cs="宋体"/>
          <w:color w:val="000000"/>
          <w:sz w:val="24"/>
          <w:szCs w:val="24"/>
        </w:rPr>
        <w:t>10kV</w:t>
      </w:r>
      <w:r>
        <w:rPr>
          <w:rFonts w:hint="eastAsia" w:ascii="宋体" w:hAnsi="宋体" w:eastAsia="宋体" w:cs="宋体"/>
          <w:color w:val="000000"/>
          <w:sz w:val="24"/>
          <w:szCs w:val="24"/>
        </w:rPr>
        <w:t>变电站。</w:t>
      </w:r>
    </w:p>
    <w:p w14:paraId="15057AB2">
      <w:pPr>
        <w:spacing w:line="360" w:lineRule="auto"/>
        <w:outlineLvl w:val="3"/>
        <w:rPr>
          <w:rFonts w:ascii="宋体" w:hAnsi="宋体" w:eastAsia="宋体" w:cs="宋体"/>
          <w:color w:val="000000"/>
          <w:sz w:val="24"/>
          <w:szCs w:val="24"/>
        </w:rPr>
      </w:pPr>
      <w:r>
        <w:rPr>
          <w:rFonts w:hint="eastAsia" w:ascii="宋体" w:hAnsi="宋体" w:eastAsia="宋体" w:cs="宋体"/>
          <w:color w:val="000000"/>
          <w:sz w:val="24"/>
          <w:szCs w:val="24"/>
        </w:rPr>
        <w:t>三、使用地点：济南成型厂1</w:t>
      </w:r>
      <w:r>
        <w:rPr>
          <w:rFonts w:ascii="宋体" w:hAnsi="宋体" w:eastAsia="宋体" w:cs="宋体"/>
          <w:color w:val="000000"/>
          <w:sz w:val="24"/>
          <w:szCs w:val="24"/>
        </w:rPr>
        <w:t>10kV</w:t>
      </w:r>
      <w:r>
        <w:rPr>
          <w:rFonts w:hint="eastAsia" w:ascii="宋体" w:hAnsi="宋体" w:eastAsia="宋体" w:cs="宋体"/>
          <w:color w:val="000000"/>
          <w:sz w:val="24"/>
          <w:szCs w:val="24"/>
        </w:rPr>
        <w:t>变电站。</w:t>
      </w:r>
    </w:p>
    <w:p w14:paraId="3C9AC819">
      <w:pPr>
        <w:spacing w:line="360" w:lineRule="auto"/>
        <w:outlineLvl w:val="3"/>
        <w:rPr>
          <w:rFonts w:ascii="宋体" w:hAnsi="宋体" w:eastAsia="宋体" w:cs="宋体"/>
          <w:bCs/>
          <w:color w:val="000000"/>
          <w:sz w:val="24"/>
          <w:szCs w:val="24"/>
        </w:rPr>
      </w:pPr>
      <w:r>
        <w:rPr>
          <w:rFonts w:hint="eastAsia" w:ascii="宋体" w:hAnsi="宋体" w:eastAsia="宋体" w:cs="宋体"/>
          <w:color w:val="000000"/>
          <w:sz w:val="24"/>
          <w:szCs w:val="24"/>
        </w:rPr>
        <w:t>四、工作制度：</w:t>
      </w:r>
      <w:r>
        <w:rPr>
          <w:rFonts w:hint="eastAsia" w:ascii="宋体" w:hAnsi="宋体" w:eastAsia="宋体" w:cs="宋体"/>
          <w:bCs/>
          <w:color w:val="000000"/>
          <w:sz w:val="24"/>
          <w:szCs w:val="24"/>
        </w:rPr>
        <w:t>全年工作365天、双班制、设备年时基数</w:t>
      </w:r>
      <w:r>
        <w:rPr>
          <w:rFonts w:ascii="宋体" w:hAnsi="宋体" w:eastAsia="宋体" w:cs="宋体"/>
          <w:bCs/>
          <w:color w:val="000000"/>
          <w:sz w:val="24"/>
          <w:szCs w:val="24"/>
        </w:rPr>
        <w:t>8760</w:t>
      </w:r>
      <w:r>
        <w:rPr>
          <w:rFonts w:hint="eastAsia" w:ascii="宋体" w:hAnsi="宋体" w:eastAsia="宋体" w:cs="宋体"/>
          <w:bCs/>
          <w:color w:val="000000"/>
          <w:sz w:val="24"/>
          <w:szCs w:val="24"/>
        </w:rPr>
        <w:t>小时。</w:t>
      </w:r>
    </w:p>
    <w:p w14:paraId="3B953699">
      <w:pPr>
        <w:spacing w:line="360" w:lineRule="auto"/>
        <w:outlineLvl w:val="3"/>
        <w:rPr>
          <w:rFonts w:ascii="宋体" w:hAnsi="宋体" w:eastAsia="宋体" w:cs="宋体"/>
          <w:color w:val="000000"/>
          <w:sz w:val="24"/>
          <w:szCs w:val="24"/>
        </w:rPr>
      </w:pPr>
      <w:r>
        <w:rPr>
          <w:rFonts w:hint="eastAsia" w:ascii="宋体" w:hAnsi="宋体" w:eastAsia="宋体" w:cs="宋体"/>
          <w:color w:val="000000"/>
          <w:sz w:val="24"/>
          <w:szCs w:val="24"/>
        </w:rPr>
        <w:t>五、使用地点区域自然环境：</w:t>
      </w:r>
    </w:p>
    <w:p w14:paraId="2B4C30D3">
      <w:pPr>
        <w:spacing w:line="360" w:lineRule="auto"/>
        <w:ind w:firstLine="480" w:firstLineChars="200"/>
        <w:outlineLvl w:val="4"/>
        <w:rPr>
          <w:rFonts w:ascii="宋体" w:hAnsi="宋体" w:eastAsia="宋体" w:cs="宋体"/>
          <w:bCs/>
          <w:color w:val="000000"/>
          <w:sz w:val="24"/>
          <w:szCs w:val="24"/>
        </w:rPr>
      </w:pPr>
      <w:r>
        <w:rPr>
          <w:rFonts w:hint="eastAsia" w:ascii="宋体" w:hAnsi="宋体" w:eastAsia="宋体" w:cs="宋体"/>
          <w:bCs/>
          <w:color w:val="000000"/>
          <w:sz w:val="24"/>
          <w:szCs w:val="24"/>
        </w:rPr>
        <w:t>5.1.海拔高度：1000m以下。</w:t>
      </w:r>
    </w:p>
    <w:p w14:paraId="67A5D288">
      <w:pPr>
        <w:spacing w:line="360" w:lineRule="auto"/>
        <w:ind w:left="719" w:leftChars="228" w:hanging="240" w:hangingChars="100"/>
        <w:rPr>
          <w:rFonts w:ascii="宋体" w:hAnsi="宋体" w:eastAsia="宋体" w:cs="宋体"/>
          <w:bCs/>
          <w:color w:val="000000"/>
          <w:sz w:val="24"/>
          <w:szCs w:val="24"/>
        </w:rPr>
      </w:pPr>
      <w:r>
        <w:rPr>
          <w:rFonts w:hint="eastAsia" w:ascii="宋体" w:hAnsi="宋体" w:eastAsia="宋体" w:cs="宋体"/>
          <w:bCs/>
          <w:color w:val="000000"/>
          <w:sz w:val="24"/>
          <w:szCs w:val="24"/>
        </w:rPr>
        <w:t>5.2.环境温度：室外极端最低温度-</w:t>
      </w:r>
      <w:r>
        <w:rPr>
          <w:rFonts w:ascii="宋体" w:hAnsi="宋体" w:eastAsia="宋体" w:cs="宋体"/>
          <w:bCs/>
          <w:color w:val="000000"/>
          <w:sz w:val="24"/>
          <w:szCs w:val="24"/>
        </w:rPr>
        <w:t>20</w:t>
      </w:r>
      <w:r>
        <w:rPr>
          <w:rFonts w:hint="eastAsia" w:ascii="宋体" w:hAnsi="宋体" w:eastAsia="宋体" w:cs="宋体"/>
          <w:bCs/>
          <w:color w:val="000000"/>
          <w:sz w:val="24"/>
          <w:szCs w:val="24"/>
        </w:rPr>
        <w:t>℃、极端最高温度50℃，昼夜最大温差25℃；室内温度-10～42℃。</w:t>
      </w:r>
    </w:p>
    <w:p w14:paraId="132956CD">
      <w:pPr>
        <w:spacing w:line="360" w:lineRule="auto"/>
        <w:ind w:firstLine="480" w:firstLineChars="200"/>
        <w:outlineLvl w:val="4"/>
        <w:rPr>
          <w:rFonts w:ascii="宋体" w:hAnsi="宋体" w:eastAsia="宋体" w:cs="宋体"/>
          <w:bCs/>
          <w:color w:val="000000"/>
          <w:sz w:val="24"/>
          <w:szCs w:val="24"/>
        </w:rPr>
      </w:pPr>
      <w:r>
        <w:rPr>
          <w:rFonts w:hint="eastAsia" w:ascii="宋体" w:hAnsi="宋体" w:eastAsia="宋体" w:cs="宋体"/>
          <w:bCs/>
          <w:color w:val="000000"/>
          <w:sz w:val="24"/>
          <w:szCs w:val="24"/>
        </w:rPr>
        <w:t>5.3.相对湿度：年平均59%，最大95%、最小15%。</w:t>
      </w:r>
    </w:p>
    <w:p w14:paraId="406ACAA4">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5.4  降雨量：日最大降雨量298.4mm、年总降雨量685mm。</w:t>
      </w:r>
    </w:p>
    <w:p w14:paraId="0FA8B406">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5.5  最大风速：15m/s。</w:t>
      </w:r>
    </w:p>
    <w:p w14:paraId="62B9B485">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5.6  最大积雪厚度：190mm。</w:t>
      </w:r>
    </w:p>
    <w:p w14:paraId="24D39F9C">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5.7  地震烈度：七度。</w:t>
      </w:r>
    </w:p>
    <w:p w14:paraId="3A911D92">
      <w:pPr>
        <w:spacing w:line="360" w:lineRule="auto"/>
        <w:outlineLvl w:val="3"/>
        <w:rPr>
          <w:rFonts w:ascii="宋体" w:hAnsi="宋体" w:eastAsia="宋体" w:cs="宋体"/>
          <w:color w:val="000000"/>
          <w:sz w:val="24"/>
          <w:szCs w:val="24"/>
        </w:rPr>
      </w:pPr>
      <w:r>
        <w:rPr>
          <w:rFonts w:hint="eastAsia" w:ascii="宋体" w:hAnsi="宋体" w:eastAsia="宋体" w:cs="宋体"/>
          <w:color w:val="000000"/>
          <w:sz w:val="24"/>
          <w:szCs w:val="24"/>
        </w:rPr>
        <w:t xml:space="preserve">六、能源环境： </w:t>
      </w:r>
    </w:p>
    <w:p w14:paraId="54468E94">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6.1  电力：中国制式，供电电压380V±15%/220V±15%，供电频率50Hz±2%。</w:t>
      </w:r>
    </w:p>
    <w:p w14:paraId="68A643B7">
      <w:pPr>
        <w:keepNext/>
        <w:keepLines/>
        <w:spacing w:before="120" w:after="120" w:line="480" w:lineRule="exact"/>
        <w:jc w:val="center"/>
        <w:outlineLvl w:val="2"/>
        <w:rPr>
          <w:rFonts w:hint="eastAsia" w:ascii="Times New Roman" w:hAnsi="Times New Roman" w:eastAsia="宋体" w:cs="Times New Roman"/>
          <w:color w:val="000000"/>
          <w:sz w:val="24"/>
          <w:szCs w:val="24"/>
        </w:rPr>
      </w:pPr>
      <w:r>
        <w:rPr>
          <w:rFonts w:hint="eastAsia" w:ascii="宋体" w:hAnsi="宋体" w:eastAsia="宋体" w:cs="Times New Roman"/>
          <w:b/>
          <w:bCs/>
          <w:color w:val="000000"/>
          <w:sz w:val="24"/>
          <w:szCs w:val="24"/>
        </w:rPr>
        <w:t>第二节</w:t>
      </w:r>
      <w:r>
        <w:rPr>
          <w:rFonts w:ascii="宋体" w:hAnsi="宋体" w:eastAsia="宋体" w:cs="Times New Roman"/>
          <w:b/>
          <w:bCs/>
          <w:color w:val="000000"/>
          <w:sz w:val="24"/>
          <w:szCs w:val="24"/>
        </w:rPr>
        <w:t xml:space="preserve">  </w:t>
      </w:r>
      <w:r>
        <w:rPr>
          <w:rFonts w:hint="eastAsia" w:ascii="宋体" w:hAnsi="宋体" w:eastAsia="宋体" w:cs="Times New Roman"/>
          <w:b/>
          <w:bCs/>
          <w:color w:val="000000"/>
          <w:sz w:val="24"/>
          <w:szCs w:val="24"/>
        </w:rPr>
        <w:t>采购货物概况</w:t>
      </w:r>
    </w:p>
    <w:p w14:paraId="0EBDE272">
      <w:pPr>
        <w:spacing w:line="420" w:lineRule="exact"/>
        <w:outlineLvl w:val="3"/>
        <w:rPr>
          <w:rFonts w:ascii="宋体" w:hAnsi="宋体" w:eastAsia="宋体" w:cs="宋体"/>
          <w:color w:val="000000"/>
          <w:sz w:val="24"/>
          <w:szCs w:val="24"/>
          <w:u w:val="single"/>
          <w:shd w:val="pct10" w:color="auto" w:fill="FFFFFF"/>
        </w:rPr>
      </w:pPr>
      <w:r>
        <w:rPr>
          <w:rFonts w:hint="eastAsia" w:ascii="宋体" w:hAnsi="宋体" w:eastAsia="宋体" w:cs="宋体"/>
          <w:b/>
          <w:color w:val="000000"/>
          <w:sz w:val="24"/>
          <w:szCs w:val="24"/>
        </w:rPr>
        <w:t>一、货物名称：</w:t>
      </w:r>
      <w:r>
        <w:rPr>
          <w:rFonts w:hint="eastAsia" w:ascii="宋体" w:hAnsi="宋体" w:eastAsia="宋体" w:cs="宋体"/>
          <w:color w:val="000000"/>
          <w:sz w:val="24"/>
          <w:szCs w:val="24"/>
          <w:u w:val="single"/>
        </w:rPr>
        <w:t>1</w:t>
      </w:r>
      <w:r>
        <w:rPr>
          <w:rFonts w:ascii="宋体" w:hAnsi="宋体" w:eastAsia="宋体" w:cs="宋体"/>
          <w:color w:val="000000"/>
          <w:sz w:val="24"/>
          <w:szCs w:val="24"/>
          <w:u w:val="single"/>
        </w:rPr>
        <w:t>10kV</w:t>
      </w:r>
      <w:r>
        <w:rPr>
          <w:rFonts w:hint="eastAsia" w:ascii="宋体" w:hAnsi="宋体" w:eastAsia="宋体" w:cs="宋体"/>
          <w:color w:val="000000"/>
          <w:sz w:val="24"/>
          <w:szCs w:val="24"/>
          <w:u w:val="single"/>
        </w:rPr>
        <w:t>变电站通讯系统</w:t>
      </w:r>
      <w:r>
        <w:rPr>
          <w:rFonts w:hint="eastAsia" w:ascii="宋体" w:hAnsi="宋体" w:eastAsia="宋体" w:cs="宋体"/>
          <w:color w:val="000000"/>
          <w:sz w:val="24"/>
          <w:szCs w:val="24"/>
        </w:rPr>
        <w:t>（详见下表）</w:t>
      </w:r>
    </w:p>
    <w:p w14:paraId="6C17C59D">
      <w:pPr>
        <w:spacing w:line="420" w:lineRule="exact"/>
        <w:outlineLvl w:val="3"/>
        <w:rPr>
          <w:rFonts w:ascii="宋体" w:hAnsi="宋体" w:eastAsia="宋体" w:cs="宋体"/>
          <w:color w:val="000000"/>
          <w:sz w:val="24"/>
          <w:szCs w:val="24"/>
        </w:rPr>
      </w:pPr>
      <w:r>
        <w:rPr>
          <w:rFonts w:hint="eastAsia" w:ascii="宋体" w:hAnsi="宋体" w:eastAsia="宋体" w:cs="宋体"/>
          <w:b/>
          <w:color w:val="000000"/>
          <w:sz w:val="24"/>
          <w:szCs w:val="24"/>
        </w:rPr>
        <w:t>二、货物数量：</w:t>
      </w:r>
      <w:r>
        <w:rPr>
          <w:rFonts w:hint="eastAsia" w:ascii="宋体" w:hAnsi="宋体" w:eastAsia="宋体" w:cs="宋体"/>
          <w:color w:val="000000"/>
          <w:sz w:val="24"/>
          <w:szCs w:val="24"/>
          <w:u w:val="single"/>
        </w:rPr>
        <w:t>1套</w:t>
      </w:r>
      <w:r>
        <w:rPr>
          <w:rFonts w:hint="eastAsia" w:ascii="宋体" w:hAnsi="宋体" w:eastAsia="宋体" w:cs="宋体"/>
          <w:color w:val="000000"/>
          <w:sz w:val="24"/>
          <w:szCs w:val="24"/>
        </w:rPr>
        <w:t>（详见下表）</w:t>
      </w:r>
    </w:p>
    <w:p w14:paraId="4D976E8D">
      <w:pPr>
        <w:spacing w:line="420" w:lineRule="exact"/>
        <w:outlineLvl w:val="3"/>
        <w:rPr>
          <w:rFonts w:ascii="宋体" w:hAnsi="宋体" w:eastAsia="宋体" w:cs="宋体"/>
          <w:b/>
          <w:color w:val="000000"/>
          <w:sz w:val="24"/>
          <w:szCs w:val="24"/>
        </w:rPr>
      </w:pPr>
      <w:r>
        <w:rPr>
          <w:rFonts w:hint="eastAsia" w:ascii="宋体" w:hAnsi="宋体" w:eastAsia="宋体" w:cs="宋体"/>
          <w:b/>
          <w:color w:val="000000"/>
          <w:sz w:val="24"/>
          <w:szCs w:val="24"/>
        </w:rPr>
        <w:t>三、分投分中：不允许</w:t>
      </w:r>
    </w:p>
    <w:p w14:paraId="207D867E">
      <w:pPr>
        <w:spacing w:line="560" w:lineRule="exact"/>
        <w:ind w:firstLine="2560" w:firstLineChars="800"/>
        <w:outlineLvl w:val="0"/>
        <w:rPr>
          <w:rFonts w:hint="eastAsia" w:ascii="仿宋_GB2312" w:hAnsi="仿宋_GB2312" w:eastAsia="仿宋_GB2312" w:cs="仿宋_GB2312"/>
          <w:color w:val="000000"/>
          <w:sz w:val="32"/>
          <w:szCs w:val="32"/>
        </w:rPr>
      </w:pPr>
    </w:p>
    <w:p w14:paraId="76AA2118">
      <w:pPr>
        <w:spacing w:line="560" w:lineRule="exact"/>
        <w:ind w:firstLine="2640" w:firstLineChars="1100"/>
        <w:outlineLvl w:val="0"/>
        <w:rPr>
          <w:rFonts w:ascii="仿宋_GB2312" w:hAnsi="仿宋_GB2312" w:eastAsia="仿宋_GB2312" w:cs="仿宋_GB2312"/>
          <w:color w:val="000000"/>
          <w:sz w:val="32"/>
          <w:szCs w:val="32"/>
        </w:rPr>
      </w:pPr>
      <w:r>
        <w:rPr>
          <w:rFonts w:hint="eastAsia" w:ascii="宋体" w:hAnsi="宋体" w:eastAsia="宋体" w:cs="宋体"/>
          <w:color w:val="000000"/>
          <w:sz w:val="24"/>
          <w:szCs w:val="22"/>
        </w:rPr>
        <w:t>表1采购货物主要构成一览表</w:t>
      </w:r>
    </w:p>
    <w:tbl>
      <w:tblPr>
        <w:tblStyle w:val="48"/>
        <w:tblW w:w="8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01"/>
        <w:gridCol w:w="1559"/>
        <w:gridCol w:w="847"/>
        <w:gridCol w:w="540"/>
        <w:gridCol w:w="1470"/>
        <w:gridCol w:w="1470"/>
      </w:tblGrid>
      <w:tr w14:paraId="59D4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noWrap w:val="0"/>
            <w:vAlign w:val="center"/>
          </w:tcPr>
          <w:p w14:paraId="343C2956">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序号</w:t>
            </w:r>
          </w:p>
        </w:tc>
        <w:tc>
          <w:tcPr>
            <w:tcW w:w="1701" w:type="dxa"/>
            <w:noWrap w:val="0"/>
            <w:vAlign w:val="center"/>
          </w:tcPr>
          <w:p w14:paraId="5D341E31">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名称</w:t>
            </w:r>
          </w:p>
        </w:tc>
        <w:tc>
          <w:tcPr>
            <w:tcW w:w="1559" w:type="dxa"/>
            <w:noWrap w:val="0"/>
            <w:vAlign w:val="center"/>
          </w:tcPr>
          <w:p w14:paraId="6883783C">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型号规格</w:t>
            </w:r>
          </w:p>
        </w:tc>
        <w:tc>
          <w:tcPr>
            <w:tcW w:w="847" w:type="dxa"/>
            <w:noWrap w:val="0"/>
            <w:vAlign w:val="center"/>
          </w:tcPr>
          <w:p w14:paraId="0EA9B15B">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单位</w:t>
            </w:r>
          </w:p>
        </w:tc>
        <w:tc>
          <w:tcPr>
            <w:tcW w:w="540" w:type="dxa"/>
            <w:noWrap w:val="0"/>
            <w:vAlign w:val="center"/>
          </w:tcPr>
          <w:p w14:paraId="5F288734">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数量</w:t>
            </w:r>
          </w:p>
        </w:tc>
        <w:tc>
          <w:tcPr>
            <w:tcW w:w="1470" w:type="dxa"/>
            <w:noWrap w:val="0"/>
            <w:vAlign w:val="center"/>
          </w:tcPr>
          <w:p w14:paraId="63CE94FB">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安装地点</w:t>
            </w:r>
          </w:p>
        </w:tc>
        <w:tc>
          <w:tcPr>
            <w:tcW w:w="1470" w:type="dxa"/>
            <w:noWrap w:val="0"/>
            <w:vAlign w:val="center"/>
          </w:tcPr>
          <w:p w14:paraId="52F44E48">
            <w:pPr>
              <w:spacing w:line="420" w:lineRule="exact"/>
              <w:jc w:val="center"/>
              <w:rPr>
                <w:rFonts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备注</w:t>
            </w:r>
          </w:p>
        </w:tc>
      </w:tr>
      <w:tr w14:paraId="1EE6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noWrap w:val="0"/>
            <w:vAlign w:val="center"/>
          </w:tcPr>
          <w:p w14:paraId="0EA94735">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w:t>
            </w:r>
          </w:p>
        </w:tc>
        <w:tc>
          <w:tcPr>
            <w:tcW w:w="1701" w:type="dxa"/>
            <w:noWrap w:val="0"/>
            <w:vAlign w:val="center"/>
          </w:tcPr>
          <w:p w14:paraId="01645724">
            <w:pPr>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5G纵向加密融合通信网关设备</w:t>
            </w:r>
          </w:p>
        </w:tc>
        <w:tc>
          <w:tcPr>
            <w:tcW w:w="1559" w:type="dxa"/>
            <w:noWrap w:val="0"/>
            <w:vAlign w:val="center"/>
          </w:tcPr>
          <w:p w14:paraId="241CAF8D">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5G通讯</w:t>
            </w:r>
          </w:p>
        </w:tc>
        <w:tc>
          <w:tcPr>
            <w:tcW w:w="847" w:type="dxa"/>
            <w:noWrap w:val="0"/>
            <w:vAlign w:val="center"/>
          </w:tcPr>
          <w:p w14:paraId="1F3FADDF">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套</w:t>
            </w:r>
          </w:p>
        </w:tc>
        <w:tc>
          <w:tcPr>
            <w:tcW w:w="540" w:type="dxa"/>
            <w:noWrap w:val="0"/>
            <w:vAlign w:val="center"/>
          </w:tcPr>
          <w:p w14:paraId="269182AC">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w:t>
            </w:r>
          </w:p>
        </w:tc>
        <w:tc>
          <w:tcPr>
            <w:tcW w:w="1470" w:type="dxa"/>
            <w:noWrap w:val="0"/>
            <w:vAlign w:val="center"/>
          </w:tcPr>
          <w:p w14:paraId="217872FE">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110kV变电站</w:t>
            </w:r>
          </w:p>
        </w:tc>
        <w:tc>
          <w:tcPr>
            <w:tcW w:w="1470" w:type="dxa"/>
            <w:noWrap w:val="0"/>
            <w:vAlign w:val="center"/>
          </w:tcPr>
          <w:p w14:paraId="79663235">
            <w:pPr>
              <w:spacing w:line="420" w:lineRule="exact"/>
              <w:jc w:val="center"/>
              <w:rPr>
                <w:rFonts w:hint="eastAsia" w:ascii="仿宋_GB2312" w:hAnsi="仿宋_GB2312" w:eastAsia="仿宋_GB2312" w:cs="仿宋_GB2312"/>
                <w:color w:val="000000"/>
                <w:sz w:val="24"/>
                <w:szCs w:val="21"/>
              </w:rPr>
            </w:pPr>
            <w:r>
              <w:rPr>
                <w:rFonts w:hint="eastAsia" w:ascii="宋体" w:hAnsi="宋体" w:eastAsia="宋体" w:cs="宋体"/>
                <w:bCs/>
                <w:color w:val="000000"/>
                <w:sz w:val="24"/>
                <w:szCs w:val="24"/>
              </w:rPr>
              <w:t>交钥匙，含附件</w:t>
            </w:r>
          </w:p>
        </w:tc>
      </w:tr>
      <w:tr w14:paraId="3855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noWrap w:val="0"/>
            <w:vAlign w:val="center"/>
          </w:tcPr>
          <w:p w14:paraId="2CD81DD6">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2</w:t>
            </w:r>
          </w:p>
        </w:tc>
        <w:tc>
          <w:tcPr>
            <w:tcW w:w="1701" w:type="dxa"/>
            <w:noWrap w:val="0"/>
            <w:vAlign w:val="center"/>
          </w:tcPr>
          <w:p w14:paraId="4DB729F2">
            <w:pPr>
              <w:jc w:val="center"/>
              <w:rPr>
                <w:rFonts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安装和系统调试费</w:t>
            </w:r>
          </w:p>
        </w:tc>
        <w:tc>
          <w:tcPr>
            <w:tcW w:w="1559" w:type="dxa"/>
            <w:noWrap w:val="0"/>
            <w:vAlign w:val="center"/>
          </w:tcPr>
          <w:p w14:paraId="0F55FDCA">
            <w:pPr>
              <w:spacing w:line="420" w:lineRule="exact"/>
              <w:jc w:val="center"/>
              <w:rPr>
                <w:rFonts w:ascii="仿宋_GB2312" w:hAnsi="仿宋_GB2312" w:eastAsia="仿宋_GB2312" w:cs="仿宋_GB2312"/>
                <w:color w:val="000000"/>
                <w:sz w:val="24"/>
                <w:szCs w:val="21"/>
              </w:rPr>
            </w:pPr>
            <w:r>
              <w:rPr>
                <w:rFonts w:ascii="仿宋_GB2312" w:hAnsi="仿宋_GB2312" w:eastAsia="仿宋_GB2312" w:cs="仿宋_GB2312"/>
                <w:color w:val="000000"/>
                <w:sz w:val="24"/>
                <w:szCs w:val="21"/>
              </w:rPr>
              <w:t>/</w:t>
            </w:r>
          </w:p>
        </w:tc>
        <w:tc>
          <w:tcPr>
            <w:tcW w:w="847" w:type="dxa"/>
            <w:noWrap w:val="0"/>
            <w:vAlign w:val="center"/>
          </w:tcPr>
          <w:p w14:paraId="6ABDF3E8">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套</w:t>
            </w:r>
          </w:p>
        </w:tc>
        <w:tc>
          <w:tcPr>
            <w:tcW w:w="540" w:type="dxa"/>
            <w:noWrap w:val="0"/>
            <w:vAlign w:val="center"/>
          </w:tcPr>
          <w:p w14:paraId="7778D96B">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w:t>
            </w:r>
          </w:p>
        </w:tc>
        <w:tc>
          <w:tcPr>
            <w:tcW w:w="1470" w:type="dxa"/>
            <w:noWrap w:val="0"/>
            <w:vAlign w:val="center"/>
          </w:tcPr>
          <w:p w14:paraId="50A22621">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110kV变电站</w:t>
            </w:r>
          </w:p>
        </w:tc>
        <w:tc>
          <w:tcPr>
            <w:tcW w:w="1470" w:type="dxa"/>
            <w:noWrap w:val="0"/>
            <w:vAlign w:val="center"/>
          </w:tcPr>
          <w:p w14:paraId="29CDF8E6">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交钥匙，含与变电站原通讯管理机对接调试费</w:t>
            </w:r>
          </w:p>
        </w:tc>
      </w:tr>
    </w:tbl>
    <w:p w14:paraId="422696D8">
      <w:pPr>
        <w:spacing w:line="360" w:lineRule="auto"/>
        <w:ind w:firstLine="480" w:firstLineChars="200"/>
        <w:rPr>
          <w:rFonts w:ascii="Times New Roman" w:hAnsi="Times New Roman" w:eastAsia="宋体" w:cs="Times New Roman"/>
          <w:color w:val="000000"/>
          <w:sz w:val="24"/>
          <w:szCs w:val="24"/>
        </w:rPr>
      </w:pPr>
      <w:r>
        <w:rPr>
          <w:rFonts w:hint="eastAsia" w:ascii="宋体" w:hAnsi="宋体" w:eastAsia="宋体" w:cs="宋体"/>
          <w:bCs/>
          <w:color w:val="000000"/>
          <w:sz w:val="24"/>
          <w:szCs w:val="24"/>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61C23385">
      <w:pPr>
        <w:numPr>
          <w:ilvl w:val="0"/>
          <w:numId w:val="9"/>
        </w:numPr>
        <w:spacing w:line="360" w:lineRule="auto"/>
        <w:ind w:firstLine="480" w:firstLineChars="200"/>
        <w:rPr>
          <w:rFonts w:hint="eastAsia" w:ascii="Times New Roman" w:hAnsi="Times New Roman" w:eastAsia="宋体" w:cs="Times New Roman"/>
          <w:color w:val="000000"/>
          <w:sz w:val="24"/>
          <w:szCs w:val="24"/>
        </w:rPr>
      </w:pPr>
      <w:r>
        <w:rPr>
          <w:rFonts w:hint="eastAsia" w:ascii="宋体" w:hAnsi="宋体" w:eastAsia="宋体" w:cs="宋体"/>
          <w:bCs/>
          <w:color w:val="000000"/>
          <w:sz w:val="24"/>
          <w:szCs w:val="24"/>
        </w:rPr>
        <w:t>本表“供货方式”指：交钥匙方式——包括制造、运输、定点卸货、安装、调试和协助验收以及约定培训等。</w:t>
      </w:r>
    </w:p>
    <w:p w14:paraId="2183540C">
      <w:pPr>
        <w:keepNext/>
        <w:keepLines/>
        <w:widowControl w:val="0"/>
        <w:spacing w:line="360" w:lineRule="auto"/>
        <w:jc w:val="both"/>
        <w:outlineLvl w:val="1"/>
        <w:rPr>
          <w:rFonts w:ascii="Arial" w:hAnsi="Arial" w:eastAsia="宋体" w:cs="Times New Roman"/>
          <w:b/>
          <w:bCs/>
          <w:color w:val="000000"/>
          <w:kern w:val="2"/>
          <w:sz w:val="24"/>
          <w:szCs w:val="32"/>
          <w:lang w:val="en-US" w:eastAsia="zh-CN" w:bidi="ar-SA"/>
        </w:rPr>
      </w:pPr>
      <w:r>
        <w:rPr>
          <w:rFonts w:hint="eastAsia" w:ascii="Arial" w:hAnsi="Arial" w:eastAsia="宋体" w:cs="Times New Roman"/>
          <w:b/>
          <w:bCs/>
          <w:color w:val="000000"/>
          <w:kern w:val="2"/>
          <w:sz w:val="24"/>
          <w:szCs w:val="32"/>
          <w:lang w:val="en-US" w:eastAsia="zh-CN" w:bidi="ar-SA"/>
        </w:rPr>
        <w:t xml:space="preserve">            </w:t>
      </w:r>
      <w:r>
        <w:rPr>
          <w:rFonts w:ascii="Arial" w:hAnsi="Arial" w:eastAsia="宋体" w:cs="Times New Roman"/>
          <w:b/>
          <w:bCs/>
          <w:color w:val="000000"/>
          <w:kern w:val="2"/>
          <w:sz w:val="24"/>
          <w:szCs w:val="32"/>
          <w:lang w:val="en-US" w:eastAsia="zh-CN" w:bidi="ar-SA"/>
        </w:rPr>
        <w:t xml:space="preserve">    </w:t>
      </w:r>
      <w:r>
        <w:rPr>
          <w:rFonts w:hint="eastAsia" w:ascii="宋体" w:hAnsi="宋体" w:eastAsia="宋体" w:cs="宋体"/>
          <w:b w:val="0"/>
          <w:bCs/>
          <w:color w:val="000000"/>
          <w:kern w:val="2"/>
          <w:sz w:val="24"/>
          <w:szCs w:val="24"/>
          <w:lang w:val="en-US" w:eastAsia="zh-CN" w:bidi="ar-SA"/>
        </w:rPr>
        <w:t>主要器件品牌表（可选同等或更优质量品牌）</w:t>
      </w:r>
    </w:p>
    <w:tbl>
      <w:tblPr>
        <w:tblStyle w:val="4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26"/>
        <w:gridCol w:w="2127"/>
        <w:gridCol w:w="3990"/>
      </w:tblGrid>
      <w:tr w14:paraId="0BCB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BE28055">
            <w:pPr>
              <w:spacing w:line="420" w:lineRule="exact"/>
              <w:jc w:val="center"/>
              <w:rPr>
                <w:rFonts w:ascii="Times New Roman" w:hAnsi="Times New Roman" w:eastAsia="宋体" w:cs="Times New Roman"/>
                <w:color w:val="000000"/>
                <w:sz w:val="24"/>
                <w:szCs w:val="21"/>
              </w:rPr>
            </w:pPr>
            <w:r>
              <w:rPr>
                <w:rFonts w:ascii="Times New Roman" w:hAnsi="Times New Roman" w:eastAsia="宋体" w:cs="Times New Roman"/>
                <w:color w:val="000000"/>
                <w:kern w:val="0"/>
                <w:sz w:val="24"/>
                <w:szCs w:val="21"/>
              </w:rPr>
              <w:t>序号</w:t>
            </w:r>
          </w:p>
        </w:tc>
        <w:tc>
          <w:tcPr>
            <w:tcW w:w="2126" w:type="dxa"/>
            <w:noWrap w:val="0"/>
            <w:vAlign w:val="center"/>
          </w:tcPr>
          <w:p w14:paraId="558ABA8B">
            <w:pPr>
              <w:spacing w:line="420" w:lineRule="exact"/>
              <w:jc w:val="center"/>
              <w:rPr>
                <w:rFonts w:ascii="Times New Roman" w:hAnsi="Times New Roman" w:eastAsia="宋体" w:cs="Times New Roman"/>
                <w:color w:val="000000"/>
                <w:sz w:val="24"/>
                <w:szCs w:val="21"/>
              </w:rPr>
            </w:pPr>
            <w:r>
              <w:rPr>
                <w:rFonts w:ascii="Times New Roman" w:hAnsi="Times New Roman" w:eastAsia="宋体" w:cs="Times New Roman"/>
                <w:color w:val="000000"/>
                <w:kern w:val="0"/>
                <w:sz w:val="24"/>
                <w:szCs w:val="21"/>
              </w:rPr>
              <w:t>器件名称</w:t>
            </w:r>
          </w:p>
        </w:tc>
        <w:tc>
          <w:tcPr>
            <w:tcW w:w="2127" w:type="dxa"/>
            <w:noWrap w:val="0"/>
            <w:vAlign w:val="center"/>
          </w:tcPr>
          <w:p w14:paraId="231324E9">
            <w:pPr>
              <w:spacing w:line="420" w:lineRule="exact"/>
              <w:jc w:val="center"/>
              <w:rPr>
                <w:rFonts w:ascii="Times New Roman" w:hAnsi="Times New Roman" w:eastAsia="宋体" w:cs="Times New Roman"/>
                <w:color w:val="000000"/>
                <w:sz w:val="24"/>
                <w:szCs w:val="21"/>
              </w:rPr>
            </w:pPr>
            <w:r>
              <w:rPr>
                <w:rFonts w:ascii="Times New Roman" w:hAnsi="Times New Roman" w:eastAsia="宋体" w:cs="Times New Roman"/>
                <w:color w:val="000000"/>
                <w:kern w:val="0"/>
                <w:sz w:val="24"/>
                <w:szCs w:val="21"/>
              </w:rPr>
              <w:t>品牌</w:t>
            </w:r>
          </w:p>
        </w:tc>
        <w:tc>
          <w:tcPr>
            <w:tcW w:w="3990" w:type="dxa"/>
            <w:noWrap w:val="0"/>
            <w:vAlign w:val="center"/>
          </w:tcPr>
          <w:p w14:paraId="6E41E857">
            <w:pPr>
              <w:spacing w:line="420" w:lineRule="exact"/>
              <w:jc w:val="center"/>
              <w:rPr>
                <w:rFonts w:ascii="Times New Roman" w:hAnsi="Times New Roman" w:eastAsia="宋体" w:cs="Times New Roman"/>
                <w:color w:val="000000"/>
                <w:sz w:val="24"/>
                <w:szCs w:val="21"/>
              </w:rPr>
            </w:pPr>
            <w:r>
              <w:rPr>
                <w:rFonts w:hint="eastAsia" w:ascii="Times New Roman" w:hAnsi="Times New Roman" w:eastAsia="宋体" w:cs="Times New Roman"/>
                <w:color w:val="000000"/>
                <w:kern w:val="0"/>
                <w:sz w:val="24"/>
                <w:szCs w:val="21"/>
              </w:rPr>
              <w:t>备注</w:t>
            </w:r>
          </w:p>
        </w:tc>
      </w:tr>
      <w:tr w14:paraId="37D5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8417AB1">
            <w:pPr>
              <w:spacing w:line="420" w:lineRule="exact"/>
              <w:jc w:val="center"/>
              <w:rPr>
                <w:rFonts w:ascii="Times New Roman" w:hAnsi="Times New Roman" w:eastAsia="宋体" w:cs="Times New Roman"/>
                <w:color w:val="000000"/>
                <w:sz w:val="24"/>
                <w:szCs w:val="21"/>
              </w:rPr>
            </w:pPr>
            <w:r>
              <w:rPr>
                <w:rFonts w:ascii="Times New Roman" w:hAnsi="Times New Roman" w:eastAsia="宋体" w:cs="Times New Roman"/>
                <w:color w:val="000000"/>
                <w:sz w:val="24"/>
                <w:szCs w:val="21"/>
              </w:rPr>
              <w:t>1</w:t>
            </w:r>
          </w:p>
        </w:tc>
        <w:tc>
          <w:tcPr>
            <w:tcW w:w="2126" w:type="dxa"/>
            <w:noWrap w:val="0"/>
            <w:vAlign w:val="center"/>
          </w:tcPr>
          <w:p w14:paraId="78360768">
            <w:pPr>
              <w:widowControl/>
              <w:jc w:val="center"/>
              <w:textAlignment w:val="center"/>
              <w:rPr>
                <w:rFonts w:ascii="Times New Roman" w:hAnsi="Times New Roman" w:eastAsia="宋体" w:cs="Times New Roman"/>
                <w:color w:val="000000"/>
                <w:kern w:val="0"/>
                <w:sz w:val="24"/>
                <w:szCs w:val="21"/>
              </w:rPr>
            </w:pPr>
            <w:r>
              <w:rPr>
                <w:rFonts w:ascii="Times New Roman" w:hAnsi="Times New Roman" w:eastAsia="宋体" w:cs="Times New Roman"/>
                <w:color w:val="000000"/>
                <w:sz w:val="24"/>
                <w:szCs w:val="24"/>
              </w:rPr>
              <w:t>5G 纵向加密融合通信网关</w:t>
            </w:r>
          </w:p>
        </w:tc>
        <w:tc>
          <w:tcPr>
            <w:tcW w:w="2127" w:type="dxa"/>
            <w:noWrap w:val="0"/>
            <w:vAlign w:val="center"/>
          </w:tcPr>
          <w:p w14:paraId="507AA203">
            <w:pPr>
              <w:widowControl/>
              <w:jc w:val="center"/>
              <w:textAlignment w:val="center"/>
              <w:rPr>
                <w:rFonts w:ascii="Times New Roman" w:hAnsi="Times New Roman" w:eastAsia="宋体" w:cs="Times New Roman"/>
                <w:color w:val="000000"/>
                <w:kern w:val="0"/>
                <w:sz w:val="24"/>
                <w:szCs w:val="21"/>
              </w:rPr>
            </w:pPr>
            <w:r>
              <w:rPr>
                <w:rFonts w:ascii="Times New Roman" w:hAnsi="Times New Roman" w:eastAsia="宋体" w:cs="Times New Roman"/>
                <w:color w:val="000000"/>
                <w:sz w:val="24"/>
                <w:szCs w:val="24"/>
              </w:rPr>
              <w:t>卫士通（电科网安）、南瑞信通、中电技术 CET</w:t>
            </w:r>
          </w:p>
        </w:tc>
        <w:tc>
          <w:tcPr>
            <w:tcW w:w="3990" w:type="dxa"/>
            <w:noWrap w:val="0"/>
            <w:vAlign w:val="center"/>
          </w:tcPr>
          <w:p w14:paraId="03DC524C">
            <w:pPr>
              <w:spacing w:line="420" w:lineRule="exact"/>
              <w:jc w:val="center"/>
              <w:rPr>
                <w:rFonts w:ascii="Times New Roman" w:hAnsi="Times New Roman" w:eastAsia="宋体" w:cs="Times New Roman"/>
                <w:color w:val="000000"/>
                <w:kern w:val="0"/>
                <w:sz w:val="24"/>
                <w:szCs w:val="21"/>
              </w:rPr>
            </w:pPr>
            <w:r>
              <w:rPr>
                <w:rFonts w:ascii="Times New Roman" w:hAnsi="Times New Roman" w:eastAsia="宋体" w:cs="Times New Roman"/>
                <w:color w:val="000000"/>
                <w:sz w:val="24"/>
                <w:szCs w:val="24"/>
              </w:rPr>
              <w:t>满足电力四可改造，集成 5G 通信、国密纵向加密，具备商用密码认证证书，可选用同等或更优质品牌</w:t>
            </w:r>
          </w:p>
        </w:tc>
      </w:tr>
    </w:tbl>
    <w:p w14:paraId="46998D8D">
      <w:pPr>
        <w:spacing w:line="360" w:lineRule="auto"/>
        <w:outlineLvl w:val="3"/>
        <w:rPr>
          <w:rFonts w:ascii="宋体" w:hAnsi="宋体" w:eastAsia="宋体" w:cs="宋体"/>
          <w:b/>
          <w:color w:val="000000"/>
          <w:sz w:val="24"/>
          <w:szCs w:val="24"/>
        </w:rPr>
      </w:pPr>
      <w:r>
        <w:rPr>
          <w:rFonts w:hint="eastAsia" w:ascii="宋体" w:hAnsi="宋体" w:eastAsia="宋体" w:cs="宋体"/>
          <w:b/>
          <w:color w:val="000000"/>
          <w:sz w:val="24"/>
          <w:szCs w:val="24"/>
        </w:rPr>
        <w:t>四、采购货物特别说明</w:t>
      </w:r>
    </w:p>
    <w:p w14:paraId="05C1E347">
      <w:pPr>
        <w:spacing w:line="360" w:lineRule="auto"/>
        <w:ind w:firstLine="480" w:firstLineChars="200"/>
        <w:rPr>
          <w:rFonts w:hint="eastAsia" w:ascii="Times New Roman" w:hAnsi="Times New Roman" w:eastAsia="宋体" w:cs="Times New Roman"/>
          <w:color w:val="000000"/>
          <w:sz w:val="24"/>
          <w:szCs w:val="24"/>
        </w:rPr>
      </w:pPr>
      <w:r>
        <w:rPr>
          <w:rFonts w:hint="eastAsia" w:ascii="宋体" w:hAnsi="宋体" w:eastAsia="宋体" w:cs="宋体"/>
          <w:color w:val="000000"/>
          <w:sz w:val="24"/>
          <w:szCs w:val="24"/>
        </w:rPr>
        <w:t>招标人所列货物的名称和规格型号，如为某一供应商所特有，则该名称和规格型号可作参考，但要求投标人所提供的货物必须满足本技术标书实质性要求</w:t>
      </w:r>
      <w:r>
        <w:rPr>
          <w:rFonts w:hint="eastAsia" w:ascii="宋体" w:hAnsi="宋体" w:eastAsia="宋体" w:cs="Times New Roman"/>
          <w:color w:val="000000"/>
          <w:sz w:val="24"/>
          <w:szCs w:val="20"/>
        </w:rPr>
        <w:t>。</w:t>
      </w:r>
    </w:p>
    <w:p w14:paraId="386CC965">
      <w:pPr>
        <w:numPr>
          <w:ilvl w:val="0"/>
          <w:numId w:val="10"/>
        </w:numPr>
        <w:spacing w:line="560" w:lineRule="exact"/>
        <w:ind w:firstLine="2811" w:firstLineChars="1000"/>
        <w:outlineLvl w:val="2"/>
        <w:rPr>
          <w:rFonts w:hint="eastAsia" w:ascii="宋体" w:hAnsi="宋体" w:eastAsia="宋体" w:cs="Times New Roman"/>
          <w:b/>
          <w:bCs/>
          <w:color w:val="000000"/>
          <w:kern w:val="44"/>
          <w:sz w:val="28"/>
          <w:szCs w:val="28"/>
        </w:rPr>
      </w:pPr>
      <w:r>
        <w:rPr>
          <w:rFonts w:hint="eastAsia" w:ascii="宋体" w:hAnsi="宋体" w:eastAsia="宋体" w:cs="Times New Roman"/>
          <w:b/>
          <w:bCs/>
          <w:color w:val="000000"/>
          <w:kern w:val="44"/>
          <w:sz w:val="28"/>
          <w:szCs w:val="28"/>
        </w:rPr>
        <w:t>技术要求</w:t>
      </w:r>
    </w:p>
    <w:p w14:paraId="54981C45">
      <w:pPr>
        <w:ind w:firstLine="482" w:firstLineChars="200"/>
        <w:outlineLvl w:val="2"/>
        <w:rPr>
          <w:rFonts w:ascii="Times New Roman" w:hAnsi="Times New Roman" w:eastAsia="宋体" w:cs="Times New Roman"/>
          <w:color w:val="000000"/>
          <w:sz w:val="28"/>
          <w:szCs w:val="36"/>
        </w:rPr>
      </w:pPr>
      <w:r>
        <w:rPr>
          <w:rFonts w:hint="eastAsia" w:ascii="宋体" w:hAnsi="宋体" w:eastAsia="宋体" w:cs="宋体"/>
          <w:b/>
          <w:color w:val="000000"/>
          <w:sz w:val="24"/>
          <w:szCs w:val="24"/>
        </w:rPr>
        <w:t>一、特别提示</w:t>
      </w:r>
    </w:p>
    <w:p w14:paraId="44344F02">
      <w:pPr>
        <w:spacing w:line="360" w:lineRule="auto"/>
        <w:rPr>
          <w:rFonts w:ascii="宋体" w:hAnsi="宋体" w:eastAsia="宋体" w:cs="Times New Roman"/>
          <w:color w:val="000000"/>
          <w:sz w:val="24"/>
          <w:szCs w:val="24"/>
        </w:rPr>
      </w:pPr>
      <w:r>
        <w:rPr>
          <w:rFonts w:hint="eastAsia" w:ascii="Times New Roman" w:hAnsi="Times New Roman" w:eastAsia="宋体" w:cs="Times New Roman"/>
          <w:color w:val="000000"/>
          <w:sz w:val="28"/>
          <w:szCs w:val="36"/>
        </w:rPr>
        <w:t xml:space="preserve">   </w:t>
      </w:r>
      <w:r>
        <w:rPr>
          <w:rFonts w:hint="eastAsia" w:ascii="宋体" w:hAnsi="宋体" w:eastAsia="宋体" w:cs="Times New Roman"/>
          <w:color w:val="000000"/>
          <w:sz w:val="24"/>
          <w:szCs w:val="24"/>
        </w:rPr>
        <w:t xml:space="preserve"> 1.本章技术要求，仅对功能、设计、结构、性能、安装和试验检验等方面，提出了最低和一般性的技术要求，并未对一切技术细节作出规定。</w:t>
      </w:r>
    </w:p>
    <w:p w14:paraId="4A141EEA">
      <w:pPr>
        <w:spacing w:line="360" w:lineRule="auto"/>
        <w:rPr>
          <w:rFonts w:ascii="宋体" w:hAnsi="宋体" w:eastAsia="宋体" w:cs="Times New Roman"/>
          <w:color w:val="000000"/>
          <w:sz w:val="24"/>
          <w:szCs w:val="24"/>
        </w:rPr>
      </w:pPr>
      <w:r>
        <w:rPr>
          <w:rFonts w:hint="eastAsia" w:ascii="宋体" w:hAnsi="宋体" w:eastAsia="宋体" w:cs="Times New Roman"/>
          <w:color w:val="000000"/>
          <w:sz w:val="24"/>
          <w:szCs w:val="24"/>
        </w:rPr>
        <w:t xml:space="preserve">    2.本技术要求所使用的标准、规范等，如与投标人所执行的标准、规范不一致时，应按高于本技术要求所列的标准、规范执行。</w:t>
      </w:r>
    </w:p>
    <w:p w14:paraId="001307E0">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.投标人认为所供货物必需由招标人配备、解决或提供的其它要求，如设备基础隔振和减振设施、软化水、洁净气源等，均应在投标文件“技术偏离”中予以充分说明。</w:t>
      </w:r>
    </w:p>
    <w:p w14:paraId="7117DCB1">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bCs/>
          <w:color w:val="000000"/>
          <w:sz w:val="24"/>
          <w:szCs w:val="24"/>
        </w:rPr>
        <w:t>4</w:t>
      </w:r>
      <w:r>
        <w:rPr>
          <w:rFonts w:hint="eastAsia" w:ascii="宋体" w:hAnsi="宋体" w:eastAsia="宋体" w:cs="Times New Roman"/>
          <w:bCs/>
          <w:color w:val="000000"/>
          <w:sz w:val="24"/>
          <w:szCs w:val="24"/>
        </w:rPr>
        <w:t>.投标人应根据招投标货物具体要求，提出</w:t>
      </w:r>
      <w:r>
        <w:rPr>
          <w:rFonts w:hint="eastAsia" w:ascii="宋体" w:hAnsi="宋体" w:eastAsia="宋体" w:cs="Times New Roman"/>
          <w:color w:val="000000"/>
          <w:sz w:val="24"/>
          <w:szCs w:val="24"/>
        </w:rPr>
        <w:t>对厂房、设备基础（或安装平台）、公用设施、消防、环保等超出招标文件、投标文件、答疑文件、技术交流文件、技术协议书和合同等规定的、有特殊需要的解释、说明和要求。</w:t>
      </w:r>
    </w:p>
    <w:p w14:paraId="3129889C">
      <w:pPr>
        <w:spacing w:line="360" w:lineRule="auto"/>
        <w:rPr>
          <w:rFonts w:ascii="宋体" w:hAnsi="Calibri" w:eastAsia="宋体" w:cs="Times New Roman"/>
          <w:color w:val="000000"/>
          <w:sz w:val="24"/>
          <w:szCs w:val="24"/>
        </w:rPr>
      </w:pPr>
      <w:r>
        <w:rPr>
          <w:rFonts w:hint="eastAsia" w:ascii="宋体" w:hAnsi="宋体" w:eastAsia="宋体" w:cs="Times New Roman"/>
          <w:color w:val="000000"/>
          <w:sz w:val="24"/>
          <w:szCs w:val="24"/>
        </w:rPr>
        <w:t xml:space="preserve">    5.无论是否有技术偏离，投标人均应在投标文件“技术偏离”中明确作出有无说明。若有异议，不管是多么微小，投标人必须予以明确和详细的说明或澄清。</w:t>
      </w:r>
    </w:p>
    <w:p w14:paraId="50ECDDA4">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.为避免投标人优势在招标评审时漏项，质保期超出本技术标书要求的，应当在投标文件“技术偏离”中特别注明。</w:t>
      </w:r>
    </w:p>
    <w:p w14:paraId="7D3DFC04">
      <w:pPr>
        <w:spacing w:line="360" w:lineRule="auto"/>
        <w:ind w:firstLine="480" w:firstLineChars="200"/>
        <w:rPr>
          <w:rFonts w:ascii="Times New Roman" w:hAnsi="Times New Roman" w:eastAsia="宋体" w:cs="Times New Roman"/>
          <w:color w:val="000000"/>
          <w:sz w:val="28"/>
          <w:szCs w:val="36"/>
        </w:rPr>
      </w:pPr>
      <w:r>
        <w:rPr>
          <w:rFonts w:ascii="宋体" w:hAnsi="宋体" w:eastAsia="宋体" w:cs="Times New Roman"/>
          <w:color w:val="000000"/>
          <w:sz w:val="24"/>
          <w:szCs w:val="24"/>
        </w:rPr>
        <w:t>7</w:t>
      </w:r>
      <w:r>
        <w:rPr>
          <w:rFonts w:hint="eastAsia" w:ascii="宋体" w:hAnsi="宋体" w:eastAsia="宋体" w:cs="Times New Roman"/>
          <w:color w:val="000000"/>
          <w:sz w:val="24"/>
          <w:szCs w:val="24"/>
        </w:rPr>
        <w:t>.投标文件中，针对“特别提示”条款所做的回应，将作为投标人能否中标的重要依据之一。</w:t>
      </w:r>
    </w:p>
    <w:p w14:paraId="66FEB362">
      <w:pPr>
        <w:keepNext/>
        <w:keepLines/>
        <w:widowControl w:val="0"/>
        <w:spacing w:line="360" w:lineRule="auto"/>
        <w:ind w:firstLine="482" w:firstLineChars="200"/>
        <w:jc w:val="left"/>
        <w:outlineLvl w:val="2"/>
        <w:rPr>
          <w:rFonts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二、基本要求</w:t>
      </w:r>
    </w:p>
    <w:p w14:paraId="445FF71F">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.投标人所供的货物，必须符合中国最新版的法律、法规和相关标准、规范的要求，符合项目所在地政府有关特殊要求。</w:t>
      </w:r>
    </w:p>
    <w:p w14:paraId="0B4DC6BC">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.投标人所供货物涉及的专利权技术以及知识产权保护的其它技术等，应保证招标人不因此受到任何侵权指控以及实际损失。</w:t>
      </w:r>
    </w:p>
    <w:p w14:paraId="21DB4317">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.投标人应保证所供货物的先进性、可靠性、经济性和实用性，并为全新货物（或设备）。</w:t>
      </w:r>
    </w:p>
    <w:p w14:paraId="1D6B9B89">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.投标人应满足招标人提出的各项技术要求，必要时应当免费提供技术承诺或担保。</w:t>
      </w:r>
    </w:p>
    <w:p w14:paraId="0E4476D6">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.投标人应保证所供货物（或设备）为中国政府指定或规定的主管部门公布的非淘汰货物（或设备），并尽力提供中国政府指定或规定的主管部门认可的环保型和节能型货物（或设备）。</w:t>
      </w:r>
    </w:p>
    <w:p w14:paraId="3EF603FD">
      <w:pPr>
        <w:spacing w:line="360" w:lineRule="auto"/>
        <w:ind w:firstLine="480" w:firstLineChars="200"/>
        <w:rPr>
          <w:rFonts w:ascii="宋体" w:hAnsi="Calibri"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.投标人应保证所供货物的完整性和成套性，能保证货物的正常运行、使用。</w:t>
      </w:r>
    </w:p>
    <w:p w14:paraId="0AF6EF87">
      <w:pPr>
        <w:spacing w:line="360" w:lineRule="auto"/>
        <w:ind w:firstLine="480" w:firstLineChars="200"/>
        <w:outlineLvl w:val="3"/>
        <w:rPr>
          <w:rFonts w:ascii="宋体" w:hAnsi="宋体" w:eastAsia="宋体" w:cs="Times New Roman"/>
          <w:color w:val="000000"/>
          <w:sz w:val="24"/>
          <w:szCs w:val="24"/>
        </w:rPr>
      </w:pPr>
      <w:r>
        <w:rPr>
          <w:rFonts w:hint="eastAsia" w:ascii="宋体" w:hAnsi="宋体" w:eastAsia="宋体" w:cs="Times New Roman"/>
          <w:color w:val="000000"/>
          <w:sz w:val="24"/>
          <w:szCs w:val="24"/>
        </w:rPr>
        <w:t>7.程序图纸要求</w:t>
      </w:r>
    </w:p>
    <w:p w14:paraId="6A9537C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7.1 投标方必须提供所有设备程序的源代码，包括但不限于 PLC程序、HMI 程序、组态程序、机器人程序、视觉程序、伺服等。</w:t>
      </w:r>
    </w:p>
    <w:p w14:paraId="4BE538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7.2 投标方所提供的程序不得设置任何密码、保护等限制手段，PLC 不得设置修改下载权限，功能块不得设置密码保护。</w:t>
      </w:r>
    </w:p>
    <w:p w14:paraId="4FFAE69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7.3 HMI界面等需要密码保护的程序，投标方必须提供所有级别的用户名、密码。</w:t>
      </w:r>
    </w:p>
    <w:p w14:paraId="6004A62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7.4 投标方需在设备入场前提供设备程序源码，HMI 界面各级用户名和密码，并保证与现场程序一致。</w:t>
      </w:r>
    </w:p>
    <w:p w14:paraId="2E3A16E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7.5 投标方需在终验收前提供最新的设备程序源码和电气图纸，图纸要求为可编辑原格式（EPLAN、CAD 格式）且与实际接线一致。</w:t>
      </w:r>
    </w:p>
    <w:p w14:paraId="3D392B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7.6投标方提供所有备件详细明细（excel），包括备件名称、规格型号、品牌、数量等，非标件需提供详细订货号。</w:t>
      </w:r>
    </w:p>
    <w:p w14:paraId="280F6C8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7.7仪器、仪表、控制器、特殊用途传感器等，如伺服驱动器、变频器、称重传感器等，需提供设备使用说明书。</w:t>
      </w:r>
    </w:p>
    <w:p w14:paraId="7A585BEE">
      <w:pPr>
        <w:spacing w:line="360" w:lineRule="auto"/>
        <w:ind w:firstLine="480" w:firstLineChars="200"/>
        <w:outlineLvl w:val="4"/>
        <w:rPr>
          <w:rFonts w:ascii="宋体" w:hAnsi="宋体" w:eastAsia="宋体" w:cs="Times New Roman"/>
          <w:color w:val="000000"/>
          <w:sz w:val="24"/>
          <w:szCs w:val="24"/>
        </w:rPr>
      </w:pPr>
      <w:r>
        <w:rPr>
          <w:rFonts w:hint="eastAsia" w:ascii="宋体" w:hAnsi="宋体" w:eastAsia="宋体" w:cs="Times New Roman"/>
          <w:color w:val="000000"/>
          <w:sz w:val="24"/>
          <w:szCs w:val="24"/>
        </w:rPr>
        <w:t>7.8提供所有信号对接表（excel）。</w:t>
      </w:r>
    </w:p>
    <w:p w14:paraId="3CA1A9EA">
      <w:pPr>
        <w:spacing w:line="360" w:lineRule="auto"/>
        <w:ind w:firstLine="480" w:firstLineChars="200"/>
        <w:outlineLvl w:val="4"/>
        <w:rPr>
          <w:rFonts w:hint="eastAsia" w:ascii="宋体" w:hAnsi="宋体" w:eastAsia="宋体" w:cs="Times New Roman"/>
          <w:color w:val="000000"/>
          <w:sz w:val="24"/>
          <w:szCs w:val="24"/>
        </w:rPr>
      </w:pPr>
      <w:r>
        <w:rPr>
          <w:rFonts w:hint="eastAsia" w:ascii="宋体" w:hAnsi="宋体" w:eastAsia="宋体" w:cs="宋体"/>
          <w:color w:val="000000"/>
          <w:sz w:val="24"/>
          <w:szCs w:val="22"/>
        </w:rPr>
        <w:t>7</w:t>
      </w:r>
      <w:r>
        <w:rPr>
          <w:rFonts w:ascii="宋体" w:hAnsi="宋体" w:eastAsia="宋体" w:cs="宋体"/>
          <w:color w:val="000000"/>
          <w:sz w:val="24"/>
          <w:szCs w:val="22"/>
        </w:rPr>
        <w:t>.9</w:t>
      </w:r>
      <w:r>
        <w:rPr>
          <w:rFonts w:hint="eastAsia" w:ascii="宋体" w:hAnsi="宋体" w:eastAsia="宋体" w:cs="宋体"/>
          <w:color w:val="000000"/>
          <w:sz w:val="24"/>
          <w:szCs w:val="22"/>
        </w:rPr>
        <w:t>投标方应随网关、纵向加密装置提供设备配套专用配置工具软件及操作维护手册；纵向加密装置配置工具需配套提供合法授权介质，满足参数配置、策略管理、配置文件备份恢复、故障排查的运维需求。</w:t>
      </w:r>
    </w:p>
    <w:p w14:paraId="58CD3AF7">
      <w:pPr>
        <w:spacing w:line="360" w:lineRule="auto"/>
        <w:ind w:firstLine="480" w:firstLineChars="200"/>
        <w:outlineLvl w:val="3"/>
        <w:rPr>
          <w:rFonts w:ascii="宋体" w:hAnsi="宋体" w:eastAsia="宋体" w:cs="Times New Roman"/>
          <w:color w:val="000000"/>
          <w:sz w:val="24"/>
          <w:szCs w:val="24"/>
        </w:rPr>
      </w:pPr>
      <w:r>
        <w:rPr>
          <w:rFonts w:hint="eastAsia" w:ascii="宋体" w:hAnsi="宋体" w:eastAsia="宋体" w:cs="Times New Roman"/>
          <w:color w:val="000000"/>
          <w:sz w:val="24"/>
          <w:szCs w:val="24"/>
        </w:rPr>
        <w:t>8.接口协议要求</w:t>
      </w:r>
    </w:p>
    <w:p w14:paraId="726297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8.1 投标方免费开放所有通讯接口，包括但不限于以太网、RS232、RS485、PROFIBUS、PROFINET、MODBUS 等常见接口，以及设备特有的专用接口。支持DL645(97)、DL645(07)、modbusRTU、modbusTCP、CDT、DISA、IEC101、IEC104、IEC61850、mqtt 等电力行业及物联网行业主流通讯协议。</w:t>
      </w:r>
    </w:p>
    <w:p w14:paraId="35C6183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8.2 投标方免费提供数据交互功能，交互数据包括但不限于实时数据、历史数据、报警信息等。</w:t>
      </w:r>
    </w:p>
    <w:p w14:paraId="055300B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8.3 投标方在设备入场前提供接口的技术文档和参数说明，包括但不限于接口协议、通讯速率、数据格式等。</w:t>
      </w:r>
    </w:p>
    <w:p w14:paraId="5FD92F7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8.4 设备使用周期内，投标方免费派遣技术人员与招标方调试团队共同进行设备通讯接口的调试工作。</w:t>
      </w:r>
    </w:p>
    <w:p w14:paraId="120C156F">
      <w:pPr>
        <w:spacing w:line="360" w:lineRule="auto"/>
        <w:ind w:firstLine="480" w:firstLineChars="200"/>
        <w:outlineLvl w:val="3"/>
        <w:rPr>
          <w:rFonts w:ascii="宋体" w:hAnsi="宋体" w:eastAsia="宋体" w:cs="Times New Roman"/>
          <w:color w:val="000000"/>
          <w:sz w:val="24"/>
          <w:szCs w:val="24"/>
        </w:rPr>
      </w:pPr>
      <w:r>
        <w:rPr>
          <w:rFonts w:hint="eastAsia" w:ascii="宋体" w:hAnsi="宋体" w:eastAsia="宋体" w:cs="Times New Roman"/>
          <w:color w:val="000000"/>
          <w:sz w:val="24"/>
          <w:szCs w:val="24"/>
        </w:rPr>
        <w:t>9.电机能效</w:t>
      </w:r>
    </w:p>
    <w:p w14:paraId="6C66641C">
      <w:pPr>
        <w:widowControl/>
        <w:spacing w:line="360" w:lineRule="auto"/>
        <w:ind w:firstLine="480" w:firstLineChars="200"/>
        <w:jc w:val="left"/>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国产配套电机须满足《GB 18613-2020》《GB 30253-2024》一级能效规范；进口配套电机执行 IEC 能效标准，选用符合《IEC-60034-30-2》的 IE5 超高效电机。场内配电变压器统一选用一级能效产品，性能指标严格</w:t>
      </w:r>
    </w:p>
    <w:p w14:paraId="428908A6">
      <w:pPr>
        <w:widowControl/>
        <w:spacing w:line="360" w:lineRule="auto"/>
        <w:ind w:firstLine="480" w:firstLineChars="200"/>
        <w:jc w:val="left"/>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遵循《GB 20052-2024》现行国</w:t>
      </w:r>
      <w:r>
        <w:rPr>
          <w:rFonts w:hint="eastAsia" w:ascii="宋体" w:hAnsi="宋体" w:eastAsia="宋体" w:cs="宋体"/>
          <w:color w:val="000000"/>
          <w:kern w:val="0"/>
          <w:sz w:val="24"/>
          <w:szCs w:val="24"/>
          <w:lang w:bidi="ar"/>
        </w:rPr>
        <w:t>家标准。</w:t>
      </w:r>
    </w:p>
    <w:p w14:paraId="286E37BC">
      <w:pPr>
        <w:keepNext/>
        <w:keepLines/>
        <w:widowControl w:val="0"/>
        <w:numPr>
          <w:ilvl w:val="0"/>
          <w:numId w:val="11"/>
        </w:numPr>
        <w:spacing w:line="360" w:lineRule="auto"/>
        <w:ind w:firstLine="482" w:firstLineChars="200"/>
        <w:jc w:val="left"/>
        <w:outlineLvl w:val="2"/>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技术要求</w:t>
      </w:r>
    </w:p>
    <w:p w14:paraId="70292C6A">
      <w:pPr>
        <w:widowControl w:val="0"/>
        <w:spacing w:after="120" w:line="360" w:lineRule="auto"/>
        <w:ind w:left="141" w:leftChars="0" w:hanging="141" w:hangingChars="59"/>
        <w:jc w:val="both"/>
        <w:rPr>
          <w:rFonts w:hint="eastAsia" w:ascii="宋体" w:hAnsi="宋体" w:eastAsia="宋体" w:cs="宋体"/>
          <w:color w:val="000000"/>
          <w:kern w:val="2"/>
          <w:sz w:val="24"/>
          <w:szCs w:val="22"/>
          <w:lang w:val="en-US" w:eastAsia="zh-CN" w:bidi="ar-SA"/>
        </w:rPr>
      </w:pPr>
      <w:r>
        <w:rPr>
          <w:rFonts w:ascii="宋体" w:hAnsi="宋体" w:eastAsia="宋体" w:cs="宋体"/>
          <w:color w:val="000000"/>
          <w:kern w:val="2"/>
          <w:sz w:val="24"/>
          <w:szCs w:val="22"/>
          <w:lang w:val="en-US" w:eastAsia="zh-CN" w:bidi="ar-SA"/>
        </w:rPr>
        <w:t xml:space="preserve">     </w:t>
      </w:r>
      <w:r>
        <w:rPr>
          <w:rFonts w:hint="eastAsia" w:ascii="宋体" w:hAnsi="宋体" w:eastAsia="宋体" w:cs="宋体"/>
          <w:color w:val="000000"/>
          <w:kern w:val="2"/>
          <w:sz w:val="24"/>
          <w:szCs w:val="22"/>
          <w:lang w:val="en-US" w:eastAsia="zh-CN" w:bidi="ar-SA"/>
        </w:rPr>
        <w:t xml:space="preserve"> 本次项目总体要求：在济南成型</w:t>
      </w:r>
      <w:r>
        <w:rPr>
          <w:rFonts w:ascii="宋体" w:hAnsi="宋体" w:eastAsia="宋体" w:cs="宋体"/>
          <w:color w:val="000000"/>
          <w:kern w:val="2"/>
          <w:sz w:val="24"/>
          <w:szCs w:val="22"/>
          <w:lang w:val="en-US" w:eastAsia="zh-CN" w:bidi="ar-SA"/>
        </w:rPr>
        <w:t>110kV</w:t>
      </w:r>
      <w:r>
        <w:rPr>
          <w:rFonts w:hint="eastAsia" w:ascii="宋体" w:hAnsi="宋体" w:eastAsia="宋体" w:cs="宋体"/>
          <w:color w:val="000000"/>
          <w:kern w:val="2"/>
          <w:sz w:val="24"/>
          <w:szCs w:val="22"/>
          <w:lang w:val="en-US" w:eastAsia="zh-CN" w:bidi="ar-SA"/>
        </w:rPr>
        <w:t>变电站控制室指定位置增加一套5</w:t>
      </w:r>
      <w:r>
        <w:rPr>
          <w:rFonts w:ascii="宋体" w:hAnsi="宋体" w:eastAsia="宋体" w:cs="宋体"/>
          <w:color w:val="000000"/>
          <w:kern w:val="2"/>
          <w:sz w:val="24"/>
          <w:szCs w:val="22"/>
          <w:lang w:val="en-US" w:eastAsia="zh-CN" w:bidi="ar-SA"/>
        </w:rPr>
        <w:t>G</w:t>
      </w:r>
      <w:r>
        <w:rPr>
          <w:rFonts w:hint="eastAsia" w:ascii="宋体" w:hAnsi="宋体" w:eastAsia="宋体" w:cs="宋体"/>
          <w:color w:val="000000"/>
          <w:kern w:val="2"/>
          <w:sz w:val="24"/>
          <w:szCs w:val="22"/>
          <w:lang w:val="en-US" w:eastAsia="zh-CN" w:bidi="ar-SA"/>
        </w:rPr>
        <w:t>纵向加密融合通信网关设备，与站内原有通讯管理机进行连接，将所需数据上传至国网济南市地调，达到济南成型厂</w:t>
      </w:r>
      <w:r>
        <w:rPr>
          <w:rFonts w:ascii="宋体" w:hAnsi="宋体" w:eastAsia="宋体" w:cs="宋体"/>
          <w:color w:val="000000"/>
          <w:kern w:val="2"/>
          <w:sz w:val="24"/>
          <w:szCs w:val="22"/>
          <w:lang w:val="en-US" w:eastAsia="zh-CN" w:bidi="ar-SA"/>
        </w:rPr>
        <w:t>110kV</w:t>
      </w:r>
      <w:r>
        <w:rPr>
          <w:rFonts w:hint="eastAsia" w:ascii="宋体" w:hAnsi="宋体" w:eastAsia="宋体" w:cs="宋体"/>
          <w:color w:val="000000"/>
          <w:kern w:val="2"/>
          <w:sz w:val="24"/>
          <w:szCs w:val="22"/>
          <w:lang w:val="en-US" w:eastAsia="zh-CN" w:bidi="ar-SA"/>
        </w:rPr>
        <w:t>变电站“四可”能力改造和恢复与济南地调通讯中断的需求。网关设备的具体技术要求如下：</w:t>
      </w:r>
    </w:p>
    <w:p w14:paraId="0329014B">
      <w:pPr>
        <w:widowControl w:val="0"/>
        <w:spacing w:after="120"/>
        <w:ind w:left="420" w:leftChars="200" w:firstLine="1440" w:firstLineChars="600"/>
        <w:jc w:val="both"/>
        <w:rPr>
          <w:rFonts w:ascii="Calibri" w:hAnsi="Calibri" w:eastAsia="宋体" w:cs="宋体"/>
          <w:b/>
          <w:color w:val="000000"/>
          <w:kern w:val="2"/>
          <w:sz w:val="24"/>
          <w:szCs w:val="24"/>
          <w:lang w:val="en-US" w:eastAsia="zh-CN" w:bidi="ar-SA"/>
        </w:rPr>
      </w:pPr>
      <w:r>
        <w:rPr>
          <w:rFonts w:hint="eastAsia" w:ascii="宋体" w:hAnsi="宋体" w:eastAsia="宋体" w:cs="宋体"/>
          <w:color w:val="000000"/>
          <w:kern w:val="2"/>
          <w:sz w:val="24"/>
          <w:szCs w:val="22"/>
          <w:lang w:val="en-US" w:eastAsia="zh-CN" w:bidi="ar-SA"/>
        </w:rPr>
        <w:t>设备技术要求与现场配套工况说明表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897"/>
        <w:gridCol w:w="4968"/>
      </w:tblGrid>
      <w:tr w14:paraId="2785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774" w:type="dxa"/>
            <w:noWrap w:val="0"/>
            <w:vAlign w:val="center"/>
          </w:tcPr>
          <w:p w14:paraId="3662D05F">
            <w:pPr>
              <w:tabs>
                <w:tab w:val="left" w:pos="748"/>
                <w:tab w:val="left" w:pos="3988"/>
              </w:tabs>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1897" w:type="dxa"/>
            <w:noWrap w:val="0"/>
            <w:vAlign w:val="center"/>
          </w:tcPr>
          <w:p w14:paraId="12FC5ECC">
            <w:pPr>
              <w:tabs>
                <w:tab w:val="left" w:pos="748"/>
                <w:tab w:val="left" w:pos="3988"/>
              </w:tabs>
              <w:spacing w:line="56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4968" w:type="dxa"/>
            <w:noWrap w:val="0"/>
            <w:vAlign w:val="center"/>
          </w:tcPr>
          <w:p w14:paraId="5D44BC6B">
            <w:pPr>
              <w:tabs>
                <w:tab w:val="left" w:pos="748"/>
                <w:tab w:val="left" w:pos="3988"/>
              </w:tabs>
              <w:spacing w:line="56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具体参数</w:t>
            </w:r>
          </w:p>
        </w:tc>
      </w:tr>
      <w:tr w14:paraId="7E4E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774" w:type="dxa"/>
            <w:noWrap w:val="0"/>
            <w:vAlign w:val="center"/>
          </w:tcPr>
          <w:p w14:paraId="0A2BD9C9">
            <w:pPr>
              <w:widowControl/>
              <w:spacing w:line="56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3EBE9143">
            <w:pPr>
              <w:widowControl/>
              <w:jc w:val="center"/>
              <w:rPr>
                <w:rFonts w:ascii="仿宋" w:hAnsi="仿宋" w:eastAsia="仿宋" w:cs="Times New Roman"/>
                <w:color w:val="000000"/>
                <w:kern w:val="0"/>
                <w:sz w:val="24"/>
                <w:szCs w:val="24"/>
              </w:rPr>
            </w:pPr>
            <w:r>
              <w:rPr>
                <w:rFonts w:hint="eastAsia" w:ascii="仿宋" w:hAnsi="仿宋" w:eastAsia="仿宋" w:cs="Times New Roman"/>
                <w:color w:val="000000"/>
                <w:sz w:val="24"/>
                <w:szCs w:val="24"/>
              </w:rPr>
              <w:t>数据实时转发</w:t>
            </w:r>
          </w:p>
        </w:tc>
        <w:tc>
          <w:tcPr>
            <w:tcW w:w="4968" w:type="dxa"/>
            <w:tcBorders>
              <w:top w:val="single" w:color="auto" w:sz="4" w:space="0"/>
              <w:left w:val="nil"/>
              <w:bottom w:val="single" w:color="auto" w:sz="4" w:space="0"/>
              <w:right w:val="single" w:color="auto" w:sz="4" w:space="0"/>
            </w:tcBorders>
            <w:noWrap w:val="0"/>
            <w:vAlign w:val="center"/>
          </w:tcPr>
          <w:p w14:paraId="0CCA82A1">
            <w:pPr>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可获取站内实时运行数据，支持向主站传输站内调控实时数据（遥测、遥信、遥控、遥调）、保护信息数据、设备状态监测信息等各类数据，支持周期、突变或者响应总召的方式上送。程序支持远方、就地模式选择。</w:t>
            </w:r>
          </w:p>
        </w:tc>
      </w:tr>
      <w:tr w14:paraId="3B8E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4" w:type="dxa"/>
            <w:noWrap w:val="0"/>
            <w:vAlign w:val="center"/>
          </w:tcPr>
          <w:p w14:paraId="67D79B93">
            <w:pPr>
              <w:widowControl/>
              <w:spacing w:line="56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1897" w:type="dxa"/>
            <w:tcBorders>
              <w:top w:val="nil"/>
              <w:left w:val="single" w:color="auto" w:sz="4" w:space="0"/>
              <w:bottom w:val="single" w:color="auto" w:sz="4" w:space="0"/>
              <w:right w:val="single" w:color="auto" w:sz="4" w:space="0"/>
            </w:tcBorders>
            <w:noWrap w:val="0"/>
            <w:vAlign w:val="center"/>
          </w:tcPr>
          <w:p w14:paraId="78668F9A">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专用稳定通讯</w:t>
            </w:r>
          </w:p>
        </w:tc>
        <w:tc>
          <w:tcPr>
            <w:tcW w:w="4968" w:type="dxa"/>
            <w:tcBorders>
              <w:top w:val="nil"/>
              <w:left w:val="nil"/>
              <w:bottom w:val="single" w:color="auto" w:sz="4" w:space="0"/>
              <w:right w:val="single" w:color="auto" w:sz="4" w:space="0"/>
            </w:tcBorders>
            <w:noWrap w:val="0"/>
            <w:vAlign w:val="center"/>
          </w:tcPr>
          <w:p w14:paraId="5FE00D44">
            <w:pP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支持电力调度专网，1800MHz电力无线专网时，应清足Q/GDW11804一2018中7.1的要求；230MHz电力无线专网时，应满足Q/GDW11806.1-2018中8.3.1的要求。</w:t>
            </w:r>
          </w:p>
        </w:tc>
      </w:tr>
      <w:tr w14:paraId="4710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4" w:type="dxa"/>
            <w:noWrap w:val="0"/>
            <w:vAlign w:val="center"/>
          </w:tcPr>
          <w:p w14:paraId="65F851C0">
            <w:pPr>
              <w:widowControl/>
              <w:spacing w:line="56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1897" w:type="dxa"/>
            <w:tcBorders>
              <w:top w:val="nil"/>
              <w:left w:val="single" w:color="auto" w:sz="4" w:space="0"/>
              <w:bottom w:val="single" w:color="auto" w:sz="4" w:space="0"/>
              <w:right w:val="single" w:color="auto" w:sz="4" w:space="0"/>
            </w:tcBorders>
            <w:noWrap w:val="0"/>
            <w:vAlign w:val="center"/>
          </w:tcPr>
          <w:p w14:paraId="41C10479">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5G电力专用切片无线网络</w:t>
            </w:r>
          </w:p>
        </w:tc>
        <w:tc>
          <w:tcPr>
            <w:tcW w:w="4968" w:type="dxa"/>
            <w:tcBorders>
              <w:top w:val="nil"/>
              <w:left w:val="nil"/>
              <w:bottom w:val="single" w:color="auto" w:sz="4" w:space="0"/>
              <w:right w:val="single" w:color="auto" w:sz="4" w:space="0"/>
            </w:tcBorders>
            <w:noWrap w:val="0"/>
            <w:vAlign w:val="center"/>
          </w:tcPr>
          <w:p w14:paraId="4EAA36ED">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满足接入要求，支持5G电力专用切片无线网络(根据现场网络情况可自适应最佳网络）</w:t>
            </w:r>
          </w:p>
        </w:tc>
      </w:tr>
      <w:tr w14:paraId="5BC8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4" w:type="dxa"/>
            <w:noWrap w:val="0"/>
            <w:vAlign w:val="center"/>
          </w:tcPr>
          <w:p w14:paraId="1FEB3A6E">
            <w:pPr>
              <w:widowControl/>
              <w:spacing w:line="56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1897" w:type="dxa"/>
            <w:tcBorders>
              <w:top w:val="nil"/>
              <w:left w:val="single" w:color="auto" w:sz="4" w:space="0"/>
              <w:bottom w:val="single" w:color="auto" w:sz="4" w:space="0"/>
              <w:right w:val="single" w:color="auto" w:sz="4" w:space="0"/>
            </w:tcBorders>
            <w:noWrap w:val="0"/>
            <w:vAlign w:val="center"/>
          </w:tcPr>
          <w:p w14:paraId="7EC5EAA2">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满足电力加密要求</w:t>
            </w:r>
          </w:p>
        </w:tc>
        <w:tc>
          <w:tcPr>
            <w:tcW w:w="4968" w:type="dxa"/>
            <w:tcBorders>
              <w:top w:val="nil"/>
              <w:left w:val="nil"/>
              <w:bottom w:val="single" w:color="auto" w:sz="4" w:space="0"/>
              <w:right w:val="single" w:color="auto" w:sz="4" w:space="0"/>
            </w:tcBorders>
            <w:noWrap w:val="0"/>
            <w:vAlign w:val="center"/>
          </w:tcPr>
          <w:p w14:paraId="7EECD499">
            <w:pP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采用经国家密码管理局授权商用密码检测机构、电力行业权威检测机构检测认证的电力专用纵向加密认证模块，实现双向身份认证、数据加密和访问控制。</w:t>
            </w:r>
          </w:p>
        </w:tc>
      </w:tr>
      <w:tr w14:paraId="07C4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4" w:type="dxa"/>
            <w:noWrap w:val="0"/>
            <w:vAlign w:val="center"/>
          </w:tcPr>
          <w:p w14:paraId="24416FDA">
            <w:pPr>
              <w:widowControl/>
              <w:spacing w:line="5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897" w:type="dxa"/>
            <w:noWrap w:val="0"/>
            <w:vAlign w:val="center"/>
          </w:tcPr>
          <w:p w14:paraId="6F52696B">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国网公司网络安全防护要求</w:t>
            </w:r>
          </w:p>
        </w:tc>
        <w:tc>
          <w:tcPr>
            <w:tcW w:w="4968" w:type="dxa"/>
            <w:noWrap w:val="0"/>
            <w:vAlign w:val="top"/>
          </w:tcPr>
          <w:p w14:paraId="36ECFF9D">
            <w:pP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主站IP地址识别，拒绝非指定IP地址的主站连接。无高危端口和高危服务，未开启与业务无关的端口和服务;未使用Telnet、FTP、E-Mail、Rlogin、TFTP、SMB等服务，支持与调度主站双向绑定</w:t>
            </w:r>
            <w:r>
              <w:rPr>
                <w:rFonts w:ascii="仿宋" w:hAnsi="仿宋" w:eastAsia="仿宋" w:cs="Times New Roman"/>
                <w:color w:val="000000"/>
                <w:sz w:val="24"/>
                <w:szCs w:val="24"/>
              </w:rPr>
              <w:t>IP</w:t>
            </w:r>
            <w:r>
              <w:rPr>
                <w:rFonts w:hint="eastAsia" w:ascii="仿宋" w:hAnsi="仿宋" w:eastAsia="仿宋" w:cs="Times New Roman"/>
                <w:color w:val="000000"/>
                <w:sz w:val="24"/>
                <w:szCs w:val="24"/>
              </w:rPr>
              <w:t>规则。</w:t>
            </w:r>
          </w:p>
        </w:tc>
      </w:tr>
      <w:tr w14:paraId="101D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4" w:type="dxa"/>
            <w:noWrap w:val="0"/>
            <w:vAlign w:val="center"/>
          </w:tcPr>
          <w:p w14:paraId="06F67F53">
            <w:pPr>
              <w:widowControl/>
              <w:spacing w:line="5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1897" w:type="dxa"/>
            <w:noWrap w:val="0"/>
            <w:vAlign w:val="center"/>
          </w:tcPr>
          <w:p w14:paraId="27473F4E">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网络</w:t>
            </w:r>
          </w:p>
        </w:tc>
        <w:tc>
          <w:tcPr>
            <w:tcW w:w="4968" w:type="dxa"/>
            <w:noWrap w:val="0"/>
            <w:vAlign w:val="top"/>
          </w:tcPr>
          <w:p w14:paraId="2DDCE74C">
            <w:pP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满足国网电力无线专网，包含路由设备，支持电力调度物联网卡，支持5G、4G网络，支持多家运营商（移动、联通等）</w:t>
            </w:r>
          </w:p>
        </w:tc>
      </w:tr>
      <w:tr w14:paraId="5181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4" w:type="dxa"/>
            <w:noWrap w:val="0"/>
            <w:vAlign w:val="center"/>
          </w:tcPr>
          <w:p w14:paraId="7697C3D0">
            <w:pPr>
              <w:widowControl/>
              <w:spacing w:line="5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897" w:type="dxa"/>
            <w:noWrap w:val="0"/>
            <w:vAlign w:val="center"/>
          </w:tcPr>
          <w:p w14:paraId="28E56BEC">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通信规约</w:t>
            </w:r>
          </w:p>
        </w:tc>
        <w:tc>
          <w:tcPr>
            <w:tcW w:w="4968" w:type="dxa"/>
            <w:noWrap w:val="0"/>
            <w:vAlign w:val="top"/>
          </w:tcPr>
          <w:p w14:paraId="0E62AFF5">
            <w:pP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支持DL645(97)、DL645(07)、modbusRTU、modbusTCP、CDT、DISA、IEC101、IEC104、IEC61850、mqtt 等电力行业及物联网行业主流通讯协议；上传调度规约支持可调上送类型上送周期、以及K值、W值判断，U帧、S帧等待时间设定。</w:t>
            </w:r>
          </w:p>
        </w:tc>
      </w:tr>
      <w:tr w14:paraId="6FC1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4" w:type="dxa"/>
            <w:noWrap w:val="0"/>
            <w:vAlign w:val="center"/>
          </w:tcPr>
          <w:p w14:paraId="5DFDB37B">
            <w:pPr>
              <w:widowControl/>
              <w:spacing w:line="5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8</w:t>
            </w:r>
          </w:p>
        </w:tc>
        <w:tc>
          <w:tcPr>
            <w:tcW w:w="1897" w:type="dxa"/>
            <w:noWrap w:val="0"/>
            <w:vAlign w:val="center"/>
          </w:tcPr>
          <w:p w14:paraId="32CCA672">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供电</w:t>
            </w:r>
          </w:p>
        </w:tc>
        <w:tc>
          <w:tcPr>
            <w:tcW w:w="4968" w:type="dxa"/>
            <w:noWrap w:val="0"/>
            <w:vAlign w:val="center"/>
          </w:tcPr>
          <w:p w14:paraId="4EBAB35B">
            <w:pPr>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交流220V输入，设备支持宽电压供电，配置ESD保护、浪涌保护等安全保护。</w:t>
            </w:r>
          </w:p>
        </w:tc>
      </w:tr>
      <w:tr w14:paraId="2DB3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4" w:type="dxa"/>
            <w:noWrap w:val="0"/>
            <w:vAlign w:val="center"/>
          </w:tcPr>
          <w:p w14:paraId="00195E8E">
            <w:pPr>
              <w:widowControl/>
              <w:spacing w:line="5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9</w:t>
            </w:r>
          </w:p>
        </w:tc>
        <w:tc>
          <w:tcPr>
            <w:tcW w:w="1897" w:type="dxa"/>
            <w:noWrap w:val="0"/>
            <w:vAlign w:val="center"/>
          </w:tcPr>
          <w:p w14:paraId="54E00A3A">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加密强度</w:t>
            </w:r>
          </w:p>
        </w:tc>
        <w:tc>
          <w:tcPr>
            <w:tcW w:w="4968" w:type="dxa"/>
            <w:noWrap w:val="0"/>
            <w:vAlign w:val="center"/>
          </w:tcPr>
          <w:p w14:paraId="40156D81">
            <w:pPr>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支持数据加密，非特权容器，分区双备份，保障设备安全可靠，满足二次设备安全防护要求;</w:t>
            </w:r>
          </w:p>
        </w:tc>
      </w:tr>
      <w:tr w14:paraId="2760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4" w:type="dxa"/>
            <w:noWrap w:val="0"/>
            <w:vAlign w:val="center"/>
          </w:tcPr>
          <w:p w14:paraId="2C3DDC71">
            <w:pPr>
              <w:widowControl/>
              <w:spacing w:line="5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10</w:t>
            </w:r>
          </w:p>
        </w:tc>
        <w:tc>
          <w:tcPr>
            <w:tcW w:w="1897" w:type="dxa"/>
            <w:noWrap w:val="0"/>
            <w:vAlign w:val="center"/>
          </w:tcPr>
          <w:p w14:paraId="2F260CD3">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通信可用性</w:t>
            </w:r>
          </w:p>
        </w:tc>
        <w:tc>
          <w:tcPr>
            <w:tcW w:w="4968" w:type="dxa"/>
            <w:noWrap w:val="0"/>
            <w:vAlign w:val="top"/>
          </w:tcPr>
          <w:p w14:paraId="6777244A">
            <w:pP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具备5G无线公网/无线专网远程通信接口，装置通过5G无线公网/无线专网远程通信接口进行数据交互;2、具备CONSOLE口，支持加密功能以及扩展功能调试;3、具备4路以太网口，以太网口的接口速率应自适应10M/100M/1000Mbit/s;4、具备多路无源开关量输入接口，遥信输入防抖参数可设置(10mms</w:t>
            </w:r>
            <w:r>
              <w:rPr>
                <w:rFonts w:hint="eastAsia" w:ascii="微软雅黑" w:hAnsi="微软雅黑" w:eastAsia="微软雅黑" w:cs="Times New Roman"/>
                <w:color w:val="000000"/>
                <w:sz w:val="24"/>
                <w:szCs w:val="24"/>
              </w:rPr>
              <w:t>∽</w:t>
            </w:r>
            <w:r>
              <w:rPr>
                <w:rFonts w:hint="eastAsia" w:ascii="仿宋" w:hAnsi="仿宋" w:eastAsia="仿宋" w:cs="Times New Roman"/>
                <w:color w:val="000000"/>
                <w:sz w:val="24"/>
                <w:szCs w:val="24"/>
              </w:rPr>
              <w:t>6000ms)，分辨率为不低于5ms;5、具备多路开关量输出接口;6、具备</w:t>
            </w:r>
            <w:r>
              <w:rPr>
                <w:rFonts w:ascii="仿宋" w:hAnsi="仿宋" w:eastAsia="仿宋" w:cs="Times New Roman"/>
                <w:color w:val="000000"/>
                <w:sz w:val="24"/>
                <w:szCs w:val="24"/>
              </w:rPr>
              <w:t>8</w:t>
            </w:r>
            <w:r>
              <w:rPr>
                <w:rFonts w:hint="eastAsia" w:ascii="仿宋" w:hAnsi="仿宋" w:eastAsia="仿宋" w:cs="Times New Roman"/>
                <w:color w:val="000000"/>
                <w:sz w:val="24"/>
                <w:szCs w:val="24"/>
              </w:rPr>
              <w:t>路或以上RS-232/RS-485可切换串口，串口速率可选用1200bps、2400bps、4800bps、9600bps、19200bps、115200bps;7、具备北斗/GPS双模定位功能;8、支持RIG-B码;9、具备AGC/AVC功能。</w:t>
            </w:r>
          </w:p>
        </w:tc>
      </w:tr>
      <w:tr w14:paraId="29D2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4" w:type="dxa"/>
            <w:noWrap w:val="0"/>
            <w:vAlign w:val="center"/>
          </w:tcPr>
          <w:p w14:paraId="3ADAE191">
            <w:pPr>
              <w:widowControl/>
              <w:spacing w:line="5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11</w:t>
            </w:r>
          </w:p>
        </w:tc>
        <w:tc>
          <w:tcPr>
            <w:tcW w:w="1897" w:type="dxa"/>
            <w:noWrap w:val="0"/>
            <w:vAlign w:val="center"/>
          </w:tcPr>
          <w:p w14:paraId="2159EB5F">
            <w:pPr>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传输时延</w:t>
            </w:r>
          </w:p>
        </w:tc>
        <w:tc>
          <w:tcPr>
            <w:tcW w:w="4968" w:type="dxa"/>
            <w:noWrap w:val="0"/>
            <w:vAlign w:val="center"/>
          </w:tcPr>
          <w:p w14:paraId="53FD7DBB">
            <w:pPr>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网关设备本地处理响应时间：遥测信息响应时间≤500ms;遥信变化响应时间≤200ms;遥控、遥调响应时间≤200ms。</w:t>
            </w:r>
          </w:p>
        </w:tc>
      </w:tr>
    </w:tbl>
    <w:p w14:paraId="0399AF68">
      <w:pPr>
        <w:widowControl w:val="0"/>
        <w:snapToGrid w:val="0"/>
        <w:spacing w:line="560" w:lineRule="exact"/>
        <w:ind w:left="480"/>
        <w:jc w:val="left"/>
        <w:rPr>
          <w:rFonts w:hint="eastAsia" w:ascii="宋体" w:hAnsi="宋体" w:eastAsia="宋体" w:cs="宋体"/>
          <w:b/>
          <w:bCs/>
          <w:color w:val="000000"/>
          <w:kern w:val="2"/>
          <w:sz w:val="24"/>
          <w:szCs w:val="22"/>
          <w:lang w:val="en-US" w:eastAsia="zh-CN" w:bidi="ar-SA"/>
        </w:rPr>
      </w:pPr>
      <w:r>
        <w:rPr>
          <w:rFonts w:hint="eastAsia" w:ascii="宋体" w:hAnsi="宋体" w:eastAsia="宋体" w:cs="宋体"/>
          <w:b/>
          <w:bCs/>
          <w:color w:val="000000"/>
          <w:kern w:val="2"/>
          <w:sz w:val="24"/>
          <w:szCs w:val="22"/>
          <w:lang w:val="en-US" w:eastAsia="zh-CN" w:bidi="ar-SA"/>
        </w:rPr>
        <w:t>3</w:t>
      </w:r>
      <w:r>
        <w:rPr>
          <w:rFonts w:ascii="宋体" w:hAnsi="宋体" w:eastAsia="宋体" w:cs="宋体"/>
          <w:b/>
          <w:bCs/>
          <w:color w:val="000000"/>
          <w:kern w:val="2"/>
          <w:sz w:val="24"/>
          <w:szCs w:val="22"/>
          <w:lang w:val="en-US" w:eastAsia="zh-CN" w:bidi="ar-SA"/>
        </w:rPr>
        <w:t>.1</w:t>
      </w:r>
      <w:r>
        <w:rPr>
          <w:rFonts w:hint="eastAsia" w:ascii="宋体" w:hAnsi="宋体" w:eastAsia="宋体" w:cs="宋体"/>
          <w:b/>
          <w:bCs/>
          <w:color w:val="000000"/>
          <w:kern w:val="2"/>
          <w:sz w:val="24"/>
          <w:szCs w:val="22"/>
          <w:lang w:val="en-US" w:eastAsia="zh-CN" w:bidi="ar-SA"/>
        </w:rPr>
        <w:t>设备整体：</w:t>
      </w:r>
    </w:p>
    <w:p w14:paraId="4BFCB52D">
      <w:pPr>
        <w:spacing w:line="360" w:lineRule="auto"/>
        <w:ind w:firstLine="480" w:firstLineChars="200"/>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为电力专用一体化 5G 纵向加密融合通信网关，内置合规纵向加密认证模块，支持国密算法、5G 电力切片专网接入，实现新能源场站四可数据采集、安全加密传输与调度调控，加密转发时延、端到端传输时延满足电网实时业务要求，具备商用密码及电力型式检测资质。</w:t>
      </w:r>
    </w:p>
    <w:p w14:paraId="7FDB22A8">
      <w:pPr>
        <w:spacing w:line="560" w:lineRule="exact"/>
        <w:ind w:firstLine="482" w:firstLineChars="200"/>
        <w:rPr>
          <w:rFonts w:hint="eastAsia" w:ascii="宋体" w:hAnsi="宋体" w:eastAsia="宋体" w:cs="宋体"/>
          <w:color w:val="000000"/>
          <w:sz w:val="24"/>
          <w:szCs w:val="22"/>
        </w:rPr>
      </w:pPr>
      <w:r>
        <w:rPr>
          <w:rFonts w:hint="eastAsia" w:ascii="宋体" w:hAnsi="宋体" w:eastAsia="宋体" w:cs="宋体"/>
          <w:b/>
          <w:bCs/>
          <w:color w:val="000000"/>
          <w:sz w:val="24"/>
          <w:szCs w:val="22"/>
        </w:rPr>
        <w:t>3.</w:t>
      </w:r>
      <w:r>
        <w:rPr>
          <w:rFonts w:ascii="宋体" w:hAnsi="宋体" w:eastAsia="宋体" w:cs="宋体"/>
          <w:b/>
          <w:bCs/>
          <w:color w:val="000000"/>
          <w:sz w:val="24"/>
          <w:szCs w:val="22"/>
        </w:rPr>
        <w:t xml:space="preserve">2 </w:t>
      </w:r>
      <w:r>
        <w:rPr>
          <w:rFonts w:hint="eastAsia" w:ascii="宋体" w:hAnsi="宋体" w:eastAsia="宋体" w:cs="宋体"/>
          <w:b/>
          <w:bCs/>
          <w:color w:val="000000"/>
          <w:sz w:val="24"/>
          <w:szCs w:val="22"/>
        </w:rPr>
        <w:t>1</w:t>
      </w:r>
      <w:r>
        <w:rPr>
          <w:rFonts w:ascii="宋体" w:hAnsi="宋体" w:eastAsia="宋体" w:cs="宋体"/>
          <w:b/>
          <w:bCs/>
          <w:color w:val="000000"/>
          <w:sz w:val="24"/>
          <w:szCs w:val="22"/>
        </w:rPr>
        <w:t>10kV</w:t>
      </w:r>
      <w:r>
        <w:rPr>
          <w:rFonts w:hint="eastAsia" w:ascii="宋体" w:hAnsi="宋体" w:eastAsia="宋体" w:cs="宋体"/>
          <w:b/>
          <w:bCs/>
          <w:color w:val="000000"/>
          <w:sz w:val="24"/>
          <w:szCs w:val="22"/>
        </w:rPr>
        <w:t>变电站通讯系统更新改造需满足设计使用要求</w:t>
      </w:r>
      <w:r>
        <w:rPr>
          <w:rFonts w:hint="eastAsia" w:ascii="楷体_GB2312" w:hAnsi="楷体_GB2312" w:eastAsia="楷体_GB2312" w:cs="楷体_GB2312"/>
          <w:b/>
          <w:bCs/>
          <w:color w:val="000000"/>
          <w:sz w:val="32"/>
          <w:szCs w:val="32"/>
        </w:rPr>
        <w:t>：</w:t>
      </w:r>
    </w:p>
    <w:p w14:paraId="2D3ED871">
      <w:pPr>
        <w:spacing w:line="360" w:lineRule="auto"/>
        <w:ind w:firstLine="480" w:firstLineChars="200"/>
        <w:rPr>
          <w:rFonts w:ascii="宋体" w:hAnsi="宋体" w:eastAsia="宋体" w:cs="宋体"/>
          <w:color w:val="000000"/>
          <w:sz w:val="24"/>
          <w:szCs w:val="22"/>
        </w:rPr>
      </w:pPr>
      <w:r>
        <w:rPr>
          <w:rFonts w:hint="eastAsia" w:ascii="宋体" w:hAnsi="宋体" w:eastAsia="宋体" w:cs="宋体"/>
          <w:color w:val="000000"/>
          <w:sz w:val="24"/>
          <w:szCs w:val="22"/>
        </w:rPr>
        <w:t>3</w:t>
      </w:r>
      <w:r>
        <w:rPr>
          <w:rFonts w:ascii="宋体" w:hAnsi="宋体" w:eastAsia="宋体" w:cs="宋体"/>
          <w:color w:val="000000"/>
          <w:sz w:val="24"/>
          <w:szCs w:val="22"/>
        </w:rPr>
        <w:t>.2.1</w:t>
      </w:r>
      <w:r>
        <w:rPr>
          <w:rFonts w:hint="eastAsia" w:ascii="宋体" w:hAnsi="宋体" w:eastAsia="宋体" w:cs="宋体"/>
          <w:color w:val="000000"/>
          <w:sz w:val="24"/>
          <w:szCs w:val="22"/>
        </w:rPr>
        <w:t>济南成型厂110kV变电站，需实现“可观、可测”的涉网设备有3台主变及附属断路器，2路并网线路及附属断路器，母线及附属断路器。</w:t>
      </w:r>
    </w:p>
    <w:tbl>
      <w:tblPr>
        <w:tblStyle w:val="4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6898"/>
        <w:gridCol w:w="1417"/>
      </w:tblGrid>
      <w:tr w14:paraId="7A27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7" w:type="dxa"/>
            <w:noWrap w:val="0"/>
            <w:vAlign w:val="center"/>
          </w:tcPr>
          <w:p w14:paraId="7F8990E4">
            <w:pPr>
              <w:spacing w:line="360" w:lineRule="auto"/>
              <w:jc w:val="center"/>
              <w:rPr>
                <w:rFonts w:ascii="仿宋" w:hAnsi="仿宋" w:eastAsia="仿宋" w:cs="宋体"/>
                <w:b/>
                <w:bCs/>
                <w:color w:val="000000"/>
                <w:sz w:val="24"/>
                <w:szCs w:val="22"/>
              </w:rPr>
            </w:pPr>
            <w:r>
              <w:rPr>
                <w:rFonts w:hint="eastAsia" w:ascii="仿宋" w:hAnsi="仿宋" w:eastAsia="仿宋" w:cs="宋体"/>
                <w:b/>
                <w:bCs/>
                <w:color w:val="000000"/>
                <w:sz w:val="24"/>
                <w:szCs w:val="22"/>
              </w:rPr>
              <w:t>信息类型</w:t>
            </w:r>
          </w:p>
        </w:tc>
        <w:tc>
          <w:tcPr>
            <w:tcW w:w="6898" w:type="dxa"/>
            <w:noWrap w:val="0"/>
            <w:vAlign w:val="center"/>
          </w:tcPr>
          <w:p w14:paraId="42ECDFB2">
            <w:pPr>
              <w:spacing w:line="360" w:lineRule="auto"/>
              <w:ind w:firstLine="482" w:firstLineChars="200"/>
              <w:jc w:val="center"/>
              <w:rPr>
                <w:rFonts w:ascii="仿宋" w:hAnsi="仿宋" w:eastAsia="仿宋" w:cs="宋体"/>
                <w:b/>
                <w:bCs/>
                <w:color w:val="000000"/>
                <w:sz w:val="24"/>
                <w:szCs w:val="22"/>
              </w:rPr>
            </w:pPr>
            <w:r>
              <w:rPr>
                <w:rFonts w:hint="eastAsia" w:ascii="仿宋" w:hAnsi="仿宋" w:eastAsia="仿宋" w:cs="宋体"/>
                <w:b/>
                <w:bCs/>
                <w:color w:val="000000"/>
                <w:sz w:val="24"/>
                <w:szCs w:val="22"/>
              </w:rPr>
              <w:t>采集内容</w:t>
            </w:r>
          </w:p>
        </w:tc>
        <w:tc>
          <w:tcPr>
            <w:tcW w:w="1417" w:type="dxa"/>
            <w:noWrap w:val="0"/>
            <w:vAlign w:val="center"/>
          </w:tcPr>
          <w:p w14:paraId="1DAC13F3">
            <w:pPr>
              <w:spacing w:line="360" w:lineRule="auto"/>
              <w:jc w:val="center"/>
              <w:rPr>
                <w:rFonts w:ascii="仿宋" w:hAnsi="仿宋" w:eastAsia="仿宋" w:cs="宋体"/>
                <w:b/>
                <w:bCs/>
                <w:color w:val="000000"/>
                <w:sz w:val="24"/>
                <w:szCs w:val="22"/>
              </w:rPr>
            </w:pPr>
            <w:r>
              <w:rPr>
                <w:rFonts w:hint="eastAsia" w:ascii="仿宋" w:hAnsi="仿宋" w:eastAsia="仿宋" w:cs="宋体"/>
                <w:b/>
                <w:bCs/>
                <w:color w:val="000000"/>
                <w:sz w:val="24"/>
                <w:szCs w:val="22"/>
              </w:rPr>
              <w:t>采集或汇总装置</w:t>
            </w:r>
          </w:p>
        </w:tc>
      </w:tr>
      <w:tr w14:paraId="346B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 w:type="dxa"/>
            <w:noWrap w:val="0"/>
            <w:vAlign w:val="center"/>
          </w:tcPr>
          <w:p w14:paraId="039D39D2">
            <w:pPr>
              <w:spacing w:line="360" w:lineRule="auto"/>
              <w:jc w:val="center"/>
              <w:rPr>
                <w:rFonts w:ascii="仿宋" w:hAnsi="仿宋" w:eastAsia="仿宋" w:cs="宋体"/>
                <w:color w:val="000000"/>
                <w:sz w:val="24"/>
                <w:szCs w:val="22"/>
              </w:rPr>
            </w:pPr>
            <w:r>
              <w:rPr>
                <w:rFonts w:hint="eastAsia" w:ascii="仿宋" w:hAnsi="仿宋" w:eastAsia="仿宋" w:cs="宋体"/>
                <w:color w:val="000000"/>
                <w:sz w:val="24"/>
                <w:szCs w:val="22"/>
              </w:rPr>
              <w:t>遥测信息</w:t>
            </w:r>
          </w:p>
        </w:tc>
        <w:tc>
          <w:tcPr>
            <w:tcW w:w="6898" w:type="dxa"/>
            <w:noWrap w:val="0"/>
            <w:vAlign w:val="center"/>
          </w:tcPr>
          <w:p w14:paraId="4BE68DEC">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110kV百蔡I线：</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74C8D40A">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110kV电蔡线百脉支重汽支线：</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6350F246">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110kV 母线：Ua、Ub、Uc、Uab、3U0；</w:t>
            </w:r>
          </w:p>
          <w:p w14:paraId="4A8D1E0D">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#1主变高压侧：</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79D951A8">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#1主变低压侧：</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49AE9196">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#2主变高压侧：</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7B472E2A">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#2主变低压侧：</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51DFE000">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#3主变高压侧：</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59CA570A">
            <w:pPr>
              <w:spacing w:line="360" w:lineRule="auto"/>
              <w:ind w:firstLine="480" w:firstLineChars="200"/>
              <w:rPr>
                <w:rFonts w:hint="eastAsia" w:ascii="仿宋" w:hAnsi="仿宋" w:eastAsia="仿宋" w:cs="宋体"/>
                <w:color w:val="000000"/>
                <w:sz w:val="24"/>
                <w:szCs w:val="22"/>
              </w:rPr>
            </w:pPr>
            <w:r>
              <w:rPr>
                <w:rFonts w:hint="eastAsia" w:ascii="仿宋" w:hAnsi="仿宋" w:eastAsia="仿宋" w:cs="宋体"/>
                <w:color w:val="000000"/>
                <w:sz w:val="24"/>
                <w:szCs w:val="22"/>
              </w:rPr>
              <w:t>#3主变中压侧：</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6AF2D5D6">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#3主变低压侧：</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2BC62EE6">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110kV母线分段103、105开关：</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p w14:paraId="4D1C55E8">
            <w:pPr>
              <w:spacing w:line="360" w:lineRule="auto"/>
              <w:ind w:firstLine="480" w:firstLineChars="200"/>
              <w:rPr>
                <w:rFonts w:hint="eastAsia" w:ascii="仿宋" w:hAnsi="仿宋" w:eastAsia="仿宋" w:cs="宋体"/>
                <w:color w:val="000000"/>
                <w:sz w:val="24"/>
                <w:szCs w:val="22"/>
              </w:rPr>
            </w:pPr>
            <w:r>
              <w:rPr>
                <w:rFonts w:hint="eastAsia" w:ascii="仿宋" w:hAnsi="仿宋" w:eastAsia="仿宋" w:cs="宋体"/>
                <w:color w:val="000000"/>
                <w:sz w:val="24"/>
                <w:szCs w:val="22"/>
              </w:rPr>
              <w:t>10kV母线分段</w:t>
            </w:r>
            <w:r>
              <w:rPr>
                <w:rFonts w:ascii="仿宋" w:hAnsi="仿宋" w:eastAsia="仿宋" w:cs="宋体"/>
                <w:color w:val="000000"/>
                <w:sz w:val="24"/>
                <w:szCs w:val="22"/>
              </w:rPr>
              <w:t>026</w:t>
            </w:r>
            <w:r>
              <w:rPr>
                <w:rFonts w:hint="eastAsia" w:ascii="仿宋" w:hAnsi="仿宋" w:eastAsia="仿宋" w:cs="宋体"/>
                <w:color w:val="000000"/>
                <w:sz w:val="24"/>
                <w:szCs w:val="22"/>
              </w:rPr>
              <w:t>、</w:t>
            </w:r>
            <w:r>
              <w:rPr>
                <w:rFonts w:ascii="仿宋" w:hAnsi="仿宋" w:eastAsia="仿宋" w:cs="宋体"/>
                <w:color w:val="000000"/>
                <w:sz w:val="24"/>
                <w:szCs w:val="22"/>
              </w:rPr>
              <w:t>045</w:t>
            </w:r>
            <w:r>
              <w:rPr>
                <w:rFonts w:hint="eastAsia" w:ascii="仿宋" w:hAnsi="仿宋" w:eastAsia="仿宋" w:cs="宋体"/>
                <w:color w:val="000000"/>
                <w:sz w:val="24"/>
                <w:szCs w:val="22"/>
              </w:rPr>
              <w:t>开关：</w:t>
            </w:r>
            <w:r>
              <w:rPr>
                <w:rFonts w:ascii="仿宋" w:hAnsi="仿宋" w:eastAsia="仿宋" w:cs="宋体"/>
                <w:color w:val="000000"/>
                <w:sz w:val="24"/>
                <w:szCs w:val="22"/>
              </w:rPr>
              <w:t>I</w:t>
            </w:r>
            <w:r>
              <w:rPr>
                <w:rFonts w:hint="eastAsia" w:ascii="仿宋" w:hAnsi="仿宋" w:eastAsia="仿宋" w:cs="宋体"/>
                <w:color w:val="000000"/>
                <w:sz w:val="24"/>
                <w:szCs w:val="22"/>
              </w:rPr>
              <w:t>a</w:t>
            </w:r>
            <w:r>
              <w:rPr>
                <w:rFonts w:ascii="仿宋" w:hAnsi="仿宋" w:eastAsia="仿宋" w:cs="宋体"/>
                <w:color w:val="000000"/>
                <w:sz w:val="24"/>
                <w:szCs w:val="22"/>
              </w:rPr>
              <w:t>、I</w:t>
            </w:r>
            <w:r>
              <w:rPr>
                <w:rFonts w:hint="eastAsia" w:ascii="仿宋" w:hAnsi="仿宋" w:eastAsia="仿宋" w:cs="宋体"/>
                <w:color w:val="000000"/>
                <w:sz w:val="24"/>
                <w:szCs w:val="22"/>
              </w:rPr>
              <w:t>b</w:t>
            </w:r>
            <w:r>
              <w:rPr>
                <w:rFonts w:ascii="仿宋" w:hAnsi="仿宋" w:eastAsia="仿宋" w:cs="宋体"/>
                <w:color w:val="000000"/>
                <w:sz w:val="24"/>
                <w:szCs w:val="22"/>
              </w:rPr>
              <w:t>、I</w:t>
            </w:r>
            <w:r>
              <w:rPr>
                <w:rFonts w:hint="eastAsia" w:ascii="仿宋" w:hAnsi="仿宋" w:eastAsia="仿宋" w:cs="宋体"/>
                <w:color w:val="000000"/>
                <w:sz w:val="24"/>
                <w:szCs w:val="22"/>
              </w:rPr>
              <w:t>c、P、Q、</w:t>
            </w:r>
            <w:r>
              <w:rPr>
                <w:rFonts w:ascii="仿宋" w:hAnsi="仿宋" w:eastAsia="仿宋" w:cs="宋体"/>
                <w:color w:val="000000"/>
                <w:sz w:val="24"/>
                <w:szCs w:val="22"/>
              </w:rPr>
              <w:t>cosφ</w:t>
            </w:r>
            <w:r>
              <w:rPr>
                <w:rFonts w:hint="eastAsia" w:ascii="仿宋" w:hAnsi="仿宋" w:eastAsia="仿宋" w:cs="宋体"/>
                <w:color w:val="000000"/>
                <w:sz w:val="24"/>
                <w:szCs w:val="22"/>
              </w:rPr>
              <w:t>；</w:t>
            </w:r>
          </w:p>
        </w:tc>
        <w:tc>
          <w:tcPr>
            <w:tcW w:w="1417" w:type="dxa"/>
            <w:noWrap w:val="0"/>
            <w:vAlign w:val="center"/>
          </w:tcPr>
          <w:p w14:paraId="7D785053">
            <w:pPr>
              <w:spacing w:line="360" w:lineRule="auto"/>
              <w:rPr>
                <w:rFonts w:ascii="仿宋" w:hAnsi="仿宋" w:eastAsia="仿宋" w:cs="宋体"/>
                <w:color w:val="000000"/>
                <w:sz w:val="24"/>
                <w:szCs w:val="22"/>
              </w:rPr>
            </w:pPr>
            <w:r>
              <w:rPr>
                <w:rFonts w:hint="eastAsia" w:ascii="仿宋" w:hAnsi="仿宋" w:eastAsia="仿宋" w:cs="宋体"/>
                <w:color w:val="000000"/>
                <w:sz w:val="24"/>
                <w:szCs w:val="22"/>
              </w:rPr>
              <w:t>远动装置</w:t>
            </w:r>
          </w:p>
        </w:tc>
      </w:tr>
      <w:tr w14:paraId="3BBA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 w:type="dxa"/>
            <w:noWrap w:val="0"/>
            <w:vAlign w:val="center"/>
          </w:tcPr>
          <w:p w14:paraId="58BAFF73">
            <w:pPr>
              <w:spacing w:line="360" w:lineRule="auto"/>
              <w:jc w:val="center"/>
              <w:rPr>
                <w:rFonts w:ascii="仿宋" w:hAnsi="仿宋" w:eastAsia="仿宋" w:cs="宋体"/>
                <w:color w:val="000000"/>
                <w:sz w:val="24"/>
                <w:szCs w:val="22"/>
              </w:rPr>
            </w:pPr>
            <w:r>
              <w:rPr>
                <w:rFonts w:hint="eastAsia" w:ascii="仿宋" w:hAnsi="仿宋" w:eastAsia="仿宋" w:cs="宋体"/>
                <w:color w:val="000000"/>
                <w:sz w:val="24"/>
                <w:szCs w:val="22"/>
              </w:rPr>
              <w:t>遥信信息</w:t>
            </w:r>
          </w:p>
        </w:tc>
        <w:tc>
          <w:tcPr>
            <w:tcW w:w="6898" w:type="dxa"/>
            <w:noWrap w:val="0"/>
            <w:vAlign w:val="center"/>
          </w:tcPr>
          <w:p w14:paraId="70A778F0">
            <w:pPr>
              <w:spacing w:line="360" w:lineRule="auto"/>
              <w:rPr>
                <w:rFonts w:ascii="仿宋" w:hAnsi="仿宋" w:eastAsia="仿宋" w:cs="宋体"/>
                <w:color w:val="000000"/>
                <w:sz w:val="24"/>
                <w:szCs w:val="22"/>
              </w:rPr>
            </w:pPr>
            <w:r>
              <w:rPr>
                <w:rFonts w:hint="eastAsia" w:ascii="仿宋" w:hAnsi="仿宋" w:eastAsia="仿宋" w:cs="宋体"/>
                <w:color w:val="000000"/>
                <w:sz w:val="24"/>
                <w:szCs w:val="22"/>
              </w:rPr>
              <w:t>主变低压侧开关（含1</w:t>
            </w:r>
            <w:r>
              <w:rPr>
                <w:rFonts w:ascii="仿宋" w:hAnsi="仿宋" w:eastAsia="仿宋" w:cs="宋体"/>
                <w:color w:val="000000"/>
                <w:sz w:val="24"/>
                <w:szCs w:val="22"/>
              </w:rPr>
              <w:t>0kV</w:t>
            </w:r>
            <w:r>
              <w:rPr>
                <w:rFonts w:hint="eastAsia" w:ascii="仿宋" w:hAnsi="仿宋" w:eastAsia="仿宋" w:cs="宋体"/>
                <w:color w:val="000000"/>
                <w:sz w:val="24"/>
                <w:szCs w:val="22"/>
              </w:rPr>
              <w:t>进线及母联）及以上所有断路器的分合位置、刀闸（含地刀）分合位置</w:t>
            </w:r>
          </w:p>
          <w:p w14:paraId="5BEE54E5">
            <w:pPr>
              <w:spacing w:line="360" w:lineRule="auto"/>
              <w:ind w:firstLine="240" w:firstLineChars="100"/>
              <w:rPr>
                <w:rFonts w:ascii="仿宋" w:hAnsi="仿宋" w:eastAsia="仿宋" w:cs="宋体"/>
                <w:color w:val="000000"/>
                <w:sz w:val="24"/>
                <w:szCs w:val="22"/>
              </w:rPr>
            </w:pPr>
            <w:r>
              <w:rPr>
                <w:rFonts w:hint="eastAsia" w:ascii="仿宋" w:hAnsi="仿宋" w:eastAsia="仿宋" w:cs="宋体"/>
                <w:color w:val="000000"/>
                <w:sz w:val="24"/>
                <w:szCs w:val="22"/>
              </w:rPr>
              <w:t>事故总信息：</w:t>
            </w:r>
          </w:p>
          <w:p w14:paraId="7BC339CA">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1.涉网</w:t>
            </w:r>
            <w:r>
              <w:rPr>
                <w:rFonts w:ascii="仿宋" w:hAnsi="仿宋" w:eastAsia="仿宋" w:cs="宋体"/>
                <w:color w:val="000000"/>
                <w:sz w:val="24"/>
                <w:szCs w:val="22"/>
              </w:rPr>
              <w:t>断路器事故跳闸（保护动作跳闸、非手动分闸）</w:t>
            </w:r>
            <w:r>
              <w:rPr>
                <w:rFonts w:hint="eastAsia" w:ascii="仿宋" w:hAnsi="仿宋" w:eastAsia="仿宋" w:cs="宋体"/>
                <w:color w:val="000000"/>
                <w:sz w:val="24"/>
                <w:szCs w:val="22"/>
              </w:rPr>
              <w:t>；</w:t>
            </w:r>
          </w:p>
          <w:p w14:paraId="7A88AB93">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2.</w:t>
            </w:r>
            <w:r>
              <w:rPr>
                <w:rFonts w:ascii="仿宋" w:hAnsi="仿宋" w:eastAsia="仿宋" w:cs="宋体"/>
                <w:color w:val="000000"/>
                <w:sz w:val="24"/>
                <w:szCs w:val="22"/>
              </w:rPr>
              <w:t>主保护/后备保护动作</w:t>
            </w:r>
            <w:r>
              <w:rPr>
                <w:rFonts w:hint="eastAsia" w:ascii="仿宋" w:hAnsi="仿宋" w:eastAsia="仿宋" w:cs="宋体"/>
                <w:color w:val="000000"/>
                <w:sz w:val="24"/>
                <w:szCs w:val="22"/>
              </w:rPr>
              <w:t>（</w:t>
            </w:r>
            <w:r>
              <w:rPr>
                <w:rFonts w:ascii="仿宋" w:hAnsi="仿宋" w:eastAsia="仿宋" w:cs="宋体"/>
                <w:color w:val="000000"/>
                <w:sz w:val="24"/>
                <w:szCs w:val="22"/>
              </w:rPr>
              <w:t>差动保护</w:t>
            </w:r>
            <w:r>
              <w:rPr>
                <w:rFonts w:hint="eastAsia" w:ascii="仿宋" w:hAnsi="仿宋" w:eastAsia="仿宋" w:cs="宋体"/>
                <w:color w:val="000000"/>
                <w:sz w:val="24"/>
                <w:szCs w:val="22"/>
              </w:rPr>
              <w:t>、</w:t>
            </w:r>
            <w:r>
              <w:rPr>
                <w:rFonts w:ascii="仿宋" w:hAnsi="仿宋" w:eastAsia="仿宋" w:cs="宋体"/>
                <w:color w:val="000000"/>
                <w:sz w:val="24"/>
                <w:szCs w:val="22"/>
              </w:rPr>
              <w:t>距离保护</w:t>
            </w:r>
            <w:r>
              <w:rPr>
                <w:rFonts w:hint="eastAsia" w:ascii="仿宋" w:hAnsi="仿宋" w:eastAsia="仿宋" w:cs="宋体"/>
                <w:color w:val="000000"/>
                <w:sz w:val="24"/>
                <w:szCs w:val="22"/>
              </w:rPr>
              <w:t>、</w:t>
            </w:r>
            <w:r>
              <w:rPr>
                <w:rFonts w:ascii="仿宋" w:hAnsi="仿宋" w:eastAsia="仿宋" w:cs="宋体"/>
                <w:color w:val="000000"/>
                <w:sz w:val="24"/>
                <w:szCs w:val="22"/>
              </w:rPr>
              <w:t>零序保护</w:t>
            </w:r>
            <w:r>
              <w:rPr>
                <w:rFonts w:hint="eastAsia" w:ascii="仿宋" w:hAnsi="仿宋" w:eastAsia="仿宋" w:cs="宋体"/>
                <w:color w:val="000000"/>
                <w:sz w:val="24"/>
                <w:szCs w:val="22"/>
              </w:rPr>
              <w:t>、</w:t>
            </w:r>
            <w:r>
              <w:rPr>
                <w:rFonts w:ascii="仿宋" w:hAnsi="仿宋" w:eastAsia="仿宋" w:cs="宋体"/>
                <w:color w:val="000000"/>
                <w:sz w:val="24"/>
                <w:szCs w:val="22"/>
              </w:rPr>
              <w:t>过流保护等</w:t>
            </w:r>
            <w:r>
              <w:rPr>
                <w:rFonts w:hint="eastAsia" w:ascii="仿宋" w:hAnsi="仿宋" w:eastAsia="仿宋" w:cs="宋体"/>
                <w:color w:val="000000"/>
                <w:sz w:val="24"/>
                <w:szCs w:val="22"/>
              </w:rPr>
              <w:t>）；</w:t>
            </w:r>
          </w:p>
          <w:p w14:paraId="12E98C6B">
            <w:pPr>
              <w:spacing w:line="360" w:lineRule="auto"/>
              <w:ind w:firstLine="480" w:firstLineChars="200"/>
              <w:rPr>
                <w:rFonts w:ascii="仿宋" w:hAnsi="仿宋" w:eastAsia="仿宋" w:cs="宋体"/>
                <w:color w:val="000000"/>
                <w:sz w:val="24"/>
                <w:szCs w:val="22"/>
              </w:rPr>
            </w:pPr>
            <w:r>
              <w:rPr>
                <w:rFonts w:hint="eastAsia" w:ascii="仿宋" w:hAnsi="仿宋" w:eastAsia="仿宋" w:cs="宋体"/>
                <w:color w:val="000000"/>
                <w:sz w:val="24"/>
                <w:szCs w:val="22"/>
              </w:rPr>
              <w:t>3.</w:t>
            </w:r>
            <w:r>
              <w:rPr>
                <w:rFonts w:ascii="仿宋" w:hAnsi="仿宋" w:eastAsia="仿宋" w:cs="宋体"/>
                <w:color w:val="000000"/>
                <w:sz w:val="24"/>
                <w:szCs w:val="22"/>
              </w:rPr>
              <w:t>重合闸动作</w:t>
            </w:r>
            <w:r>
              <w:rPr>
                <w:rFonts w:hint="eastAsia" w:ascii="仿宋" w:hAnsi="仿宋" w:eastAsia="仿宋" w:cs="宋体"/>
                <w:color w:val="000000"/>
                <w:sz w:val="24"/>
                <w:szCs w:val="22"/>
              </w:rPr>
              <w:t>信息。</w:t>
            </w:r>
          </w:p>
        </w:tc>
        <w:tc>
          <w:tcPr>
            <w:tcW w:w="1417" w:type="dxa"/>
            <w:noWrap w:val="0"/>
            <w:vAlign w:val="center"/>
          </w:tcPr>
          <w:p w14:paraId="260E420B">
            <w:pPr>
              <w:spacing w:line="360" w:lineRule="auto"/>
              <w:rPr>
                <w:rFonts w:ascii="仿宋" w:hAnsi="仿宋" w:eastAsia="仿宋" w:cs="宋体"/>
                <w:color w:val="000000"/>
                <w:sz w:val="24"/>
                <w:szCs w:val="22"/>
              </w:rPr>
            </w:pPr>
            <w:r>
              <w:rPr>
                <w:rFonts w:hint="eastAsia" w:ascii="仿宋" w:hAnsi="仿宋" w:eastAsia="仿宋" w:cs="宋体"/>
                <w:color w:val="000000"/>
                <w:sz w:val="24"/>
                <w:szCs w:val="22"/>
              </w:rPr>
              <w:t>远动装置</w:t>
            </w:r>
          </w:p>
        </w:tc>
      </w:tr>
    </w:tbl>
    <w:p w14:paraId="17EF580A">
      <w:pPr>
        <w:spacing w:line="360" w:lineRule="auto"/>
        <w:rPr>
          <w:rFonts w:hint="eastAsia" w:ascii="宋体" w:hAnsi="宋体" w:eastAsia="宋体" w:cs="宋体"/>
          <w:b/>
          <w:color w:val="000000"/>
          <w:sz w:val="21"/>
          <w:szCs w:val="21"/>
        </w:rPr>
      </w:pPr>
      <w:r>
        <w:rPr>
          <w:rFonts w:hint="eastAsia" w:ascii="宋体" w:hAnsi="宋体" w:eastAsia="宋体" w:cs="宋体"/>
          <w:b/>
          <w:color w:val="000000"/>
          <w:sz w:val="21"/>
          <w:szCs w:val="21"/>
        </w:rPr>
        <w:t>备注：以上涉及“四可”所采集信息包含但不限于，最终以满足国网济南市供电公司“四可”及通讯需求为主。</w:t>
      </w:r>
    </w:p>
    <w:p w14:paraId="4BB890C5">
      <w:pPr>
        <w:spacing w:line="360" w:lineRule="auto"/>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ascii="宋体" w:hAnsi="宋体" w:eastAsia="宋体" w:cs="宋体"/>
          <w:color w:val="000000"/>
          <w:sz w:val="24"/>
          <w:szCs w:val="22"/>
        </w:rPr>
        <w:t>.2.2</w:t>
      </w:r>
      <w:r>
        <w:rPr>
          <w:rFonts w:hint="eastAsia" w:ascii="宋体" w:hAnsi="宋体" w:eastAsia="宋体" w:cs="宋体"/>
          <w:color w:val="000000"/>
          <w:sz w:val="24"/>
          <w:szCs w:val="22"/>
        </w:rPr>
        <w:t>在厂内主控室内，在“综合测控屏”新增一台“5G纵向加密融合通信网关机”（占用1U空间），用于数据远传。为保障无线信号稳定，将5G纵向加密融合通信网关天线引出至屏柜外侧、固定。新增网关设备之后确保整体柜内通风散热需求。</w:t>
      </w:r>
    </w:p>
    <w:p w14:paraId="09E00A3E">
      <w:pPr>
        <w:spacing w:line="360" w:lineRule="auto"/>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ascii="宋体" w:hAnsi="宋体" w:eastAsia="宋体" w:cs="宋体"/>
          <w:color w:val="000000"/>
          <w:sz w:val="24"/>
          <w:szCs w:val="22"/>
        </w:rPr>
        <w:t>.2.3</w:t>
      </w:r>
      <w:r>
        <w:rPr>
          <w:rFonts w:hint="eastAsia" w:ascii="宋体" w:hAnsi="宋体" w:eastAsia="宋体" w:cs="宋体"/>
          <w:color w:val="000000"/>
          <w:sz w:val="24"/>
          <w:szCs w:val="22"/>
        </w:rPr>
        <w:t>从“综合测控屏”敷设1根网线至该屏内的“通讯服务器”（约1米）、敷设1根网线至“综合测控屏（二）”的“通讯服务器”（约5米），用于新增装置与远动装置通讯。</w:t>
      </w:r>
    </w:p>
    <w:p w14:paraId="1215B79E">
      <w:pPr>
        <w:spacing w:line="360" w:lineRule="auto"/>
        <w:rPr>
          <w:rFonts w:hint="eastAsia" w:ascii="宋体" w:hAnsi="宋体" w:eastAsia="宋体" w:cs="宋体"/>
          <w:color w:val="000000"/>
          <w:sz w:val="24"/>
          <w:szCs w:val="22"/>
        </w:rPr>
      </w:pPr>
      <w:r>
        <w:rPr>
          <w:rFonts w:ascii="宋体" w:hAnsi="宋体" w:eastAsia="宋体" w:cs="宋体"/>
          <w:color w:val="000000"/>
          <w:sz w:val="24"/>
          <w:szCs w:val="22"/>
        </w:rPr>
        <w:t xml:space="preserve">3.2.4 </w:t>
      </w:r>
      <w:r>
        <w:rPr>
          <w:rFonts w:hint="eastAsia" w:ascii="宋体" w:hAnsi="宋体" w:eastAsia="宋体" w:cs="宋体"/>
          <w:color w:val="000000"/>
          <w:sz w:val="24"/>
          <w:szCs w:val="22"/>
        </w:rPr>
        <w:t>新增装置从屏柜内取电，需新增空开1个（品牌：A</w:t>
      </w:r>
      <w:r>
        <w:rPr>
          <w:rFonts w:ascii="宋体" w:hAnsi="宋体" w:eastAsia="宋体" w:cs="宋体"/>
          <w:color w:val="000000"/>
          <w:sz w:val="24"/>
          <w:szCs w:val="22"/>
        </w:rPr>
        <w:t>BB/</w:t>
      </w:r>
      <w:r>
        <w:rPr>
          <w:rFonts w:hint="eastAsia" w:ascii="宋体" w:hAnsi="宋体" w:eastAsia="宋体" w:cs="宋体"/>
          <w:color w:val="000000"/>
          <w:sz w:val="24"/>
          <w:szCs w:val="22"/>
        </w:rPr>
        <w:t>施耐德/西门子，额定电流满足设备需求）。</w:t>
      </w:r>
    </w:p>
    <w:p w14:paraId="405EAD3A">
      <w:pPr>
        <w:spacing w:line="360" w:lineRule="auto"/>
        <w:rPr>
          <w:rFonts w:hint="eastAsia" w:ascii="宋体" w:hAnsi="宋体" w:eastAsia="宋体" w:cs="宋体"/>
          <w:color w:val="000000"/>
          <w:sz w:val="24"/>
          <w:szCs w:val="22"/>
        </w:rPr>
      </w:pPr>
      <w:r>
        <w:rPr>
          <w:rFonts w:ascii="宋体" w:hAnsi="宋体" w:eastAsia="宋体" w:cs="宋体"/>
          <w:color w:val="000000"/>
          <w:sz w:val="24"/>
          <w:szCs w:val="22"/>
        </w:rPr>
        <w:t>3.2.5</w:t>
      </w:r>
      <w:r>
        <w:rPr>
          <w:rFonts w:hint="eastAsia" w:ascii="宋体" w:hAnsi="宋体" w:eastAsia="宋体" w:cs="宋体"/>
          <w:color w:val="000000"/>
          <w:sz w:val="24"/>
          <w:szCs w:val="22"/>
        </w:rPr>
        <w:t>向下对接：</w:t>
      </w:r>
    </w:p>
    <w:p w14:paraId="01B65874">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纵向加密融合通信网关对下通过103/104/modbus协议与通讯服务器通信。网线接通后，与现有通讯服务器做网络通讯和点表对接。</w:t>
      </w:r>
    </w:p>
    <w:p w14:paraId="5D1CB22C">
      <w:pPr>
        <w:spacing w:line="360" w:lineRule="auto"/>
        <w:rPr>
          <w:rFonts w:hint="eastAsia" w:ascii="宋体" w:hAnsi="宋体" w:eastAsia="宋体" w:cs="宋体"/>
          <w:color w:val="000000"/>
          <w:sz w:val="24"/>
          <w:szCs w:val="22"/>
        </w:rPr>
      </w:pPr>
      <w:r>
        <w:rPr>
          <w:rFonts w:ascii="宋体" w:hAnsi="宋体" w:eastAsia="宋体" w:cs="宋体"/>
          <w:color w:val="000000"/>
          <w:sz w:val="24"/>
          <w:szCs w:val="22"/>
          <w:highlight w:val="none"/>
        </w:rPr>
        <w:t>3.</w:t>
      </w:r>
      <w:r>
        <w:rPr>
          <w:rFonts w:hint="eastAsia" w:ascii="宋体" w:hAnsi="宋体" w:cs="宋体"/>
          <w:color w:val="000000"/>
          <w:sz w:val="24"/>
          <w:szCs w:val="22"/>
          <w:highlight w:val="none"/>
          <w:lang w:val="en-US" w:eastAsia="zh-CN"/>
        </w:rPr>
        <w:t>2</w:t>
      </w:r>
      <w:r>
        <w:rPr>
          <w:rFonts w:ascii="宋体" w:hAnsi="宋体" w:eastAsia="宋体" w:cs="宋体"/>
          <w:color w:val="000000"/>
          <w:sz w:val="24"/>
          <w:szCs w:val="22"/>
          <w:highlight w:val="none"/>
        </w:rPr>
        <w:t>.</w:t>
      </w:r>
      <w:r>
        <w:rPr>
          <w:rFonts w:hint="eastAsia" w:ascii="宋体" w:hAnsi="宋体" w:cs="宋体"/>
          <w:color w:val="000000"/>
          <w:sz w:val="24"/>
          <w:szCs w:val="22"/>
          <w:highlight w:val="none"/>
          <w:lang w:val="en-US" w:eastAsia="zh-CN"/>
        </w:rPr>
        <w:t>6</w:t>
      </w:r>
      <w:r>
        <w:rPr>
          <w:rFonts w:hint="eastAsia" w:ascii="宋体" w:hAnsi="宋体" w:eastAsia="宋体" w:cs="宋体"/>
          <w:color w:val="000000"/>
          <w:sz w:val="24"/>
          <w:szCs w:val="22"/>
        </w:rPr>
        <w:t>向上对接：与济南地调对接传输协议（104规约）、地调自动化班维护数据库信息及拓扑图。</w:t>
      </w:r>
    </w:p>
    <w:p w14:paraId="2366F753">
      <w:pPr>
        <w:spacing w:line="360" w:lineRule="auto"/>
        <w:ind w:firstLine="240" w:firstLineChars="100"/>
        <w:rPr>
          <w:rFonts w:ascii="宋体" w:hAnsi="宋体" w:eastAsia="宋体" w:cs="宋体"/>
          <w:color w:val="000000"/>
          <w:sz w:val="24"/>
          <w:szCs w:val="22"/>
        </w:rPr>
      </w:pPr>
      <w:r>
        <w:rPr>
          <w:rFonts w:hint="eastAsia" w:ascii="宋体" w:hAnsi="宋体" w:eastAsia="宋体" w:cs="宋体"/>
          <w:color w:val="000000"/>
          <w:sz w:val="24"/>
          <w:szCs w:val="22"/>
        </w:rPr>
        <w:t>对外传输：由投标方协调县调及地调联系所需5G设备流量卡。</w:t>
      </w:r>
    </w:p>
    <w:p w14:paraId="297F6ECE">
      <w:pPr>
        <w:spacing w:line="360" w:lineRule="auto"/>
        <w:ind w:firstLine="424" w:firstLineChars="176"/>
        <w:rPr>
          <w:rFonts w:hint="eastAsia" w:ascii="宋体" w:hAnsi="宋体" w:eastAsia="宋体" w:cs="宋体"/>
          <w:color w:val="000000"/>
          <w:sz w:val="24"/>
          <w:szCs w:val="22"/>
        </w:rPr>
      </w:pPr>
      <w:r>
        <w:rPr>
          <w:rFonts w:hint="eastAsia" w:ascii="宋体" w:hAnsi="宋体" w:eastAsia="宋体" w:cs="宋体"/>
          <w:b/>
          <w:bCs/>
          <w:color w:val="000000"/>
          <w:sz w:val="24"/>
          <w:szCs w:val="22"/>
          <w:highlight w:val="none"/>
        </w:rPr>
        <w:t>3.</w:t>
      </w:r>
      <w:r>
        <w:rPr>
          <w:rFonts w:hint="eastAsia" w:ascii="宋体" w:hAnsi="宋体" w:cs="宋体"/>
          <w:b/>
          <w:bCs/>
          <w:color w:val="000000"/>
          <w:sz w:val="24"/>
          <w:szCs w:val="22"/>
          <w:highlight w:val="none"/>
          <w:lang w:val="en-US" w:eastAsia="zh-CN"/>
        </w:rPr>
        <w:t>3</w:t>
      </w:r>
      <w:r>
        <w:rPr>
          <w:rFonts w:hint="eastAsia" w:ascii="宋体" w:hAnsi="宋体" w:eastAsia="宋体" w:cs="宋体"/>
          <w:b/>
          <w:bCs/>
          <w:color w:val="000000"/>
          <w:sz w:val="24"/>
          <w:szCs w:val="22"/>
        </w:rPr>
        <w:t>程序图纸要求</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3</w:t>
      </w:r>
      <w:r>
        <w:rPr>
          <w:rFonts w:hint="eastAsia" w:ascii="宋体" w:hAnsi="宋体" w:eastAsia="宋体" w:cs="宋体"/>
          <w:color w:val="000000"/>
          <w:sz w:val="24"/>
          <w:szCs w:val="22"/>
        </w:rPr>
        <w:t>.1 投标方必须提供所有设备程序的源代码（涉及的），包括但不限于 PLC程序、HMI 程序、机器人程序、视觉程序、伺服等。</w:t>
      </w:r>
      <w:r>
        <w:rPr>
          <w:rFonts w:hint="eastAsia" w:ascii="宋体" w:hAnsi="宋体" w:eastAsia="宋体" w:cs="宋体"/>
          <w:color w:val="000000"/>
          <w:sz w:val="24"/>
          <w:szCs w:val="22"/>
        </w:rPr>
        <w:br w:type="textWrapping"/>
      </w:r>
      <w:r>
        <w:rPr>
          <w:rFonts w:hint="eastAsia" w:ascii="宋体" w:hAnsi="宋体" w:eastAsia="宋体" w:cs="宋体"/>
          <w:color w:val="000000"/>
          <w:sz w:val="24"/>
          <w:szCs w:val="22"/>
        </w:rPr>
        <w:t xml:space="preserve">    </w:t>
      </w:r>
      <w:r>
        <w:rPr>
          <w:rFonts w:hint="eastAsia" w:ascii="宋体" w:hAnsi="宋体" w:cs="宋体"/>
          <w:color w:val="000000"/>
          <w:sz w:val="24"/>
          <w:szCs w:val="22"/>
          <w:lang w:val="en-US" w:eastAsia="zh-CN"/>
        </w:rPr>
        <w:t xml:space="preserve"> </w:t>
      </w: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3</w:t>
      </w:r>
      <w:r>
        <w:rPr>
          <w:rFonts w:hint="eastAsia" w:ascii="宋体" w:hAnsi="宋体" w:eastAsia="宋体" w:cs="宋体"/>
          <w:color w:val="000000"/>
          <w:sz w:val="24"/>
          <w:szCs w:val="22"/>
        </w:rPr>
        <w:t xml:space="preserve">.2 </w:t>
      </w:r>
      <w:r>
        <w:rPr>
          <w:rFonts w:hint="eastAsia" w:ascii="宋体" w:hAnsi="宋体" w:eastAsia="宋体" w:cs="Times New Roman"/>
          <w:color w:val="000000"/>
          <w:sz w:val="24"/>
          <w:szCs w:val="24"/>
        </w:rPr>
        <w:t>投标方所提供的程序不得设置任何密码、保护等限制手段，PLC 不得设置修改下载权限，功能块不得设置密码保护。</w:t>
      </w:r>
      <w:r>
        <w:rPr>
          <w:rFonts w:hint="eastAsia" w:ascii="宋体" w:hAnsi="宋体" w:eastAsia="宋体" w:cs="宋体"/>
          <w:color w:val="000000"/>
          <w:sz w:val="24"/>
          <w:szCs w:val="22"/>
        </w:rPr>
        <w:br w:type="textWrapping"/>
      </w:r>
      <w:r>
        <w:rPr>
          <w:rFonts w:hint="eastAsia" w:ascii="宋体" w:hAnsi="宋体" w:eastAsia="宋体" w:cs="宋体"/>
          <w:color w:val="000000"/>
          <w:sz w:val="24"/>
          <w:szCs w:val="22"/>
        </w:rPr>
        <w:t xml:space="preserve">    3.</w:t>
      </w:r>
      <w:r>
        <w:rPr>
          <w:rFonts w:hint="eastAsia" w:ascii="宋体" w:hAnsi="宋体" w:cs="宋体"/>
          <w:color w:val="000000"/>
          <w:sz w:val="24"/>
          <w:szCs w:val="22"/>
          <w:lang w:val="en-US" w:eastAsia="zh-CN"/>
        </w:rPr>
        <w:t>3</w:t>
      </w:r>
      <w:r>
        <w:rPr>
          <w:rFonts w:hint="eastAsia" w:ascii="宋体" w:hAnsi="宋体" w:eastAsia="宋体" w:cs="宋体"/>
          <w:color w:val="000000"/>
          <w:sz w:val="24"/>
          <w:szCs w:val="22"/>
        </w:rPr>
        <w:t>.3 HMI 界面等需要密码保护的程序，</w:t>
      </w:r>
      <w:r>
        <w:rPr>
          <w:rFonts w:hint="eastAsia" w:ascii="宋体" w:hAnsi="宋体" w:eastAsia="宋体" w:cs="Times New Roman"/>
          <w:color w:val="000000"/>
          <w:sz w:val="24"/>
          <w:szCs w:val="24"/>
        </w:rPr>
        <w:t>投标方</w:t>
      </w:r>
      <w:r>
        <w:rPr>
          <w:rFonts w:hint="eastAsia" w:ascii="宋体" w:hAnsi="宋体" w:eastAsia="宋体" w:cs="宋体"/>
          <w:color w:val="000000"/>
          <w:sz w:val="24"/>
          <w:szCs w:val="22"/>
        </w:rPr>
        <w:t>必须提供所有级别的用户名、密码。</w:t>
      </w:r>
      <w:r>
        <w:rPr>
          <w:rFonts w:hint="eastAsia" w:ascii="宋体" w:hAnsi="宋体" w:eastAsia="宋体" w:cs="宋体"/>
          <w:color w:val="000000"/>
          <w:sz w:val="24"/>
          <w:szCs w:val="22"/>
        </w:rPr>
        <w:br w:type="textWrapping"/>
      </w:r>
      <w:r>
        <w:rPr>
          <w:rFonts w:hint="eastAsia" w:ascii="宋体" w:hAnsi="宋体" w:eastAsia="宋体" w:cs="宋体"/>
          <w:color w:val="000000"/>
          <w:sz w:val="24"/>
          <w:szCs w:val="22"/>
        </w:rPr>
        <w:t xml:space="preserve">    3.</w:t>
      </w:r>
      <w:r>
        <w:rPr>
          <w:rFonts w:hint="eastAsia" w:ascii="宋体" w:hAnsi="宋体" w:cs="宋体"/>
          <w:color w:val="000000"/>
          <w:sz w:val="24"/>
          <w:szCs w:val="22"/>
          <w:lang w:val="en-US" w:eastAsia="zh-CN"/>
        </w:rPr>
        <w:t>3</w:t>
      </w:r>
      <w:r>
        <w:rPr>
          <w:rFonts w:hint="eastAsia" w:ascii="宋体" w:hAnsi="宋体" w:eastAsia="宋体" w:cs="宋体"/>
          <w:color w:val="000000"/>
          <w:sz w:val="24"/>
          <w:szCs w:val="22"/>
        </w:rPr>
        <w:t xml:space="preserve">.4 </w:t>
      </w:r>
      <w:r>
        <w:rPr>
          <w:rFonts w:hint="eastAsia" w:ascii="宋体" w:hAnsi="宋体" w:eastAsia="宋体" w:cs="Times New Roman"/>
          <w:color w:val="000000"/>
          <w:sz w:val="24"/>
          <w:szCs w:val="24"/>
        </w:rPr>
        <w:t>投标方</w:t>
      </w:r>
      <w:r>
        <w:rPr>
          <w:rFonts w:hint="eastAsia" w:ascii="宋体" w:hAnsi="宋体" w:eastAsia="宋体" w:cs="宋体"/>
          <w:color w:val="000000"/>
          <w:sz w:val="24"/>
          <w:szCs w:val="22"/>
        </w:rPr>
        <w:t>在设备入场前提供设备程序源码，HMI 界面各级用户名和密码，并保证与现场程序一致。</w:t>
      </w:r>
      <w:r>
        <w:rPr>
          <w:rFonts w:hint="eastAsia" w:ascii="宋体" w:hAnsi="宋体" w:eastAsia="宋体" w:cs="宋体"/>
          <w:color w:val="000000"/>
          <w:sz w:val="24"/>
          <w:szCs w:val="22"/>
        </w:rPr>
        <w:br w:type="textWrapping"/>
      </w:r>
      <w:r>
        <w:rPr>
          <w:rFonts w:hint="eastAsia" w:ascii="宋体" w:hAnsi="宋体" w:eastAsia="宋体" w:cs="宋体"/>
          <w:color w:val="000000"/>
          <w:sz w:val="24"/>
          <w:szCs w:val="22"/>
        </w:rPr>
        <w:t xml:space="preserve">    3.</w:t>
      </w:r>
      <w:r>
        <w:rPr>
          <w:rFonts w:hint="eastAsia" w:ascii="宋体" w:hAnsi="宋体" w:cs="宋体"/>
          <w:color w:val="000000"/>
          <w:sz w:val="24"/>
          <w:szCs w:val="22"/>
          <w:lang w:val="en-US" w:eastAsia="zh-CN"/>
        </w:rPr>
        <w:t>3</w:t>
      </w:r>
      <w:r>
        <w:rPr>
          <w:rFonts w:hint="eastAsia" w:ascii="宋体" w:hAnsi="宋体" w:eastAsia="宋体" w:cs="宋体"/>
          <w:color w:val="000000"/>
          <w:sz w:val="24"/>
          <w:szCs w:val="22"/>
        </w:rPr>
        <w:t xml:space="preserve">.5 </w:t>
      </w:r>
      <w:r>
        <w:rPr>
          <w:rFonts w:hint="eastAsia" w:ascii="宋体" w:hAnsi="宋体" w:eastAsia="宋体" w:cs="Times New Roman"/>
          <w:color w:val="000000"/>
          <w:sz w:val="24"/>
          <w:szCs w:val="24"/>
        </w:rPr>
        <w:t>投标方</w:t>
      </w:r>
      <w:r>
        <w:rPr>
          <w:rFonts w:hint="eastAsia" w:ascii="宋体" w:hAnsi="宋体" w:eastAsia="宋体" w:cs="宋体"/>
          <w:color w:val="000000"/>
          <w:sz w:val="24"/>
          <w:szCs w:val="22"/>
        </w:rPr>
        <w:t>在终验收前提供最新的设备程序源码、电气及易损机械元件图纸，图纸要求为可编辑原格式（EPLAN、CAD 格式）且与现场实物一致。</w:t>
      </w:r>
    </w:p>
    <w:p w14:paraId="3CF88919">
      <w:pPr>
        <w:keepNext w:val="0"/>
        <w:keepLines w:val="0"/>
        <w:widowControl w:val="0"/>
        <w:spacing w:line="560" w:lineRule="exact"/>
        <w:jc w:val="both"/>
        <w:outlineLvl w:val="1"/>
        <w:rPr>
          <w:rFonts w:hint="eastAsia" w:ascii="宋体" w:hAnsi="宋体" w:eastAsia="宋体" w:cs="宋体"/>
          <w:b/>
          <w:bCs/>
          <w:color w:val="000000"/>
          <w:kern w:val="2"/>
          <w:sz w:val="24"/>
          <w:szCs w:val="22"/>
          <w:lang w:val="en-US" w:eastAsia="zh-CN" w:bidi="ar-SA"/>
        </w:rPr>
      </w:pPr>
      <w:r>
        <w:rPr>
          <w:rFonts w:hint="eastAsia" w:ascii="宋体" w:hAnsi="宋体" w:eastAsia="宋体" w:cs="宋体"/>
          <w:b/>
          <w:bCs/>
          <w:color w:val="000000"/>
          <w:kern w:val="2"/>
          <w:sz w:val="24"/>
          <w:szCs w:val="22"/>
          <w:lang w:val="en-US" w:eastAsia="zh-CN" w:bidi="ar-SA"/>
        </w:rPr>
        <w:t>3.</w:t>
      </w:r>
      <w:r>
        <w:rPr>
          <w:rFonts w:hint="eastAsia" w:ascii="宋体" w:hAnsi="宋体" w:cs="宋体"/>
          <w:b/>
          <w:bCs/>
          <w:color w:val="000000"/>
          <w:kern w:val="2"/>
          <w:sz w:val="24"/>
          <w:szCs w:val="22"/>
          <w:lang w:val="en-US" w:eastAsia="zh-CN" w:bidi="ar-SA"/>
        </w:rPr>
        <w:t>4</w:t>
      </w:r>
      <w:r>
        <w:rPr>
          <w:rFonts w:hint="eastAsia" w:ascii="宋体" w:hAnsi="宋体" w:eastAsia="宋体" w:cs="宋体"/>
          <w:b/>
          <w:bCs/>
          <w:color w:val="000000"/>
          <w:kern w:val="2"/>
          <w:sz w:val="24"/>
          <w:szCs w:val="22"/>
          <w:lang w:val="en-US" w:eastAsia="zh-CN" w:bidi="ar-SA"/>
        </w:rPr>
        <w:t>基础施工：</w:t>
      </w:r>
    </w:p>
    <w:p w14:paraId="1ED65EFB">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基础设计施工满足设备安装使用要求，利用原有控制屏进行改扩建。</w:t>
      </w:r>
    </w:p>
    <w:p w14:paraId="7A60B291">
      <w:pPr>
        <w:spacing w:line="360" w:lineRule="auto"/>
        <w:rPr>
          <w:rFonts w:hint="eastAsia" w:ascii="宋体" w:hAnsi="宋体" w:eastAsia="宋体" w:cs="宋体"/>
          <w:b/>
          <w:bCs/>
          <w:color w:val="000000"/>
          <w:sz w:val="24"/>
          <w:szCs w:val="22"/>
        </w:rPr>
      </w:pPr>
      <w:r>
        <w:rPr>
          <w:rFonts w:hint="eastAsia" w:ascii="宋体" w:hAnsi="宋体" w:eastAsia="宋体" w:cs="宋体"/>
          <w:b/>
          <w:bCs/>
          <w:color w:val="000000"/>
          <w:sz w:val="24"/>
          <w:szCs w:val="22"/>
        </w:rPr>
        <w:t>3.</w:t>
      </w:r>
      <w:r>
        <w:rPr>
          <w:rFonts w:hint="eastAsia" w:ascii="宋体" w:hAnsi="宋体" w:cs="宋体"/>
          <w:b/>
          <w:bCs/>
          <w:color w:val="000000"/>
          <w:sz w:val="24"/>
          <w:szCs w:val="22"/>
          <w:lang w:val="en-US" w:eastAsia="zh-CN"/>
        </w:rPr>
        <w:t>5</w:t>
      </w:r>
      <w:r>
        <w:rPr>
          <w:rFonts w:hint="eastAsia" w:ascii="宋体" w:hAnsi="宋体" w:eastAsia="宋体" w:cs="宋体"/>
          <w:b/>
          <w:bCs/>
          <w:color w:val="000000"/>
          <w:sz w:val="24"/>
          <w:szCs w:val="22"/>
        </w:rPr>
        <w:t>安全专篇：</w:t>
      </w:r>
    </w:p>
    <w:p w14:paraId="7FC39CB0">
      <w:pPr>
        <w:spacing w:line="360" w:lineRule="auto"/>
        <w:ind w:firstLine="480" w:firstLineChars="200"/>
        <w:rPr>
          <w:rFonts w:hint="eastAsia" w:ascii="宋体" w:hAnsi="宋体" w:eastAsia="宋体" w:cs="宋体"/>
          <w:color w:val="000000"/>
          <w:sz w:val="24"/>
          <w:szCs w:val="22"/>
        </w:rPr>
      </w:pPr>
      <w:bookmarkStart w:id="19" w:name="heading_1"/>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.1</w:t>
      </w:r>
      <w:r>
        <w:rPr>
          <w:rFonts w:hint="eastAsia" w:ascii="宋体" w:hAnsi="宋体" w:eastAsia="宋体" w:cs="宋体"/>
          <w:color w:val="000000"/>
          <w:sz w:val="24"/>
          <w:szCs w:val="24"/>
        </w:rPr>
        <w:t>相关法律法规</w:t>
      </w:r>
      <w:bookmarkEnd w:id="19"/>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5400"/>
        <w:gridCol w:w="2374"/>
      </w:tblGrid>
      <w:tr w14:paraId="15B8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1487FD5B">
            <w:pPr>
              <w:spacing w:line="360" w:lineRule="auto"/>
              <w:jc w:val="center"/>
              <w:rPr>
                <w:rFonts w:ascii="宋体" w:hAnsi="宋体" w:eastAsia="宋体" w:cs="宋体"/>
                <w:color w:val="000000"/>
                <w:sz w:val="24"/>
                <w:szCs w:val="22"/>
              </w:rPr>
            </w:pPr>
            <w:r>
              <w:rPr>
                <w:rFonts w:hint="eastAsia" w:ascii="宋体" w:hAnsi="宋体" w:eastAsia="宋体" w:cs="宋体"/>
                <w:b/>
                <w:color w:val="000000"/>
                <w:sz w:val="24"/>
                <w:szCs w:val="24"/>
              </w:rPr>
              <w:t>序号</w:t>
            </w:r>
          </w:p>
        </w:tc>
        <w:tc>
          <w:tcPr>
            <w:tcW w:w="5400" w:type="dxa"/>
            <w:noWrap w:val="0"/>
            <w:vAlign w:val="center"/>
          </w:tcPr>
          <w:p w14:paraId="64BB405B">
            <w:pPr>
              <w:spacing w:line="360" w:lineRule="auto"/>
              <w:jc w:val="center"/>
              <w:rPr>
                <w:rFonts w:ascii="宋体" w:hAnsi="宋体" w:eastAsia="宋体" w:cs="宋体"/>
                <w:b/>
                <w:color w:val="000000"/>
                <w:sz w:val="24"/>
                <w:szCs w:val="24"/>
              </w:rPr>
            </w:pPr>
            <w:r>
              <w:rPr>
                <w:rFonts w:hint="eastAsia" w:ascii="宋体" w:hAnsi="宋体" w:eastAsia="宋体" w:cs="宋体"/>
                <w:b/>
                <w:color w:val="000000"/>
                <w:sz w:val="24"/>
                <w:szCs w:val="24"/>
              </w:rPr>
              <w:t>标准名称</w:t>
            </w:r>
          </w:p>
        </w:tc>
        <w:tc>
          <w:tcPr>
            <w:tcW w:w="2374" w:type="dxa"/>
            <w:noWrap w:val="0"/>
            <w:vAlign w:val="center"/>
          </w:tcPr>
          <w:p w14:paraId="7BB8424E">
            <w:pPr>
              <w:spacing w:line="360" w:lineRule="auto"/>
              <w:jc w:val="center"/>
              <w:rPr>
                <w:rFonts w:ascii="宋体" w:hAnsi="宋体" w:eastAsia="宋体" w:cs="宋体"/>
                <w:b/>
                <w:color w:val="000000"/>
                <w:sz w:val="24"/>
                <w:szCs w:val="24"/>
              </w:rPr>
            </w:pPr>
            <w:r>
              <w:rPr>
                <w:rFonts w:hint="eastAsia" w:ascii="宋体" w:hAnsi="宋体" w:eastAsia="宋体" w:cs="宋体"/>
                <w:b/>
                <w:color w:val="000000"/>
                <w:sz w:val="24"/>
                <w:szCs w:val="24"/>
              </w:rPr>
              <w:t>标准编号</w:t>
            </w:r>
          </w:p>
        </w:tc>
      </w:tr>
      <w:tr w14:paraId="0A21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3D3091DD">
            <w:pPr>
              <w:spacing w:line="360" w:lineRule="auto"/>
              <w:ind w:firstLine="240" w:firstLineChars="100"/>
              <w:rPr>
                <w:rFonts w:ascii="宋体" w:hAnsi="宋体" w:eastAsia="宋体" w:cs="宋体"/>
                <w:color w:val="000000"/>
                <w:sz w:val="24"/>
                <w:szCs w:val="22"/>
              </w:rPr>
            </w:pPr>
            <w:r>
              <w:rPr>
                <w:rFonts w:hint="eastAsia" w:ascii="宋体" w:hAnsi="宋体" w:eastAsia="宋体" w:cs="宋体"/>
                <w:color w:val="000000"/>
                <w:sz w:val="24"/>
                <w:szCs w:val="22"/>
              </w:rPr>
              <w:t>1</w:t>
            </w:r>
          </w:p>
        </w:tc>
        <w:tc>
          <w:tcPr>
            <w:tcW w:w="5400" w:type="dxa"/>
            <w:noWrap w:val="0"/>
            <w:vAlign w:val="center"/>
          </w:tcPr>
          <w:p w14:paraId="7381F6D5">
            <w:pPr>
              <w:spacing w:line="360" w:lineRule="auto"/>
              <w:jc w:val="left"/>
              <w:rPr>
                <w:rFonts w:ascii="宋体" w:hAnsi="宋体" w:eastAsia="宋体" w:cs="宋体"/>
                <w:color w:val="000000"/>
                <w:sz w:val="24"/>
                <w:szCs w:val="22"/>
              </w:rPr>
            </w:pPr>
            <w:r>
              <w:rPr>
                <w:rFonts w:ascii="宋体" w:hAnsi="宋体" w:eastAsia="宋体" w:cs="宋体"/>
                <w:color w:val="000000"/>
                <w:sz w:val="24"/>
                <w:szCs w:val="22"/>
              </w:rPr>
              <w:t>《中华人民共和国安全生产法》</w:t>
            </w:r>
          </w:p>
        </w:tc>
        <w:tc>
          <w:tcPr>
            <w:tcW w:w="2374" w:type="dxa"/>
            <w:noWrap w:val="0"/>
            <w:vAlign w:val="center"/>
          </w:tcPr>
          <w:p w14:paraId="47AE4F4E">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w:t>
            </w:r>
          </w:p>
        </w:tc>
      </w:tr>
      <w:tr w14:paraId="58D4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4989625D">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2</w:t>
            </w:r>
          </w:p>
        </w:tc>
        <w:tc>
          <w:tcPr>
            <w:tcW w:w="5400" w:type="dxa"/>
            <w:noWrap w:val="0"/>
            <w:vAlign w:val="center"/>
          </w:tcPr>
          <w:p w14:paraId="5EF03819">
            <w:pPr>
              <w:snapToGrid w:val="0"/>
              <w:jc w:val="left"/>
              <w:rPr>
                <w:rFonts w:hint="eastAsia" w:ascii="宋体" w:hAnsi="宋体" w:eastAsia="宋体" w:cs="宋体"/>
                <w:color w:val="000000"/>
                <w:sz w:val="24"/>
                <w:szCs w:val="24"/>
              </w:rPr>
            </w:pPr>
            <w:r>
              <w:rPr>
                <w:rFonts w:ascii="Times New Roman" w:hAnsi="Times New Roman" w:eastAsia="宋体" w:cs="Times New Roman"/>
                <w:color w:val="000000"/>
                <w:sz w:val="24"/>
                <w:szCs w:val="24"/>
              </w:rPr>
              <w:t>《电网运行准则》</w:t>
            </w:r>
          </w:p>
        </w:tc>
        <w:tc>
          <w:tcPr>
            <w:tcW w:w="2374" w:type="dxa"/>
            <w:noWrap w:val="0"/>
            <w:vAlign w:val="center"/>
          </w:tcPr>
          <w:p w14:paraId="410250A3">
            <w:pPr>
              <w:snapToGrid w:val="0"/>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GB/T </w:t>
            </w:r>
            <w:r>
              <w:rPr>
                <w:rFonts w:ascii="Times New Roman" w:hAnsi="Times New Roman" w:eastAsia="宋体" w:cs="Times New Roman"/>
                <w:color w:val="000000"/>
                <w:sz w:val="24"/>
                <w:szCs w:val="24"/>
              </w:rPr>
              <w:t>31464</w:t>
            </w:r>
            <w:r>
              <w:rPr>
                <w:rFonts w:ascii="Times New Roman" w:hAnsi="Times New Roman" w:eastAsia="宋体" w:cs="Times New Roman"/>
                <w:color w:val="000000"/>
                <w:sz w:val="24"/>
                <w:szCs w:val="24"/>
              </w:rPr>
              <w:noBreakHyphen/>
            </w:r>
            <w:r>
              <w:rPr>
                <w:rFonts w:ascii="Times New Roman" w:hAnsi="Times New Roman" w:eastAsia="宋体" w:cs="Times New Roman"/>
                <w:color w:val="000000"/>
                <w:sz w:val="24"/>
                <w:szCs w:val="24"/>
              </w:rPr>
              <w:t>2022</w:t>
            </w:r>
          </w:p>
        </w:tc>
      </w:tr>
      <w:tr w14:paraId="1F2E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28C5C2F0">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3</w:t>
            </w:r>
          </w:p>
        </w:tc>
        <w:tc>
          <w:tcPr>
            <w:tcW w:w="5400" w:type="dxa"/>
            <w:noWrap w:val="0"/>
            <w:vAlign w:val="center"/>
          </w:tcPr>
          <w:p w14:paraId="2B04C572">
            <w:pPr>
              <w:snapToGrid w:val="0"/>
              <w:jc w:val="left"/>
              <w:rPr>
                <w:rFonts w:hint="eastAsia" w:ascii="宋体" w:hAnsi="宋体" w:eastAsia="宋体" w:cs="宋体"/>
                <w:color w:val="000000"/>
                <w:sz w:val="24"/>
                <w:szCs w:val="24"/>
              </w:rPr>
            </w:pPr>
            <w:r>
              <w:rPr>
                <w:rFonts w:ascii="Times New Roman" w:hAnsi="Times New Roman" w:eastAsia="宋体" w:cs="Times New Roman"/>
                <w:color w:val="000000"/>
                <w:sz w:val="24"/>
                <w:szCs w:val="24"/>
              </w:rPr>
              <w:t>《电力通信运行管理规程》</w:t>
            </w:r>
          </w:p>
        </w:tc>
        <w:tc>
          <w:tcPr>
            <w:tcW w:w="2374" w:type="dxa"/>
            <w:noWrap w:val="0"/>
            <w:vAlign w:val="center"/>
          </w:tcPr>
          <w:p w14:paraId="717C374F">
            <w:pPr>
              <w:snapToGrid w:val="0"/>
              <w:jc w:val="left"/>
              <w:rPr>
                <w:rFonts w:hint="eastAsia" w:ascii="宋体" w:hAnsi="宋体" w:eastAsia="宋体" w:cs="宋体"/>
                <w:color w:val="000000"/>
                <w:spacing w:val="9"/>
                <w:sz w:val="24"/>
                <w:szCs w:val="24"/>
              </w:rPr>
            </w:pPr>
            <w:r>
              <w:rPr>
                <w:rFonts w:ascii="Times New Roman" w:hAnsi="Times New Roman" w:eastAsia="宋体" w:cs="Times New Roman"/>
                <w:color w:val="000000"/>
                <w:sz w:val="24"/>
                <w:szCs w:val="24"/>
              </w:rPr>
              <w:t>（DL/T 544</w:t>
            </w:r>
            <w:r>
              <w:rPr>
                <w:rFonts w:ascii="Times New Roman" w:hAnsi="Times New Roman" w:eastAsia="宋体" w:cs="Times New Roman"/>
                <w:color w:val="000000"/>
                <w:sz w:val="24"/>
                <w:szCs w:val="24"/>
              </w:rPr>
              <w:noBreakHyphen/>
            </w:r>
            <w:r>
              <w:rPr>
                <w:rFonts w:ascii="Times New Roman" w:hAnsi="Times New Roman" w:eastAsia="宋体" w:cs="Times New Roman"/>
                <w:color w:val="000000"/>
                <w:sz w:val="24"/>
                <w:szCs w:val="24"/>
              </w:rPr>
              <w:t>2012）</w:t>
            </w:r>
          </w:p>
        </w:tc>
      </w:tr>
      <w:tr w14:paraId="3D81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0FCA4188">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4</w:t>
            </w:r>
          </w:p>
        </w:tc>
        <w:tc>
          <w:tcPr>
            <w:tcW w:w="5400" w:type="dxa"/>
            <w:noWrap w:val="0"/>
            <w:vAlign w:val="center"/>
          </w:tcPr>
          <w:p w14:paraId="2F1F31FD">
            <w:pPr>
              <w:snapToGrid w:val="0"/>
              <w:jc w:val="left"/>
              <w:rPr>
                <w:rFonts w:hint="eastAsia" w:ascii="宋体" w:hAnsi="宋体" w:eastAsia="宋体" w:cs="宋体"/>
                <w:color w:val="000000"/>
                <w:sz w:val="24"/>
                <w:szCs w:val="24"/>
              </w:rPr>
            </w:pPr>
            <w:r>
              <w:rPr>
                <w:rFonts w:ascii="Times New Roman" w:hAnsi="Times New Roman" w:eastAsia="宋体" w:cs="Times New Roman"/>
                <w:color w:val="000000"/>
                <w:sz w:val="24"/>
                <w:szCs w:val="24"/>
              </w:rPr>
              <w:t>《十八项电网重大反事故措施》</w:t>
            </w:r>
          </w:p>
        </w:tc>
        <w:tc>
          <w:tcPr>
            <w:tcW w:w="2374" w:type="dxa"/>
            <w:noWrap w:val="0"/>
            <w:vAlign w:val="center"/>
          </w:tcPr>
          <w:p w14:paraId="08B8CAAC">
            <w:pPr>
              <w:snapToGrid w:val="0"/>
              <w:jc w:val="left"/>
              <w:rPr>
                <w:rFonts w:hint="eastAsia" w:ascii="宋体" w:hAnsi="宋体" w:eastAsia="宋体" w:cs="宋体"/>
                <w:color w:val="000000"/>
                <w:sz w:val="24"/>
                <w:szCs w:val="24"/>
              </w:rPr>
            </w:pPr>
            <w:r>
              <w:rPr>
                <w:rFonts w:ascii="Times New Roman" w:hAnsi="Times New Roman" w:eastAsia="宋体" w:cs="Times New Roman"/>
                <w:color w:val="000000"/>
                <w:sz w:val="24"/>
                <w:szCs w:val="24"/>
              </w:rPr>
              <w:t>(国家电网设备〔2018〕979 号)</w:t>
            </w:r>
          </w:p>
        </w:tc>
      </w:tr>
      <w:tr w14:paraId="75D3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4AD31569">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5</w:t>
            </w:r>
          </w:p>
        </w:tc>
        <w:tc>
          <w:tcPr>
            <w:tcW w:w="5400" w:type="dxa"/>
            <w:noWrap w:val="0"/>
            <w:vAlign w:val="center"/>
          </w:tcPr>
          <w:p w14:paraId="62AADB46">
            <w:pPr>
              <w:rPr>
                <w:rFonts w:hint="eastAsia" w:ascii="宋体" w:hAnsi="宋体" w:eastAsia="宋体" w:cs="宋体"/>
                <w:color w:val="000000"/>
                <w:sz w:val="24"/>
                <w:szCs w:val="24"/>
              </w:rPr>
            </w:pPr>
            <w:r>
              <w:rPr>
                <w:rFonts w:hint="eastAsia" w:ascii="宋体" w:hAnsi="宋体" w:eastAsia="宋体" w:cs="宋体"/>
                <w:color w:val="000000"/>
                <w:sz w:val="24"/>
                <w:szCs w:val="24"/>
              </w:rPr>
              <w:t>《防止电力生产事故的二十五项重点要求（2023 版）》</w:t>
            </w:r>
          </w:p>
        </w:tc>
        <w:tc>
          <w:tcPr>
            <w:tcW w:w="2374" w:type="dxa"/>
            <w:noWrap w:val="0"/>
            <w:vAlign w:val="center"/>
          </w:tcPr>
          <w:p w14:paraId="6C96AC3E">
            <w:pPr>
              <w:snapToGrid w:val="0"/>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2023 版</w:t>
            </w:r>
          </w:p>
        </w:tc>
      </w:tr>
      <w:tr w14:paraId="5CC1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02A782E2">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6</w:t>
            </w:r>
          </w:p>
        </w:tc>
        <w:tc>
          <w:tcPr>
            <w:tcW w:w="5400" w:type="dxa"/>
            <w:noWrap w:val="0"/>
            <w:vAlign w:val="center"/>
          </w:tcPr>
          <w:p w14:paraId="1FCEE3B9">
            <w:pPr>
              <w:widowControl w:val="0"/>
              <w:spacing w:after="120"/>
              <w:ind w:left="0" w:leftChars="0" w:firstLine="0" w:firstLineChars="0"/>
              <w:jc w:val="both"/>
              <w:rPr>
                <w:rFonts w:hint="eastAsia" w:ascii="宋体" w:hAnsi="宋体" w:eastAsia="宋体" w:cs="宋体"/>
                <w:color w:val="000000"/>
                <w:kern w:val="2"/>
                <w:sz w:val="24"/>
                <w:szCs w:val="20"/>
                <w:lang w:val="en-US" w:eastAsia="zh-CN" w:bidi="ar-SA"/>
              </w:rPr>
            </w:pPr>
            <w:r>
              <w:rPr>
                <w:rFonts w:ascii="Calibri" w:hAnsi="Calibri" w:eastAsia="宋体" w:cs="Times New Roman"/>
                <w:color w:val="000000"/>
                <w:kern w:val="2"/>
                <w:sz w:val="24"/>
                <w:szCs w:val="20"/>
                <w:lang w:val="en-US" w:eastAsia="zh-CN" w:bidi="ar-SA"/>
              </w:rPr>
              <w:t>《电力光传输网运行维护规程》</w:t>
            </w:r>
          </w:p>
        </w:tc>
        <w:tc>
          <w:tcPr>
            <w:tcW w:w="2374" w:type="dxa"/>
            <w:noWrap w:val="0"/>
            <w:vAlign w:val="center"/>
          </w:tcPr>
          <w:p w14:paraId="54A68DFE">
            <w:pPr>
              <w:snapToGrid w:val="0"/>
              <w:jc w:val="left"/>
              <w:rPr>
                <w:rFonts w:hint="eastAsia" w:ascii="宋体" w:hAnsi="宋体" w:eastAsia="宋体" w:cs="宋体"/>
                <w:color w:val="000000"/>
                <w:sz w:val="24"/>
                <w:szCs w:val="24"/>
              </w:rPr>
            </w:pPr>
            <w:r>
              <w:rPr>
                <w:rFonts w:ascii="宋体" w:hAnsi="宋体" w:eastAsia="宋体" w:cs="宋体"/>
                <w:color w:val="000000"/>
                <w:sz w:val="24"/>
                <w:szCs w:val="24"/>
              </w:rPr>
              <w:t>Q/GDW11950—2018</w:t>
            </w:r>
          </w:p>
        </w:tc>
      </w:tr>
      <w:tr w14:paraId="47F0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64BEE399">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7</w:t>
            </w:r>
          </w:p>
        </w:tc>
        <w:tc>
          <w:tcPr>
            <w:tcW w:w="5400" w:type="dxa"/>
            <w:noWrap w:val="0"/>
            <w:vAlign w:val="center"/>
          </w:tcPr>
          <w:p w14:paraId="1AFB830A">
            <w:pPr>
              <w:snapToGrid w:val="0"/>
              <w:jc w:val="left"/>
              <w:rPr>
                <w:rFonts w:hint="eastAsia" w:ascii="宋体" w:hAnsi="宋体" w:eastAsia="宋体" w:cs="宋体"/>
                <w:color w:val="000000"/>
                <w:sz w:val="24"/>
                <w:szCs w:val="24"/>
              </w:rPr>
            </w:pPr>
            <w:r>
              <w:rPr>
                <w:rFonts w:ascii="Times New Roman" w:hAnsi="Times New Roman" w:eastAsia="宋体" w:cs="Times New Roman"/>
                <w:color w:val="000000"/>
                <w:sz w:val="24"/>
                <w:szCs w:val="24"/>
              </w:rPr>
              <w:t>《电力通信系统安全检查内容》</w:t>
            </w:r>
          </w:p>
        </w:tc>
        <w:tc>
          <w:tcPr>
            <w:tcW w:w="2374" w:type="dxa"/>
            <w:noWrap w:val="0"/>
            <w:vAlign w:val="center"/>
          </w:tcPr>
          <w:p w14:paraId="42C9FC06">
            <w:pPr>
              <w:snapToGrid w:val="0"/>
              <w:jc w:val="left"/>
              <w:rPr>
                <w:rFonts w:hint="eastAsia" w:ascii="宋体" w:hAnsi="宋体" w:eastAsia="宋体" w:cs="宋体"/>
                <w:color w:val="000000"/>
                <w:spacing w:val="9"/>
                <w:sz w:val="24"/>
                <w:szCs w:val="24"/>
              </w:rPr>
            </w:pPr>
            <w:r>
              <w:rPr>
                <w:rFonts w:hint="eastAsia" w:ascii="宋体" w:hAnsi="宋体" w:eastAsia="宋体" w:cs="宋体"/>
                <w:color w:val="000000"/>
                <w:sz w:val="24"/>
                <w:szCs w:val="24"/>
              </w:rPr>
              <w:t>Q/GDW10756 2018</w:t>
            </w:r>
          </w:p>
        </w:tc>
      </w:tr>
      <w:tr w14:paraId="3145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center"/>
          </w:tcPr>
          <w:p w14:paraId="0B9A16E8">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2"/>
              </w:rPr>
              <w:t>8</w:t>
            </w:r>
          </w:p>
        </w:tc>
        <w:tc>
          <w:tcPr>
            <w:tcW w:w="5400" w:type="dxa"/>
            <w:noWrap w:val="0"/>
            <w:vAlign w:val="center"/>
          </w:tcPr>
          <w:p w14:paraId="371D41B6">
            <w:pPr>
              <w:snapToGrid w:val="0"/>
              <w:jc w:val="left"/>
              <w:rPr>
                <w:rFonts w:hint="eastAsia" w:ascii="宋体" w:hAnsi="宋体" w:eastAsia="宋体" w:cs="宋体"/>
                <w:color w:val="000000"/>
                <w:sz w:val="24"/>
                <w:szCs w:val="24"/>
              </w:rPr>
            </w:pPr>
            <w:r>
              <w:rPr>
                <w:rFonts w:ascii="Times New Roman" w:hAnsi="Times New Roman" w:eastAsia="宋体" w:cs="Times New Roman"/>
                <w:color w:val="000000"/>
                <w:sz w:val="24"/>
                <w:szCs w:val="24"/>
              </w:rPr>
              <w:t>《电力调度交换网组网技术规范》</w:t>
            </w:r>
          </w:p>
        </w:tc>
        <w:tc>
          <w:tcPr>
            <w:tcW w:w="2374" w:type="dxa"/>
            <w:noWrap w:val="0"/>
            <w:vAlign w:val="center"/>
          </w:tcPr>
          <w:p w14:paraId="295A4F04">
            <w:pPr>
              <w:snapToGrid w:val="0"/>
              <w:jc w:val="left"/>
              <w:rPr>
                <w:rFonts w:hint="eastAsia" w:ascii="宋体" w:hAnsi="宋体" w:eastAsia="宋体" w:cs="宋体"/>
                <w:color w:val="000000"/>
                <w:spacing w:val="9"/>
                <w:sz w:val="24"/>
                <w:szCs w:val="24"/>
              </w:rPr>
            </w:pPr>
            <w:r>
              <w:rPr>
                <w:rFonts w:ascii="Times New Roman" w:hAnsi="Times New Roman" w:eastAsia="宋体" w:cs="Times New Roman"/>
                <w:color w:val="000000"/>
                <w:sz w:val="24"/>
                <w:szCs w:val="24"/>
              </w:rPr>
              <w:t>Q/GDW754</w:t>
            </w:r>
            <w:r>
              <w:rPr>
                <w:rFonts w:ascii="Times New Roman" w:hAnsi="Times New Roman" w:eastAsia="宋体" w:cs="Times New Roman"/>
                <w:color w:val="000000"/>
                <w:sz w:val="24"/>
                <w:szCs w:val="24"/>
              </w:rPr>
              <w:noBreakHyphen/>
            </w:r>
            <w:r>
              <w:rPr>
                <w:rFonts w:ascii="Times New Roman" w:hAnsi="Times New Roman" w:eastAsia="宋体" w:cs="Times New Roman"/>
                <w:color w:val="000000"/>
                <w:sz w:val="24"/>
                <w:szCs w:val="24"/>
              </w:rPr>
              <w:t>2012</w:t>
            </w:r>
          </w:p>
        </w:tc>
      </w:tr>
      <w:tr w14:paraId="018A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shd w:val="clear" w:color="auto" w:fill="auto"/>
            <w:noWrap w:val="0"/>
            <w:vAlign w:val="center"/>
          </w:tcPr>
          <w:p w14:paraId="5879F0CC">
            <w:pPr>
              <w:tabs>
                <w:tab w:val="left" w:pos="265"/>
              </w:tabs>
              <w:spacing w:line="360" w:lineRule="auto"/>
              <w:jc w:val="center"/>
              <w:rPr>
                <w:rFonts w:hint="eastAsia" w:ascii="宋体" w:hAnsi="宋体" w:eastAsia="宋体" w:cs="宋体"/>
                <w:color w:val="000000"/>
                <w:sz w:val="24"/>
                <w:szCs w:val="22"/>
              </w:rPr>
            </w:pPr>
            <w:r>
              <w:rPr>
                <w:rFonts w:ascii="宋体" w:hAnsi="宋体" w:eastAsia="宋体" w:cs="宋体"/>
                <w:color w:val="000000"/>
                <w:sz w:val="24"/>
                <w:szCs w:val="22"/>
              </w:rPr>
              <w:t>9</w:t>
            </w:r>
          </w:p>
        </w:tc>
        <w:tc>
          <w:tcPr>
            <w:tcW w:w="5400" w:type="dxa"/>
            <w:shd w:val="clear" w:color="auto" w:fill="auto"/>
            <w:noWrap w:val="0"/>
            <w:vAlign w:val="center"/>
          </w:tcPr>
          <w:p w14:paraId="32587E41">
            <w:pPr>
              <w:spacing w:line="360" w:lineRule="auto"/>
              <w:jc w:val="left"/>
              <w:rPr>
                <w:rFonts w:ascii="宋体" w:hAnsi="宋体" w:eastAsia="宋体" w:cs="宋体"/>
                <w:color w:val="000000"/>
                <w:sz w:val="24"/>
                <w:szCs w:val="22"/>
              </w:rPr>
            </w:pPr>
            <w:r>
              <w:rPr>
                <w:rFonts w:hint="eastAsia" w:ascii="宋体" w:hAnsi="宋体" w:eastAsia="宋体" w:cs="宋体"/>
                <w:color w:val="000000"/>
                <w:sz w:val="24"/>
                <w:szCs w:val="24"/>
              </w:rPr>
              <w:t>《山东省用户侧涉网安全管理能力提升工作方案》</w:t>
            </w:r>
          </w:p>
        </w:tc>
        <w:tc>
          <w:tcPr>
            <w:tcW w:w="2374" w:type="dxa"/>
            <w:shd w:val="clear" w:color="auto" w:fill="auto"/>
            <w:noWrap w:val="0"/>
            <w:vAlign w:val="center"/>
          </w:tcPr>
          <w:p w14:paraId="3EDC149D">
            <w:pPr>
              <w:spacing w:line="360" w:lineRule="auto"/>
              <w:jc w:val="center"/>
              <w:rPr>
                <w:rFonts w:ascii="宋体" w:hAnsi="宋体" w:eastAsia="宋体" w:cs="宋体"/>
                <w:color w:val="000000"/>
                <w:sz w:val="24"/>
                <w:szCs w:val="22"/>
              </w:rPr>
            </w:pPr>
            <w:r>
              <w:rPr>
                <w:rFonts w:hint="eastAsia" w:ascii="宋体" w:hAnsi="宋体" w:eastAsia="宋体" w:cs="宋体"/>
                <w:color w:val="000000"/>
                <w:sz w:val="24"/>
                <w:szCs w:val="24"/>
              </w:rPr>
              <w:t>鲁发改能源【2</w:t>
            </w:r>
            <w:r>
              <w:rPr>
                <w:rFonts w:ascii="宋体" w:hAnsi="宋体" w:eastAsia="宋体" w:cs="宋体"/>
                <w:color w:val="000000"/>
                <w:sz w:val="24"/>
                <w:szCs w:val="24"/>
              </w:rPr>
              <w:t>025</w:t>
            </w:r>
            <w:r>
              <w:rPr>
                <w:rFonts w:hint="eastAsia" w:ascii="宋体" w:hAnsi="宋体" w:eastAsia="宋体" w:cs="宋体"/>
                <w:color w:val="000000"/>
                <w:sz w:val="24"/>
                <w:szCs w:val="24"/>
              </w:rPr>
              <w:t>】9</w:t>
            </w:r>
            <w:r>
              <w:rPr>
                <w:rFonts w:ascii="宋体" w:hAnsi="宋体" w:eastAsia="宋体" w:cs="宋体"/>
                <w:color w:val="000000"/>
                <w:sz w:val="24"/>
                <w:szCs w:val="24"/>
              </w:rPr>
              <w:t>23</w:t>
            </w:r>
            <w:r>
              <w:rPr>
                <w:rFonts w:hint="eastAsia" w:ascii="宋体" w:hAnsi="宋体" w:eastAsia="宋体" w:cs="宋体"/>
                <w:color w:val="000000"/>
                <w:sz w:val="24"/>
                <w:szCs w:val="24"/>
              </w:rPr>
              <w:t>号</w:t>
            </w:r>
          </w:p>
        </w:tc>
      </w:tr>
    </w:tbl>
    <w:p w14:paraId="5A16EB89">
      <w:pPr>
        <w:rPr>
          <w:rFonts w:hint="eastAsia" w:ascii="Times New Roman" w:hAnsi="Times New Roman" w:eastAsia="宋体" w:cs="Times New Roman"/>
          <w:color w:val="000000"/>
          <w:sz w:val="24"/>
          <w:szCs w:val="24"/>
        </w:rPr>
      </w:pPr>
    </w:p>
    <w:p w14:paraId="0B73FE3C">
      <w:pPr>
        <w:spacing w:line="360" w:lineRule="auto"/>
        <w:ind w:firstLine="480" w:firstLineChars="200"/>
        <w:rPr>
          <w:rFonts w:hint="eastAsia" w:ascii="宋体" w:hAnsi="宋体" w:eastAsia="宋体" w:cs="宋体"/>
          <w:b/>
          <w:bCs/>
          <w:color w:val="000000"/>
          <w:sz w:val="24"/>
          <w:szCs w:val="22"/>
        </w:rPr>
      </w:pPr>
      <w:bookmarkStart w:id="20" w:name="heading_4"/>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.2建设项目概述</w:t>
      </w:r>
      <w:bookmarkEnd w:id="20"/>
    </w:p>
    <w:p w14:paraId="6D8C0EC0">
      <w:pPr>
        <w:spacing w:line="360" w:lineRule="auto"/>
        <w:ind w:firstLine="480" w:firstLineChars="200"/>
        <w:rPr>
          <w:rFonts w:hint="eastAsia" w:ascii="宋体" w:hAnsi="宋体" w:eastAsia="宋体" w:cs="宋体"/>
          <w:color w:val="000000"/>
          <w:sz w:val="24"/>
          <w:szCs w:val="22"/>
        </w:rPr>
      </w:pPr>
      <w:bookmarkStart w:id="21" w:name="heading_5"/>
      <w:r>
        <w:rPr>
          <w:rFonts w:hint="eastAsia" w:ascii="宋体" w:hAnsi="宋体" w:eastAsia="宋体" w:cs="宋体"/>
          <w:color w:val="000000"/>
          <w:sz w:val="24"/>
          <w:szCs w:val="22"/>
        </w:rPr>
        <w:t>（1）项目背景</w:t>
      </w:r>
      <w:bookmarkEnd w:id="21"/>
    </w:p>
    <w:p w14:paraId="7D121643">
      <w:pPr>
        <w:spacing w:line="360" w:lineRule="auto"/>
        <w:ind w:left="420" w:leftChars="200"/>
        <w:rPr>
          <w:rFonts w:hint="eastAsia" w:ascii="宋体" w:hAnsi="宋体" w:eastAsia="宋体" w:cs="宋体"/>
          <w:color w:val="000000"/>
          <w:sz w:val="24"/>
          <w:szCs w:val="22"/>
        </w:rPr>
      </w:pPr>
      <w:r>
        <w:rPr>
          <w:rFonts w:hint="eastAsia" w:ascii="宋体" w:hAnsi="宋体" w:eastAsia="宋体" w:cs="宋体"/>
          <w:color w:val="000000"/>
          <w:sz w:val="24"/>
          <w:szCs w:val="22"/>
        </w:rPr>
        <w:t>项目名称：济南成型厂1</w:t>
      </w:r>
      <w:r>
        <w:rPr>
          <w:rFonts w:ascii="宋体" w:hAnsi="宋体" w:eastAsia="宋体" w:cs="宋体"/>
          <w:color w:val="000000"/>
          <w:sz w:val="24"/>
          <w:szCs w:val="22"/>
        </w:rPr>
        <w:t>10kV</w:t>
      </w:r>
      <w:r>
        <w:rPr>
          <w:rFonts w:hint="eastAsia" w:ascii="宋体" w:hAnsi="宋体" w:eastAsia="宋体" w:cs="宋体"/>
          <w:color w:val="000000"/>
          <w:sz w:val="24"/>
          <w:szCs w:val="22"/>
        </w:rPr>
        <w:t>变电站通讯系统更新改造项目</w:t>
      </w:r>
    </w:p>
    <w:p w14:paraId="7E0F6B07">
      <w:pPr>
        <w:spacing w:line="360" w:lineRule="auto"/>
        <w:ind w:left="420" w:leftChars="200"/>
        <w:rPr>
          <w:rFonts w:hint="eastAsia" w:ascii="宋体" w:hAnsi="宋体" w:eastAsia="宋体" w:cs="宋体"/>
          <w:color w:val="000000"/>
          <w:sz w:val="24"/>
          <w:szCs w:val="22"/>
        </w:rPr>
      </w:pPr>
      <w:r>
        <w:rPr>
          <w:rFonts w:hint="eastAsia" w:ascii="宋体" w:hAnsi="宋体" w:eastAsia="宋体" w:cs="宋体"/>
          <w:color w:val="000000"/>
          <w:sz w:val="24"/>
          <w:szCs w:val="22"/>
        </w:rPr>
        <w:t>建设单位：济南成型厂1</w:t>
      </w:r>
      <w:r>
        <w:rPr>
          <w:rFonts w:ascii="宋体" w:hAnsi="宋体" w:eastAsia="宋体" w:cs="宋体"/>
          <w:color w:val="000000"/>
          <w:sz w:val="24"/>
          <w:szCs w:val="22"/>
        </w:rPr>
        <w:t>10kV</w:t>
      </w:r>
      <w:r>
        <w:rPr>
          <w:rFonts w:hint="eastAsia" w:ascii="宋体" w:hAnsi="宋体" w:eastAsia="宋体" w:cs="宋体"/>
          <w:color w:val="000000"/>
          <w:sz w:val="24"/>
          <w:szCs w:val="22"/>
        </w:rPr>
        <w:t>变电站</w:t>
      </w:r>
      <w:r>
        <w:rPr>
          <w:rFonts w:hint="eastAsia" w:ascii="宋体" w:hAnsi="宋体" w:eastAsia="宋体" w:cs="宋体"/>
          <w:color w:val="000000"/>
          <w:sz w:val="24"/>
          <w:szCs w:val="22"/>
        </w:rPr>
        <w:br w:type="textWrapping"/>
      </w:r>
      <w:r>
        <w:rPr>
          <w:rFonts w:hint="eastAsia" w:ascii="宋体" w:hAnsi="宋体" w:eastAsia="宋体" w:cs="宋体"/>
          <w:color w:val="000000"/>
          <w:sz w:val="24"/>
          <w:szCs w:val="22"/>
        </w:rPr>
        <w:t>功能定位：变电站通讯更新改造。</w:t>
      </w:r>
    </w:p>
    <w:p w14:paraId="7FFD18CD">
      <w:pPr>
        <w:spacing w:line="360" w:lineRule="auto"/>
        <w:ind w:firstLine="480" w:firstLineChars="200"/>
        <w:rPr>
          <w:rFonts w:hint="eastAsia" w:ascii="宋体" w:hAnsi="宋体" w:eastAsia="宋体" w:cs="宋体"/>
          <w:color w:val="000000"/>
          <w:sz w:val="24"/>
          <w:szCs w:val="22"/>
        </w:rPr>
      </w:pPr>
      <w:bookmarkStart w:id="22" w:name="heading_6"/>
      <w:r>
        <w:rPr>
          <w:rFonts w:hint="eastAsia" w:ascii="宋体" w:hAnsi="宋体" w:eastAsia="宋体" w:cs="宋体"/>
          <w:color w:val="000000"/>
          <w:sz w:val="24"/>
          <w:szCs w:val="22"/>
        </w:rPr>
        <w:t>（2）场地规划</w:t>
      </w:r>
      <w:bookmarkEnd w:id="22"/>
    </w:p>
    <w:p w14:paraId="2F045D24">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安装位置：济南成型厂1</w:t>
      </w:r>
      <w:r>
        <w:rPr>
          <w:rFonts w:ascii="宋体" w:hAnsi="宋体" w:eastAsia="宋体" w:cs="宋体"/>
          <w:color w:val="000000"/>
          <w:sz w:val="24"/>
          <w:szCs w:val="22"/>
        </w:rPr>
        <w:t>10kV</w:t>
      </w:r>
      <w:r>
        <w:rPr>
          <w:rFonts w:hint="eastAsia" w:ascii="宋体" w:hAnsi="宋体" w:eastAsia="宋体" w:cs="宋体"/>
          <w:color w:val="000000"/>
          <w:sz w:val="24"/>
          <w:szCs w:val="22"/>
        </w:rPr>
        <w:t>变电站。</w:t>
      </w:r>
    </w:p>
    <w:p w14:paraId="7C6A6448">
      <w:pPr>
        <w:spacing w:line="360" w:lineRule="auto"/>
        <w:ind w:firstLine="480" w:firstLineChars="200"/>
        <w:rPr>
          <w:rFonts w:hint="eastAsia" w:ascii="宋体" w:hAnsi="宋体" w:eastAsia="宋体" w:cs="宋体"/>
          <w:color w:val="000000"/>
          <w:sz w:val="24"/>
          <w:szCs w:val="22"/>
        </w:rPr>
      </w:pPr>
      <w:bookmarkStart w:id="23" w:name="heading_7"/>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.3项目涉及的危险、有害因素和危险、有害程度及周边环境安全分析</w:t>
      </w:r>
      <w:bookmarkEnd w:id="23"/>
    </w:p>
    <w:p w14:paraId="5FC484DB">
      <w:pPr>
        <w:spacing w:line="360" w:lineRule="auto"/>
        <w:ind w:firstLine="480" w:firstLineChars="200"/>
        <w:rPr>
          <w:rFonts w:hint="eastAsia" w:ascii="宋体" w:hAnsi="宋体" w:eastAsia="宋体" w:cs="宋体"/>
          <w:color w:val="000000"/>
          <w:sz w:val="24"/>
          <w:szCs w:val="22"/>
        </w:rPr>
      </w:pPr>
      <w:bookmarkStart w:id="24" w:name="heading_8"/>
      <w:r>
        <w:rPr>
          <w:rFonts w:hint="eastAsia" w:ascii="宋体" w:hAnsi="宋体" w:eastAsia="宋体" w:cs="宋体"/>
          <w:color w:val="000000"/>
          <w:sz w:val="24"/>
          <w:szCs w:val="22"/>
        </w:rPr>
        <w:t>（1）设备防护措施</w:t>
      </w:r>
      <w:bookmarkEnd w:id="24"/>
    </w:p>
    <w:p w14:paraId="12CCD8EF">
      <w:pPr>
        <w:numPr>
          <w:ilvl w:val="0"/>
          <w:numId w:val="12"/>
        </w:numPr>
        <w:spacing w:line="360" w:lineRule="auto"/>
        <w:ind w:left="851" w:hanging="425"/>
        <w:rPr>
          <w:rFonts w:hint="eastAsia" w:ascii="宋体" w:hAnsi="宋体" w:eastAsia="宋体" w:cs="宋体"/>
          <w:color w:val="000000"/>
          <w:sz w:val="24"/>
          <w:szCs w:val="24"/>
        </w:rPr>
      </w:pPr>
      <w:bookmarkStart w:id="25" w:name="heading_9"/>
      <w:r>
        <w:rPr>
          <w:rFonts w:hint="eastAsia" w:ascii="宋体" w:hAnsi="宋体" w:eastAsia="宋体" w:cs="宋体"/>
          <w:color w:val="000000"/>
          <w:sz w:val="24"/>
          <w:szCs w:val="24"/>
        </w:rPr>
        <w:t>本项作业在运行综合测控屏内开展，严禁触碰运行带电二次回路；作业前严格区分运行设备与改造新增设备，对运行端子、压板、网线、通信回路做好标识，采用绝缘挡板、红布幔实施隔离防护，不得改动原有运行二次回路，作业需办理第二种工作票。</w:t>
      </w:r>
    </w:p>
    <w:p w14:paraId="1767CA58">
      <w:pPr>
        <w:numPr>
          <w:ilvl w:val="0"/>
          <w:numId w:val="12"/>
        </w:numPr>
        <w:spacing w:line="360" w:lineRule="auto"/>
        <w:ind w:left="851" w:hanging="425"/>
        <w:rPr>
          <w:rFonts w:hint="eastAsia" w:ascii="宋体" w:hAnsi="宋体" w:eastAsia="宋体" w:cs="宋体"/>
          <w:color w:val="000000"/>
          <w:sz w:val="24"/>
          <w:szCs w:val="24"/>
        </w:rPr>
      </w:pPr>
      <w:r>
        <w:rPr>
          <w:rFonts w:hint="eastAsia" w:ascii="宋体" w:hAnsi="宋体" w:eastAsia="宋体" w:cs="宋体"/>
          <w:color w:val="000000"/>
          <w:sz w:val="24"/>
          <w:szCs w:val="24"/>
        </w:rPr>
        <w:t>施工所用工器具绝缘性能完好，新增设备电源从屏内备用空开规范引接，防止短路、误碰造成测控、保护装置异常。</w:t>
      </w:r>
    </w:p>
    <w:p w14:paraId="6B6F7363">
      <w:pPr>
        <w:numPr>
          <w:ilvl w:val="0"/>
          <w:numId w:val="12"/>
        </w:numPr>
        <w:spacing w:line="360" w:lineRule="auto"/>
        <w:ind w:left="851" w:hanging="425"/>
        <w:rPr>
          <w:rFonts w:hint="eastAsia" w:ascii="宋体" w:hAnsi="宋体" w:eastAsia="宋体" w:cs="宋体"/>
          <w:color w:val="000000"/>
          <w:sz w:val="24"/>
          <w:szCs w:val="24"/>
        </w:rPr>
      </w:pPr>
      <w:r>
        <w:rPr>
          <w:rFonts w:hint="eastAsia" w:ascii="宋体" w:hAnsi="宋体" w:eastAsia="宋体" w:cs="宋体"/>
          <w:color w:val="000000"/>
          <w:sz w:val="24"/>
          <w:szCs w:val="24"/>
        </w:rPr>
        <w:t>调试前完整备份原有设备配置、参数；下发、修改配置前履行核对确认手续，严防误下发参数引发装置异常。</w:t>
      </w:r>
    </w:p>
    <w:p w14:paraId="680AF593">
      <w:pPr>
        <w:numPr>
          <w:ilvl w:val="0"/>
          <w:numId w:val="12"/>
        </w:numPr>
        <w:spacing w:line="360" w:lineRule="auto"/>
        <w:ind w:left="851" w:hanging="425"/>
        <w:rPr>
          <w:rFonts w:ascii="宋体" w:hAnsi="宋体" w:eastAsia="宋体" w:cs="宋体"/>
          <w:color w:val="000000"/>
          <w:sz w:val="24"/>
          <w:szCs w:val="24"/>
        </w:rPr>
      </w:pPr>
      <w:r>
        <w:rPr>
          <w:rFonts w:hint="eastAsia" w:ascii="宋体" w:hAnsi="宋体" w:eastAsia="宋体" w:cs="宋体"/>
          <w:color w:val="000000"/>
          <w:sz w:val="24"/>
          <w:szCs w:val="24"/>
        </w:rPr>
        <w:t>施工完毕清理作业现场，拆除临时安全措施，逐根核对接线、检查通信链路，确认原有运行设备状态无异常。</w:t>
      </w:r>
    </w:p>
    <w:p w14:paraId="3FF6C638">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（2）使用安全</w:t>
      </w:r>
      <w:bookmarkEnd w:id="25"/>
    </w:p>
    <w:p w14:paraId="513A049F">
      <w:pPr>
        <w:spacing w:line="360" w:lineRule="auto"/>
        <w:ind w:firstLine="480" w:firstLineChars="200"/>
        <w:rPr>
          <w:rFonts w:ascii="宋体" w:hAnsi="宋体" w:eastAsia="宋体" w:cs="宋体"/>
          <w:color w:val="000000"/>
          <w:sz w:val="24"/>
          <w:szCs w:val="24"/>
        </w:rPr>
      </w:pPr>
      <w:bookmarkStart w:id="26" w:name="heading_11"/>
      <w:r>
        <w:rPr>
          <w:rFonts w:hint="eastAsia" w:ascii="宋体" w:hAnsi="宋体" w:eastAsia="宋体" w:cs="宋体"/>
          <w:color w:val="000000"/>
          <w:sz w:val="24"/>
          <w:szCs w:val="24"/>
        </w:rPr>
        <w:t>设备使用过程中严格执行变电站安全工作规程，严禁私自改动涉网设备参数与运行闭锁回路，纵向加密、网关机等装置配置须服从调度要求；调试及运行期间密切监视通信远动状态，避免引发调度通信中断，设备故障处置必须履行工作票手续，不得随意重启关联运行业务，做好配置文件归档留存，保障涉网二次设备安全可靠运行。</w:t>
      </w:r>
    </w:p>
    <w:p w14:paraId="481A1C7C">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.4 电气与控制安全</w:t>
      </w:r>
      <w:bookmarkEnd w:id="26"/>
    </w:p>
    <w:p w14:paraId="470A9DA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屏柜作业严防二次短路、寄生回路，严禁误碰运行压板、控制回路，做好二次回路隔离防护；控制参数修改、装置调试履行确认流程，防止误操作引发保护、测控误动拒动，严格执行工作票制度，保障控制回路及电气设备安全。</w:t>
      </w:r>
    </w:p>
    <w:p w14:paraId="2C97E1F6">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.5建筑及场地布置</w:t>
      </w:r>
    </w:p>
    <w:p w14:paraId="0E0E2227">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本项目建设地点为济南成型厂1</w:t>
      </w:r>
      <w:r>
        <w:rPr>
          <w:rFonts w:ascii="宋体" w:hAnsi="宋体" w:eastAsia="宋体" w:cs="宋体"/>
          <w:color w:val="000000"/>
          <w:sz w:val="24"/>
          <w:szCs w:val="22"/>
        </w:rPr>
        <w:t>10kV</w:t>
      </w:r>
      <w:r>
        <w:rPr>
          <w:rFonts w:hint="eastAsia" w:ascii="宋体" w:hAnsi="宋体" w:eastAsia="宋体" w:cs="宋体"/>
          <w:color w:val="000000"/>
          <w:sz w:val="24"/>
          <w:szCs w:val="22"/>
        </w:rPr>
        <w:t>变电站。</w:t>
      </w:r>
    </w:p>
    <w:p w14:paraId="73B35467">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.6重大危险源分析及检测监控</w:t>
      </w:r>
    </w:p>
    <w:p w14:paraId="58DE7A8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2"/>
        </w:rPr>
        <w:t>该项目无重大</w:t>
      </w:r>
      <w:r>
        <w:rPr>
          <w:rFonts w:hint="eastAsia" w:ascii="宋体" w:hAnsi="宋体" w:eastAsia="宋体" w:cs="宋体"/>
          <w:color w:val="000000"/>
          <w:sz w:val="24"/>
          <w:szCs w:val="24"/>
        </w:rPr>
        <w:t>危险源。</w:t>
      </w:r>
    </w:p>
    <w:p w14:paraId="39A80A3F">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.7安全设施设计采取的防范措施</w:t>
      </w:r>
    </w:p>
    <w:p w14:paraId="4DF959F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2"/>
        </w:rPr>
        <w:t>物理防护：屏柜设备安装牢固，外壳接地可靠，屏柜设置门锁防护；对运行区域设置隔离挡板、警示标识，作业区域做好物理隔离，防止人员误触碰运行器件；设备具备防尘、防外物侵入防护，线缆布线规整固定，避免外力拉扯、磕碰损伤设备及接线。</w:t>
      </w:r>
    </w:p>
    <w:p w14:paraId="05646C8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电气防护：设备外壳可靠接地，做好二次回路绝缘隔离，强弱电回路分开布线；配置必要的过压、防静电防护措施，防止静电、过电压损坏二次装置；严格区分运行与改造回路，避免产生寄生回路，防范短路、漏电风险，保障电气回路及控制设备安全。</w:t>
      </w:r>
    </w:p>
    <w:p w14:paraId="344DAD2D">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.8人员培训与资质</w:t>
      </w:r>
    </w:p>
    <w:p w14:paraId="0D8D1E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2"/>
        </w:rPr>
        <w:t>培训内容需包含设备操</w:t>
      </w:r>
      <w:r>
        <w:rPr>
          <w:rFonts w:hint="eastAsia" w:ascii="宋体" w:hAnsi="宋体" w:eastAsia="宋体" w:cs="宋体"/>
          <w:color w:val="000000"/>
          <w:sz w:val="24"/>
          <w:szCs w:val="24"/>
        </w:rPr>
        <w:t>作规程、危险有害因素识别、应急处置方法、劳动防护用品使用等。设备安装调试及交付阶段，厂家需配套完成全套专项培训工作，确保现场运维人员、操作人员、管理人员可独立熟练操作与维护。</w:t>
      </w:r>
    </w:p>
    <w:p w14:paraId="449293E9">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.9验收与档案管理</w:t>
      </w:r>
    </w:p>
    <w:p w14:paraId="5421079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2"/>
        </w:rPr>
        <w:t>安全设施竣工验收需</w:t>
      </w:r>
      <w:r>
        <w:rPr>
          <w:rFonts w:hint="eastAsia" w:ascii="宋体" w:hAnsi="宋体" w:eastAsia="宋体" w:cs="宋体"/>
          <w:color w:val="000000"/>
          <w:sz w:val="24"/>
          <w:szCs w:val="24"/>
        </w:rPr>
        <w:t>明确以下节点：预验收、设备终验收时必须由安全管理人员现场对安全设施同步进行验收。</w:t>
      </w:r>
    </w:p>
    <w:p w14:paraId="63CF1E81">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.10安全设施专项投资概算</w:t>
      </w:r>
    </w:p>
    <w:p w14:paraId="574C21F8">
      <w:pPr>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2"/>
        </w:rPr>
        <w:t>安全设施：所有安全设</w:t>
      </w:r>
      <w:r>
        <w:rPr>
          <w:rFonts w:hint="eastAsia" w:ascii="宋体" w:hAnsi="宋体" w:eastAsia="宋体" w:cs="宋体"/>
          <w:color w:val="000000"/>
          <w:sz w:val="24"/>
          <w:szCs w:val="24"/>
        </w:rPr>
        <w:t>施均符合本次补充的相关标准要求，投资包含在项目总报价内。</w:t>
      </w:r>
    </w:p>
    <w:p w14:paraId="26372F6A">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.11可能出现的事故预防及应急救援措施</w:t>
      </w:r>
    </w:p>
    <w:p w14:paraId="383A551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严格执行工作票及二次作业安全规定，作业前做好运行回路隔离标识，落实防静电、防误碰措施，规范工器具及临时电源使用；参数修改、对点调试执行双人复核，严防二次短路、误碰控制回路、误改配置引发装置异常、通信中断，强化作业人员安规交底，规避人身触电、设备损坏事故发生。</w:t>
      </w:r>
    </w:p>
    <w:p w14:paraId="370B90DB">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措施：</w:t>
      </w:r>
    </w:p>
    <w:p w14:paraId="2F8409CE">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作业中如发生人身触电、设备故障、调度通信中断等异常，立即停止作业，切断相关作业电源，第一时间汇报运维及调度人员；发生人身伤害优先开展脱离电源、现场急救，按预案处置设备异常，不得擅自处置运行设备，配合开展故障排查，做好事件记录，防止事故扩大。</w:t>
      </w:r>
    </w:p>
    <w:p w14:paraId="034F48CE">
      <w:pPr>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w:t>
      </w:r>
      <w:r>
        <w:rPr>
          <w:rFonts w:hint="eastAsia" w:ascii="宋体" w:hAnsi="宋体" w:cs="宋体"/>
          <w:color w:val="000000"/>
          <w:sz w:val="24"/>
          <w:szCs w:val="22"/>
          <w:lang w:val="en-US" w:eastAsia="zh-CN"/>
        </w:rPr>
        <w:t>5.</w:t>
      </w:r>
      <w:r>
        <w:rPr>
          <w:rFonts w:hint="eastAsia" w:ascii="宋体" w:hAnsi="宋体" w:eastAsia="宋体" w:cs="宋体"/>
          <w:color w:val="000000"/>
          <w:sz w:val="24"/>
          <w:szCs w:val="22"/>
        </w:rPr>
        <w:t>12法律、法规、规章、标准规定需要说明的其他事项</w:t>
      </w:r>
    </w:p>
    <w:p w14:paraId="5A52DBDD">
      <w:pPr>
        <w:spacing w:line="360" w:lineRule="auto"/>
        <w:ind w:firstLine="720" w:firstLineChars="300"/>
        <w:rPr>
          <w:rFonts w:hint="eastAsia" w:ascii="Calibri" w:hAnsi="Calibri" w:eastAsia="宋体" w:cs="Times New Roman"/>
          <w:b/>
          <w:bCs/>
          <w:color w:val="000000"/>
          <w:kern w:val="44"/>
          <w:sz w:val="28"/>
          <w:szCs w:val="28"/>
        </w:rPr>
      </w:pPr>
      <w:r>
        <w:rPr>
          <w:rFonts w:hint="eastAsia" w:ascii="宋体" w:hAnsi="宋体" w:eastAsia="宋体" w:cs="宋体"/>
          <w:color w:val="000000"/>
          <w:sz w:val="24"/>
          <w:szCs w:val="22"/>
        </w:rPr>
        <w:t>无。</w:t>
      </w:r>
    </w:p>
    <w:p w14:paraId="022AFDC4">
      <w:pPr>
        <w:keepLines/>
        <w:jc w:val="center"/>
        <w:outlineLvl w:val="1"/>
        <w:rPr>
          <w:rFonts w:ascii="Calibri" w:hAnsi="Calibri" w:eastAsia="宋体" w:cs="Times New Roman"/>
          <w:b/>
          <w:bCs/>
          <w:color w:val="000000"/>
          <w:kern w:val="44"/>
          <w:sz w:val="28"/>
          <w:szCs w:val="28"/>
        </w:rPr>
      </w:pPr>
      <w:r>
        <w:rPr>
          <w:rFonts w:hint="eastAsia" w:ascii="Calibri" w:hAnsi="Calibri" w:eastAsia="宋体" w:cs="Times New Roman"/>
          <w:b/>
          <w:bCs/>
          <w:color w:val="000000"/>
          <w:kern w:val="44"/>
          <w:sz w:val="28"/>
          <w:szCs w:val="28"/>
        </w:rPr>
        <w:t>第三章</w:t>
      </w:r>
      <w:r>
        <w:rPr>
          <w:rFonts w:ascii="Calibri" w:hAnsi="Calibri" w:eastAsia="宋体" w:cs="Times New Roman"/>
          <w:b/>
          <w:bCs/>
          <w:color w:val="000000"/>
          <w:kern w:val="44"/>
          <w:sz w:val="28"/>
          <w:szCs w:val="28"/>
        </w:rPr>
        <w:t xml:space="preserve">  </w:t>
      </w:r>
      <w:r>
        <w:rPr>
          <w:rFonts w:hint="eastAsia" w:ascii="Calibri" w:hAnsi="Calibri" w:eastAsia="宋体" w:cs="Times New Roman"/>
          <w:b/>
          <w:bCs/>
          <w:color w:val="000000"/>
          <w:kern w:val="44"/>
          <w:sz w:val="28"/>
          <w:szCs w:val="28"/>
        </w:rPr>
        <w:t>供货范围及供货方式</w:t>
      </w:r>
    </w:p>
    <w:p w14:paraId="0A48ECEF">
      <w:pPr>
        <w:spacing w:line="420" w:lineRule="exact"/>
        <w:ind w:firstLine="482" w:firstLineChars="200"/>
        <w:outlineLvl w:val="3"/>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供货范围（本供货范围仅列明系统关键组成部件与核心元器件，不作为设备完整配置清单，其余配套单元、备件均由投标人根据我方使用要求按需设计使用。投标人完成的全套设备图纸、施工接线图纸、管路布置图纸等技术文件，须全部报送我方相关技术人员审核，审核通过后方可开展生产、安装及施工工作）</w:t>
      </w:r>
    </w:p>
    <w:tbl>
      <w:tblPr>
        <w:tblStyle w:val="48"/>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333"/>
        <w:gridCol w:w="1786"/>
        <w:gridCol w:w="771"/>
        <w:gridCol w:w="937"/>
        <w:gridCol w:w="1201"/>
        <w:gridCol w:w="1767"/>
      </w:tblGrid>
      <w:tr w14:paraId="01CF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907" w:type="dxa"/>
            <w:noWrap w:val="0"/>
            <w:vAlign w:val="center"/>
          </w:tcPr>
          <w:p w14:paraId="02D50412">
            <w:pPr>
              <w:spacing w:line="420" w:lineRule="exact"/>
              <w:jc w:val="center"/>
              <w:rPr>
                <w:rFonts w:hint="eastAsia" w:ascii="宋体" w:hAnsi="宋体" w:eastAsia="宋体" w:cs="宋体"/>
                <w:color w:val="000000"/>
                <w:sz w:val="24"/>
                <w:szCs w:val="21"/>
              </w:rPr>
            </w:pPr>
            <w:r>
              <w:rPr>
                <w:rFonts w:hint="eastAsia" w:ascii="宋体" w:hAnsi="宋体" w:eastAsia="宋体" w:cs="宋体"/>
                <w:color w:val="000000"/>
                <w:sz w:val="24"/>
                <w:szCs w:val="21"/>
              </w:rPr>
              <w:t>序号</w:t>
            </w:r>
          </w:p>
        </w:tc>
        <w:tc>
          <w:tcPr>
            <w:tcW w:w="1333" w:type="dxa"/>
            <w:noWrap w:val="0"/>
            <w:vAlign w:val="center"/>
          </w:tcPr>
          <w:p w14:paraId="6A5D062B">
            <w:pPr>
              <w:spacing w:line="420" w:lineRule="exact"/>
              <w:jc w:val="center"/>
              <w:rPr>
                <w:rFonts w:hint="eastAsia" w:ascii="宋体" w:hAnsi="宋体" w:eastAsia="宋体" w:cs="宋体"/>
                <w:color w:val="000000"/>
                <w:sz w:val="24"/>
                <w:szCs w:val="21"/>
              </w:rPr>
            </w:pPr>
            <w:r>
              <w:rPr>
                <w:rFonts w:hint="eastAsia" w:ascii="宋体" w:hAnsi="宋体" w:eastAsia="宋体" w:cs="宋体"/>
                <w:color w:val="000000"/>
                <w:sz w:val="24"/>
                <w:szCs w:val="21"/>
              </w:rPr>
              <w:t>名称</w:t>
            </w:r>
          </w:p>
        </w:tc>
        <w:tc>
          <w:tcPr>
            <w:tcW w:w="1786" w:type="dxa"/>
            <w:noWrap w:val="0"/>
            <w:vAlign w:val="center"/>
          </w:tcPr>
          <w:p w14:paraId="0284EDB5">
            <w:pPr>
              <w:tabs>
                <w:tab w:val="left" w:pos="479"/>
              </w:tabs>
              <w:spacing w:line="420" w:lineRule="exact"/>
              <w:jc w:val="left"/>
              <w:rPr>
                <w:rFonts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ab/>
            </w:r>
            <w:r>
              <w:rPr>
                <w:rFonts w:hint="eastAsia" w:ascii="仿宋_GB2312" w:hAnsi="仿宋_GB2312" w:eastAsia="仿宋_GB2312" w:cs="仿宋_GB2312"/>
                <w:color w:val="000000"/>
                <w:sz w:val="24"/>
                <w:szCs w:val="21"/>
              </w:rPr>
              <w:t>构成</w:t>
            </w:r>
          </w:p>
        </w:tc>
        <w:tc>
          <w:tcPr>
            <w:tcW w:w="771" w:type="dxa"/>
            <w:noWrap w:val="0"/>
            <w:vAlign w:val="center"/>
          </w:tcPr>
          <w:p w14:paraId="0579F778">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单位</w:t>
            </w:r>
          </w:p>
        </w:tc>
        <w:tc>
          <w:tcPr>
            <w:tcW w:w="937" w:type="dxa"/>
            <w:noWrap w:val="0"/>
            <w:vAlign w:val="center"/>
          </w:tcPr>
          <w:p w14:paraId="16903DB9">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数量</w:t>
            </w:r>
          </w:p>
        </w:tc>
        <w:tc>
          <w:tcPr>
            <w:tcW w:w="1201" w:type="dxa"/>
            <w:noWrap w:val="0"/>
            <w:vAlign w:val="center"/>
          </w:tcPr>
          <w:p w14:paraId="28E9786A">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安装地点</w:t>
            </w:r>
          </w:p>
        </w:tc>
        <w:tc>
          <w:tcPr>
            <w:tcW w:w="1767" w:type="dxa"/>
            <w:noWrap w:val="0"/>
            <w:vAlign w:val="center"/>
          </w:tcPr>
          <w:p w14:paraId="08EFE54B">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备注</w:t>
            </w:r>
          </w:p>
        </w:tc>
      </w:tr>
      <w:tr w14:paraId="24D2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907" w:type="dxa"/>
            <w:noWrap w:val="0"/>
            <w:vAlign w:val="center"/>
          </w:tcPr>
          <w:p w14:paraId="7BF0D631">
            <w:pPr>
              <w:spacing w:line="420" w:lineRule="exact"/>
              <w:jc w:val="center"/>
              <w:rPr>
                <w:rFonts w:hint="eastAsia" w:ascii="宋体" w:hAnsi="宋体" w:eastAsia="宋体" w:cs="宋体"/>
                <w:color w:val="000000"/>
                <w:sz w:val="24"/>
                <w:szCs w:val="21"/>
              </w:rPr>
            </w:pPr>
            <w:r>
              <w:rPr>
                <w:rFonts w:hint="eastAsia" w:ascii="宋体" w:hAnsi="宋体" w:eastAsia="宋体" w:cs="宋体"/>
                <w:color w:val="000000"/>
                <w:sz w:val="24"/>
                <w:szCs w:val="21"/>
              </w:rPr>
              <w:t>1</w:t>
            </w:r>
          </w:p>
        </w:tc>
        <w:tc>
          <w:tcPr>
            <w:tcW w:w="1333" w:type="dxa"/>
            <w:noWrap w:val="0"/>
            <w:vAlign w:val="top"/>
          </w:tcPr>
          <w:p w14:paraId="0990DD7C">
            <w:pP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5G纵向加密融合通信网关设备</w:t>
            </w:r>
          </w:p>
        </w:tc>
        <w:tc>
          <w:tcPr>
            <w:tcW w:w="1786" w:type="dxa"/>
            <w:noWrap w:val="0"/>
            <w:vAlign w:val="center"/>
          </w:tcPr>
          <w:p w14:paraId="54FD4A46">
            <w:pPr>
              <w:spacing w:line="420" w:lineRule="exact"/>
              <w:jc w:val="center"/>
              <w:rPr>
                <w:rFonts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网关设备</w:t>
            </w:r>
          </w:p>
        </w:tc>
        <w:tc>
          <w:tcPr>
            <w:tcW w:w="771" w:type="dxa"/>
            <w:noWrap w:val="0"/>
            <w:vAlign w:val="center"/>
          </w:tcPr>
          <w:p w14:paraId="2EFF1F4F">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套</w:t>
            </w:r>
          </w:p>
        </w:tc>
        <w:tc>
          <w:tcPr>
            <w:tcW w:w="937" w:type="dxa"/>
            <w:noWrap w:val="0"/>
            <w:vAlign w:val="center"/>
          </w:tcPr>
          <w:p w14:paraId="09497F93">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w:t>
            </w:r>
          </w:p>
        </w:tc>
        <w:tc>
          <w:tcPr>
            <w:tcW w:w="1201" w:type="dxa"/>
            <w:noWrap w:val="0"/>
            <w:vAlign w:val="center"/>
          </w:tcPr>
          <w:p w14:paraId="492DCBDC">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w:t>
            </w:r>
            <w:r>
              <w:rPr>
                <w:rFonts w:ascii="仿宋_GB2312" w:hAnsi="仿宋_GB2312" w:eastAsia="仿宋_GB2312" w:cs="仿宋_GB2312"/>
                <w:color w:val="000000"/>
                <w:sz w:val="24"/>
                <w:szCs w:val="21"/>
              </w:rPr>
              <w:t>10</w:t>
            </w:r>
            <w:r>
              <w:rPr>
                <w:rFonts w:hint="eastAsia" w:ascii="仿宋_GB2312" w:hAnsi="仿宋_GB2312" w:eastAsia="仿宋_GB2312" w:cs="仿宋_GB2312"/>
                <w:color w:val="000000"/>
                <w:sz w:val="24"/>
                <w:szCs w:val="21"/>
              </w:rPr>
              <w:t>kV变电站</w:t>
            </w:r>
          </w:p>
        </w:tc>
        <w:tc>
          <w:tcPr>
            <w:tcW w:w="1767" w:type="dxa"/>
            <w:noWrap w:val="0"/>
            <w:vAlign w:val="center"/>
          </w:tcPr>
          <w:p w14:paraId="45CD5C94">
            <w:pPr>
              <w:spacing w:line="420" w:lineRule="exact"/>
              <w:jc w:val="center"/>
              <w:rPr>
                <w:rFonts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交钥匙</w:t>
            </w:r>
          </w:p>
        </w:tc>
      </w:tr>
      <w:tr w14:paraId="1088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07" w:type="dxa"/>
            <w:noWrap w:val="0"/>
            <w:vAlign w:val="center"/>
          </w:tcPr>
          <w:p w14:paraId="5185BA02">
            <w:pPr>
              <w:spacing w:line="420" w:lineRule="exact"/>
              <w:jc w:val="center"/>
              <w:rPr>
                <w:rFonts w:hint="eastAsia" w:ascii="宋体" w:hAnsi="宋体" w:eastAsia="宋体" w:cs="宋体"/>
                <w:color w:val="000000"/>
                <w:sz w:val="24"/>
                <w:szCs w:val="21"/>
              </w:rPr>
            </w:pPr>
            <w:r>
              <w:rPr>
                <w:rFonts w:hint="eastAsia" w:ascii="宋体" w:hAnsi="宋体" w:eastAsia="宋体" w:cs="宋体"/>
                <w:color w:val="000000"/>
                <w:sz w:val="24"/>
                <w:szCs w:val="21"/>
              </w:rPr>
              <w:t>2</w:t>
            </w:r>
          </w:p>
        </w:tc>
        <w:tc>
          <w:tcPr>
            <w:tcW w:w="1333" w:type="dxa"/>
            <w:noWrap w:val="0"/>
            <w:vAlign w:val="top"/>
          </w:tcPr>
          <w:p w14:paraId="43649EC0">
            <w:pPr>
              <w:rPr>
                <w:rFonts w:ascii="仿宋_GB2312" w:hAnsi="仿宋_GB2312" w:eastAsia="仿宋_GB2312" w:cs="仿宋_GB2312"/>
                <w:color w:val="000000"/>
                <w:sz w:val="24"/>
                <w:szCs w:val="21"/>
              </w:rPr>
            </w:pPr>
          </w:p>
          <w:p w14:paraId="0DB5B908">
            <w:pPr>
              <w:rPr>
                <w:rFonts w:ascii="仿宋_GB2312" w:hAnsi="仿宋_GB2312" w:eastAsia="仿宋_GB2312" w:cs="仿宋_GB2312"/>
                <w:color w:val="000000"/>
                <w:sz w:val="24"/>
                <w:szCs w:val="21"/>
              </w:rPr>
            </w:pPr>
          </w:p>
          <w:p w14:paraId="4F4EC7AA">
            <w:pPr>
              <w:rPr>
                <w:rFonts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安装和系统调试</w:t>
            </w:r>
          </w:p>
        </w:tc>
        <w:tc>
          <w:tcPr>
            <w:tcW w:w="1786" w:type="dxa"/>
            <w:noWrap w:val="0"/>
            <w:vAlign w:val="center"/>
          </w:tcPr>
          <w:p w14:paraId="5693E2AD">
            <w:pPr>
              <w:spacing w:line="420" w:lineRule="exact"/>
              <w:ind w:firstLine="240" w:firstLineChars="100"/>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安装和调试</w:t>
            </w:r>
          </w:p>
        </w:tc>
        <w:tc>
          <w:tcPr>
            <w:tcW w:w="771" w:type="dxa"/>
            <w:noWrap w:val="0"/>
            <w:vAlign w:val="center"/>
          </w:tcPr>
          <w:p w14:paraId="0285B03A">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套</w:t>
            </w:r>
          </w:p>
        </w:tc>
        <w:tc>
          <w:tcPr>
            <w:tcW w:w="937" w:type="dxa"/>
            <w:noWrap w:val="0"/>
            <w:vAlign w:val="center"/>
          </w:tcPr>
          <w:p w14:paraId="3EA769E9">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w:t>
            </w:r>
          </w:p>
        </w:tc>
        <w:tc>
          <w:tcPr>
            <w:tcW w:w="1201" w:type="dxa"/>
            <w:noWrap w:val="0"/>
            <w:vAlign w:val="center"/>
          </w:tcPr>
          <w:p w14:paraId="0E29B5C2">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1</w:t>
            </w:r>
            <w:r>
              <w:rPr>
                <w:rFonts w:ascii="仿宋_GB2312" w:hAnsi="仿宋_GB2312" w:eastAsia="仿宋_GB2312" w:cs="仿宋_GB2312"/>
                <w:color w:val="000000"/>
                <w:sz w:val="24"/>
                <w:szCs w:val="21"/>
              </w:rPr>
              <w:t>10</w:t>
            </w:r>
            <w:r>
              <w:rPr>
                <w:rFonts w:hint="eastAsia" w:ascii="仿宋_GB2312" w:hAnsi="仿宋_GB2312" w:eastAsia="仿宋_GB2312" w:cs="仿宋_GB2312"/>
                <w:color w:val="000000"/>
                <w:sz w:val="24"/>
                <w:szCs w:val="21"/>
              </w:rPr>
              <w:t>kV变电站</w:t>
            </w:r>
          </w:p>
        </w:tc>
        <w:tc>
          <w:tcPr>
            <w:tcW w:w="1767" w:type="dxa"/>
            <w:noWrap w:val="0"/>
            <w:vAlign w:val="center"/>
          </w:tcPr>
          <w:p w14:paraId="35E09D8C">
            <w:pPr>
              <w:spacing w:line="420" w:lineRule="exact"/>
              <w:jc w:val="center"/>
              <w:rPr>
                <w:rFonts w:hint="eastAsia" w:ascii="仿宋_GB2312" w:hAnsi="仿宋_GB2312" w:eastAsia="仿宋_GB2312" w:cs="仿宋_GB2312"/>
                <w:color w:val="000000"/>
                <w:sz w:val="24"/>
                <w:szCs w:val="21"/>
              </w:rPr>
            </w:pPr>
            <w:r>
              <w:rPr>
                <w:rFonts w:hint="eastAsia" w:ascii="仿宋_GB2312" w:hAnsi="仿宋_GB2312" w:eastAsia="仿宋_GB2312" w:cs="仿宋_GB2312"/>
                <w:color w:val="000000"/>
                <w:sz w:val="24"/>
                <w:szCs w:val="21"/>
              </w:rPr>
              <w:t>交钥匙，包含与变电站原通讯管理机对接调试费</w:t>
            </w:r>
          </w:p>
        </w:tc>
      </w:tr>
    </w:tbl>
    <w:p w14:paraId="137F017E">
      <w:pPr>
        <w:spacing w:line="360" w:lineRule="auto"/>
        <w:ind w:firstLine="482" w:firstLineChars="200"/>
        <w:outlineLvl w:val="2"/>
        <w:rPr>
          <w:rFonts w:ascii="宋体" w:hAnsi="宋体" w:eastAsia="宋体" w:cs="宋体"/>
          <w:b/>
          <w:color w:val="000000"/>
          <w:sz w:val="24"/>
          <w:szCs w:val="24"/>
        </w:rPr>
      </w:pPr>
      <w:r>
        <w:rPr>
          <w:rFonts w:hint="eastAsia" w:ascii="宋体" w:hAnsi="宋体" w:eastAsia="宋体" w:cs="宋体"/>
          <w:b/>
          <w:color w:val="000000"/>
          <w:sz w:val="24"/>
          <w:szCs w:val="24"/>
        </w:rPr>
        <w:t>（一）一般界定</w:t>
      </w:r>
    </w:p>
    <w:p w14:paraId="119EA20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1.包括本技术标书所列明的主要货物以及货物正常运行所必需的全套连线设备、材料等。如货物端联接法兰外端面之内的、电气系统接口压线板（插座等）之内的设备、材料、联接螺栓、垫片等。</w:t>
      </w:r>
    </w:p>
    <w:p w14:paraId="6C8DBE2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2.包括为保证货物正常安装、调试和验收完成及以前所必需的整套配件、附件及材料、油料、控制软件及程序或指令等。</w:t>
      </w:r>
    </w:p>
    <w:p w14:paraId="65F2DA4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如果终验收完成后，投标人有需要收回的配件、附件、材料、油料等，应当在投标文件的技术偏离条款中，予以详细说明；否则视同包括在供货范围之内。</w:t>
      </w:r>
    </w:p>
    <w:p w14:paraId="1B8A79C9">
      <w:pPr>
        <w:spacing w:line="360" w:lineRule="auto"/>
        <w:ind w:firstLine="480" w:firstLineChars="200"/>
        <w:outlineLvl w:val="3"/>
        <w:rPr>
          <w:rFonts w:ascii="宋体" w:hAnsi="宋体" w:eastAsia="宋体" w:cs="宋体"/>
          <w:color w:val="000000"/>
          <w:sz w:val="24"/>
          <w:szCs w:val="24"/>
        </w:rPr>
      </w:pPr>
      <w:r>
        <w:rPr>
          <w:rFonts w:hint="eastAsia" w:ascii="宋体" w:hAnsi="宋体" w:eastAsia="宋体" w:cs="宋体"/>
          <w:color w:val="000000"/>
          <w:sz w:val="24"/>
          <w:szCs w:val="24"/>
        </w:rPr>
        <w:t>3.包括货物维护维修所必需的专用工具。</w:t>
      </w:r>
    </w:p>
    <w:p w14:paraId="31CCEA8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31B2C52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包括为保证货物自身正常运行所必需的、满足使用地点环境条件的通风、冷却、降温等必需设施。</w:t>
      </w:r>
    </w:p>
    <w:p w14:paraId="287A790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如投标人难以提供或无优势提供以及属于选用配置的，则应当在投标文件的技术偏离条款中，予以详细说明并注明投标报价未包含该部分的货值。</w:t>
      </w:r>
    </w:p>
    <w:p w14:paraId="4274B580">
      <w:pPr>
        <w:spacing w:line="360" w:lineRule="auto"/>
        <w:ind w:firstLine="482" w:firstLineChars="200"/>
        <w:outlineLvl w:val="2"/>
        <w:rPr>
          <w:rFonts w:ascii="宋体" w:hAnsi="宋体" w:eastAsia="宋体" w:cs="宋体"/>
          <w:b/>
          <w:color w:val="000000"/>
          <w:sz w:val="24"/>
          <w:szCs w:val="24"/>
        </w:rPr>
      </w:pPr>
      <w:r>
        <w:rPr>
          <w:rFonts w:hint="eastAsia" w:ascii="宋体" w:hAnsi="宋体" w:eastAsia="宋体" w:cs="宋体"/>
          <w:b/>
          <w:color w:val="000000"/>
          <w:sz w:val="24"/>
          <w:szCs w:val="24"/>
        </w:rPr>
        <w:t>（二）供货范围边界界定</w:t>
      </w:r>
    </w:p>
    <w:p w14:paraId="69C192F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1.招标方提供货物所需的建筑物（如厂房等），投标方提供构筑物（如混凝土池、砼基础等），包含正常安装施工所需的预埋件（如穿管、预埋螺栓、螺母及垫片）。</w:t>
      </w:r>
    </w:p>
    <w:p w14:paraId="01234A1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2.招标方提供符合本技术标书中“采购货物概况”和“使用环境”章节所列明品质的电力至系统接口，如：系统电力接口的接线端。</w:t>
      </w:r>
    </w:p>
    <w:p w14:paraId="22FA115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如果投标人认为能源系统接口地点以及操控地点之间的货物数量不清或难以界定，应当以书面方式询标或以单价方式报价；否则视同满足招标人要求。</w:t>
      </w:r>
    </w:p>
    <w:p w14:paraId="4DD776F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3.对于招标文件中无明确具体要求而投标人认为必须具备的其它货物，投标人必须将该部分货物单独报价（该报价含运杂费及税费等其它费用，而且不再作为其它报价涉及的其它费用的计算基数）。</w:t>
      </w:r>
    </w:p>
    <w:p w14:paraId="794D6CC1">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4.以“交钥匙”方式采购的货物，在满足技术标书本节上述要求之外，同时包括货物正常运行、使用所需要的过桥、护栏、防护网、盖板等辅助设施。</w:t>
      </w:r>
    </w:p>
    <w:p w14:paraId="6C5F4CF5">
      <w:pPr>
        <w:spacing w:line="360" w:lineRule="auto"/>
        <w:ind w:firstLine="482" w:firstLineChars="200"/>
        <w:outlineLvl w:val="3"/>
        <w:rPr>
          <w:rFonts w:ascii="宋体" w:hAnsi="宋体" w:eastAsia="宋体" w:cs="宋体"/>
          <w:b/>
          <w:bCs/>
          <w:color w:val="000000"/>
          <w:sz w:val="24"/>
          <w:szCs w:val="24"/>
        </w:rPr>
      </w:pPr>
      <w:r>
        <w:rPr>
          <w:rFonts w:hint="eastAsia" w:ascii="宋体" w:hAnsi="宋体" w:eastAsia="宋体" w:cs="宋体"/>
          <w:b/>
          <w:bCs/>
          <w:color w:val="000000"/>
          <w:sz w:val="24"/>
          <w:szCs w:val="24"/>
        </w:rPr>
        <w:t>二、备品备件、易损件和专用耗材供货范围</w:t>
      </w:r>
    </w:p>
    <w:p w14:paraId="6A22379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1.备品备件、易损件和专用耗材是招标人为保证货物质保期之后正常运行一年所自备自用的备品备件、易损件和专用耗材。</w:t>
      </w:r>
    </w:p>
    <w:p w14:paraId="739E1C9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质保期之内正常需要的备品备件、易损件和专用耗材全部包括在供货范围之内而不属于本条款界定的范围（应有明细）。</w:t>
      </w:r>
    </w:p>
    <w:p w14:paraId="6E31093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2.供货范围包括易损件和专用耗材的制造图纸及其技术要求等资料，如涉及专有技术或无法提供，应在投标文件中予以澄清或说明。</w:t>
      </w:r>
    </w:p>
    <w:p w14:paraId="44D93AC8">
      <w:pPr>
        <w:spacing w:line="360" w:lineRule="auto"/>
        <w:ind w:firstLine="482" w:firstLineChars="200"/>
        <w:outlineLvl w:val="3"/>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三、技术资料供货范围</w:t>
      </w:r>
    </w:p>
    <w:p w14:paraId="330B8AD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技术资料供货范围包括：</w:t>
      </w:r>
    </w:p>
    <w:p w14:paraId="5CF0F30F">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color w:val="000000"/>
          <w:sz w:val="24"/>
          <w:szCs w:val="24"/>
        </w:rPr>
        <w:t>1.在</w:t>
      </w:r>
      <w:r>
        <w:rPr>
          <w:rFonts w:hint="eastAsia" w:ascii="宋体" w:hAnsi="宋体" w:eastAsia="宋体" w:cs="宋体"/>
          <w:bCs/>
          <w:color w:val="000000"/>
          <w:sz w:val="24"/>
          <w:szCs w:val="24"/>
        </w:rPr>
        <w:t>合同签订后</w:t>
      </w:r>
      <w:r>
        <w:rPr>
          <w:rFonts w:hint="eastAsia" w:ascii="宋体" w:hAnsi="宋体" w:eastAsia="宋体" w:cs="宋体"/>
          <w:bCs/>
          <w:color w:val="000000"/>
          <w:sz w:val="24"/>
          <w:szCs w:val="24"/>
          <w:u w:val="single"/>
          <w:shd w:val="pct10" w:color="auto" w:fill="FFFFFF"/>
        </w:rPr>
        <w:t xml:space="preserve"> </w:t>
      </w:r>
      <w:r>
        <w:rPr>
          <w:rFonts w:ascii="宋体" w:hAnsi="宋体" w:eastAsia="宋体" w:cs="宋体"/>
          <w:bCs/>
          <w:color w:val="000000"/>
          <w:sz w:val="24"/>
          <w:szCs w:val="24"/>
          <w:u w:val="single"/>
          <w:shd w:val="pct10" w:color="auto" w:fill="FFFFFF"/>
        </w:rPr>
        <w:t>5</w:t>
      </w:r>
      <w:r>
        <w:rPr>
          <w:rFonts w:hint="eastAsia" w:ascii="宋体" w:hAnsi="宋体" w:eastAsia="宋体" w:cs="宋体"/>
          <w:bCs/>
          <w:color w:val="000000"/>
          <w:sz w:val="24"/>
          <w:szCs w:val="24"/>
          <w:u w:val="single"/>
          <w:shd w:val="pct10" w:color="auto" w:fill="FFFFFF"/>
        </w:rPr>
        <w:t xml:space="preserve"> </w:t>
      </w:r>
      <w:r>
        <w:rPr>
          <w:rFonts w:hint="eastAsia" w:ascii="宋体" w:hAnsi="宋体" w:eastAsia="宋体" w:cs="宋体"/>
          <w:bCs/>
          <w:color w:val="000000"/>
          <w:sz w:val="24"/>
          <w:szCs w:val="24"/>
        </w:rPr>
        <w:t>个日历日内，提供货物基础及相关的设计、制作所需的纸质及电子版资料；电子版文件应当能够使用常用版本软件可以阅读甚至使用，进口货物、设备应有中外文对照。</w:t>
      </w:r>
    </w:p>
    <w:p w14:paraId="161C02F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在终验收前，提供货物各部分的功能描述文件、图片、影像等资料（进口、设备应有中外文对照），提供为保证货物后续正常运行所需的工装、吊（挂）具明细及其图纸、具体技术要求等资料（如果供货范围包含该部分实物）。</w:t>
      </w:r>
    </w:p>
    <w:p w14:paraId="5317E55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3.在终验收前，提供确定的维修所需要且招标方可以自行采购的外购件、外协件、电气元件及主要原材料的供货厂家明细表。</w:t>
      </w:r>
    </w:p>
    <w:p w14:paraId="494341C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4.在终验收前，提供包括货物的备品备件、易损件和专用耗材的图纸及技术参数、技术要求等资料。</w:t>
      </w:r>
    </w:p>
    <w:p w14:paraId="159EAF22">
      <w:pPr>
        <w:spacing w:line="360" w:lineRule="auto"/>
        <w:ind w:firstLine="480" w:firstLineChars="200"/>
        <w:rPr>
          <w:rFonts w:ascii="Times New Roman" w:hAnsi="Times New Roman" w:eastAsia="宋体" w:cs="Times New Roman"/>
          <w:color w:val="000000"/>
          <w:sz w:val="24"/>
          <w:szCs w:val="24"/>
        </w:rPr>
      </w:pPr>
      <w:r>
        <w:rPr>
          <w:rFonts w:hint="eastAsia" w:ascii="宋体" w:hAnsi="宋体" w:eastAsia="宋体" w:cs="宋体"/>
          <w:color w:val="000000"/>
          <w:sz w:val="24"/>
          <w:szCs w:val="24"/>
        </w:rPr>
        <w:t>5.在终验收前，提供关于采购货物的操作维护手册、保养维修手册、安全注意事项等的使用说明书、仪器仪表检定和使用维修说明书、合格证、产品样本等技术资料（含图片和影像等资料）；对于进口设备，应有中外文资料说明。软件部分提供相应的通讯点位表</w:t>
      </w:r>
      <w:r>
        <w:rPr>
          <w:rFonts w:ascii="Times New Roman" w:hAnsi="Times New Roman" w:eastAsia="宋体" w:cs="Times New Roman"/>
          <w:color w:val="000000"/>
          <w:sz w:val="24"/>
          <w:szCs w:val="24"/>
        </w:rPr>
        <w:t>。</w:t>
      </w:r>
    </w:p>
    <w:p w14:paraId="7E5151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在终验收前，提供关于采购货物的电气资料（包括接线图、原理图、布线图、梯形图等）、液压（气动）原理图和系统图、安装基础图、维修图、自制易损件加工图等有关的资料（含图片和影像等资料）；非标准货物还应当提供设计总图、全线布置图等详细资料；对于进口设备，应有中外文资料说明。</w:t>
      </w:r>
    </w:p>
    <w:p w14:paraId="41CF4B2C">
      <w:pPr>
        <w:spacing w:line="360" w:lineRule="auto"/>
        <w:ind w:firstLine="480" w:firstLineChars="200"/>
        <w:rPr>
          <w:rFonts w:ascii="宋体" w:hAnsi="宋体" w:eastAsia="宋体" w:cs="宋体"/>
          <w:color w:val="000000"/>
          <w:sz w:val="24"/>
          <w:szCs w:val="24"/>
        </w:rPr>
      </w:pPr>
      <w:r>
        <w:rPr>
          <w:rFonts w:ascii="宋体" w:hAnsi="宋体" w:eastAsia="宋体" w:cs="宋体"/>
          <w:color w:val="000000"/>
          <w:sz w:val="24"/>
          <w:szCs w:val="24"/>
        </w:rPr>
        <w:t>7</w:t>
      </w:r>
      <w:r>
        <w:rPr>
          <w:rFonts w:hint="eastAsia" w:ascii="宋体" w:hAnsi="宋体" w:eastAsia="宋体" w:cs="宋体"/>
          <w:color w:val="000000"/>
          <w:sz w:val="24"/>
          <w:szCs w:val="24"/>
        </w:rPr>
        <w:t>.本条款所列要求，如招标人认为投标人提供的资料不能满足要求时，有权要求投标人免费补充或增加。</w:t>
      </w:r>
    </w:p>
    <w:p w14:paraId="125B56B1">
      <w:pPr>
        <w:spacing w:line="360" w:lineRule="auto"/>
        <w:ind w:firstLine="482" w:firstLineChars="200"/>
        <w:outlineLvl w:val="3"/>
        <w:rPr>
          <w:rFonts w:ascii="宋体" w:hAnsi="宋体" w:eastAsia="宋体" w:cs="宋体"/>
          <w:b/>
          <w:bCs/>
          <w:color w:val="000000"/>
          <w:sz w:val="24"/>
          <w:szCs w:val="24"/>
        </w:rPr>
      </w:pPr>
      <w:r>
        <w:rPr>
          <w:rFonts w:hint="eastAsia" w:ascii="宋体" w:hAnsi="宋体" w:eastAsia="宋体" w:cs="宋体"/>
          <w:b/>
          <w:bCs/>
          <w:color w:val="000000"/>
          <w:sz w:val="24"/>
          <w:szCs w:val="24"/>
        </w:rPr>
        <w:t>四、供货范围特别提示</w:t>
      </w:r>
    </w:p>
    <w:p w14:paraId="62365968">
      <w:pPr>
        <w:spacing w:line="56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如果投标人认为本节所列的供货范围难以满足，则仍需要按照本要求提供，但该部分货物应当在投标报价中单独列明货物名称及品质、货值。</w:t>
      </w:r>
    </w:p>
    <w:p w14:paraId="392AFFC1">
      <w:pPr>
        <w:keepNext/>
        <w:keepLines/>
        <w:widowControl w:val="0"/>
        <w:spacing w:line="360" w:lineRule="auto"/>
        <w:jc w:val="both"/>
        <w:outlineLvl w:val="1"/>
        <w:rPr>
          <w:rFonts w:hint="eastAsia" w:ascii="Arial" w:hAnsi="Arial" w:eastAsia="宋体" w:cs="Times New Roman"/>
          <w:b/>
          <w:bCs/>
          <w:color w:val="000000"/>
          <w:kern w:val="2"/>
          <w:sz w:val="24"/>
          <w:szCs w:val="32"/>
          <w:lang w:val="en-US" w:eastAsia="zh-CN" w:bidi="ar-SA"/>
        </w:rPr>
      </w:pPr>
    </w:p>
    <w:p w14:paraId="7752CBA0">
      <w:pPr>
        <w:keepNext/>
        <w:keepLines/>
        <w:numPr>
          <w:ilvl w:val="0"/>
          <w:numId w:val="13"/>
        </w:numPr>
        <w:spacing w:line="360" w:lineRule="auto"/>
        <w:ind w:firstLine="723" w:firstLineChars="300"/>
        <w:jc w:val="center"/>
        <w:outlineLvl w:val="4"/>
        <w:rPr>
          <w:rFonts w:hint="eastAsia" w:ascii="宋体" w:hAnsi="宋体" w:eastAsia="宋体" w:cs="宋体"/>
          <w:b/>
          <w:bCs/>
          <w:color w:val="000000"/>
          <w:sz w:val="24"/>
          <w:szCs w:val="32"/>
        </w:rPr>
      </w:pPr>
      <w:r>
        <w:rPr>
          <w:rFonts w:hint="eastAsia" w:ascii="宋体" w:hAnsi="宋体" w:eastAsia="宋体" w:cs="宋体"/>
          <w:b/>
          <w:bCs/>
          <w:color w:val="000000"/>
          <w:sz w:val="24"/>
          <w:szCs w:val="32"/>
        </w:rPr>
        <w:t>供货方式</w:t>
      </w:r>
    </w:p>
    <w:p w14:paraId="49FBAE14">
      <w:pPr>
        <w:spacing w:line="360" w:lineRule="auto"/>
        <w:ind w:firstLine="482" w:firstLineChars="200"/>
        <w:outlineLvl w:val="3"/>
        <w:rPr>
          <w:rFonts w:ascii="宋体" w:hAnsi="宋体" w:eastAsia="宋体" w:cs="宋体"/>
          <w:color w:val="000000"/>
          <w:sz w:val="24"/>
          <w:szCs w:val="24"/>
        </w:rPr>
      </w:pPr>
      <w:r>
        <w:rPr>
          <w:rFonts w:hint="eastAsia" w:ascii="宋体" w:hAnsi="宋体" w:eastAsia="宋体" w:cs="宋体"/>
          <w:b/>
          <w:color w:val="000000"/>
          <w:sz w:val="24"/>
          <w:szCs w:val="24"/>
        </w:rPr>
        <w:t>一、供货方式</w:t>
      </w:r>
    </w:p>
    <w:p w14:paraId="058D8338">
      <w:pPr>
        <w:spacing w:line="360" w:lineRule="auto"/>
        <w:ind w:firstLine="480" w:firstLineChars="200"/>
        <w:rPr>
          <w:rFonts w:ascii="Times New Roman" w:hAnsi="Times New Roman" w:eastAsia="宋体" w:cs="Times New Roman"/>
          <w:color w:val="000000"/>
          <w:sz w:val="24"/>
          <w:szCs w:val="24"/>
        </w:rPr>
      </w:pPr>
      <w:r>
        <w:rPr>
          <w:rFonts w:hint="eastAsia" w:ascii="宋体" w:hAnsi="宋体" w:eastAsia="宋体" w:cs="宋体"/>
          <w:color w:val="000000"/>
          <w:sz w:val="24"/>
          <w:szCs w:val="24"/>
        </w:rPr>
        <w:t>完全交钥匙方式，即本次招标货物至少包括以下货物及服务：非标或特需设计、制造、至交货地点的运输（含定点装卸）、安装、调试、招标方安装地竣工验收服务、货物移交、约定培训等全流程范围。</w:t>
      </w:r>
    </w:p>
    <w:p w14:paraId="27D48459">
      <w:pPr>
        <w:spacing w:line="360" w:lineRule="auto"/>
        <w:ind w:firstLine="482" w:firstLineChars="200"/>
        <w:outlineLvl w:val="3"/>
        <w:rPr>
          <w:rFonts w:ascii="宋体" w:hAnsi="宋体" w:eastAsia="宋体" w:cs="宋体"/>
          <w:color w:val="000000"/>
          <w:sz w:val="24"/>
          <w:szCs w:val="24"/>
        </w:rPr>
      </w:pPr>
      <w:r>
        <w:rPr>
          <w:rFonts w:hint="eastAsia" w:ascii="宋体" w:hAnsi="宋体" w:eastAsia="宋体" w:cs="宋体"/>
          <w:b/>
          <w:bCs/>
          <w:color w:val="000000"/>
          <w:sz w:val="24"/>
          <w:szCs w:val="24"/>
        </w:rPr>
        <w:t>二、供货地点：</w:t>
      </w:r>
      <w:r>
        <w:rPr>
          <w:rFonts w:hint="eastAsia" w:ascii="宋体" w:hAnsi="宋体" w:eastAsia="宋体" w:cs="宋体"/>
          <w:color w:val="000000"/>
          <w:sz w:val="24"/>
          <w:szCs w:val="24"/>
          <w:u w:val="single"/>
        </w:rPr>
        <w:t>济南市章丘区济南成型厂1</w:t>
      </w:r>
      <w:r>
        <w:rPr>
          <w:rFonts w:ascii="宋体" w:hAnsi="宋体" w:eastAsia="宋体" w:cs="宋体"/>
          <w:color w:val="000000"/>
          <w:sz w:val="24"/>
          <w:szCs w:val="24"/>
          <w:u w:val="single"/>
        </w:rPr>
        <w:t>10kV</w:t>
      </w:r>
      <w:r>
        <w:rPr>
          <w:rFonts w:hint="eastAsia" w:ascii="宋体" w:hAnsi="宋体" w:eastAsia="宋体" w:cs="宋体"/>
          <w:color w:val="000000"/>
          <w:sz w:val="24"/>
          <w:szCs w:val="24"/>
          <w:u w:val="single"/>
        </w:rPr>
        <w:t>变电站</w:t>
      </w:r>
      <w:r>
        <w:rPr>
          <w:rFonts w:hint="eastAsia" w:ascii="宋体" w:hAnsi="宋体" w:eastAsia="宋体" w:cs="宋体"/>
          <w:color w:val="000000"/>
          <w:sz w:val="24"/>
          <w:szCs w:val="24"/>
        </w:rPr>
        <w:t>。</w:t>
      </w:r>
    </w:p>
    <w:p w14:paraId="308B9DB1">
      <w:pPr>
        <w:spacing w:line="360" w:lineRule="auto"/>
        <w:ind w:firstLine="482" w:firstLineChars="200"/>
        <w:outlineLvl w:val="3"/>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三、供货时间</w:t>
      </w:r>
    </w:p>
    <w:p w14:paraId="789EB0A9">
      <w:pPr>
        <w:spacing w:line="360" w:lineRule="auto"/>
        <w:ind w:firstLine="480" w:firstLineChars="200"/>
        <w:jc w:val="left"/>
        <w:rPr>
          <w:rFonts w:hint="eastAsia" w:ascii="宋体" w:hAnsi="宋体" w:eastAsia="宋体" w:cs="宋体"/>
          <w:color w:val="000000"/>
          <w:sz w:val="24"/>
          <w:szCs w:val="22"/>
        </w:rPr>
      </w:pPr>
      <w:r>
        <w:rPr>
          <w:rFonts w:hint="eastAsia" w:ascii="宋体" w:hAnsi="宋体" w:eastAsia="宋体" w:cs="宋体"/>
          <w:color w:val="000000"/>
          <w:sz w:val="24"/>
          <w:szCs w:val="22"/>
        </w:rPr>
        <w:t>1.投标方应自中标通知书下发之日起，</w:t>
      </w:r>
      <w:r>
        <w:rPr>
          <w:rFonts w:ascii="宋体" w:hAnsi="宋体" w:eastAsia="宋体" w:cs="宋体"/>
          <w:color w:val="000000"/>
          <w:sz w:val="24"/>
          <w:szCs w:val="22"/>
        </w:rPr>
        <w:t>5</w:t>
      </w:r>
      <w:r>
        <w:rPr>
          <w:rFonts w:hint="eastAsia" w:ascii="宋体" w:hAnsi="宋体" w:eastAsia="宋体" w:cs="宋体"/>
          <w:color w:val="000000"/>
          <w:sz w:val="24"/>
          <w:szCs w:val="22"/>
        </w:rPr>
        <w:t>个日历日之内交货至供货地点；</w:t>
      </w:r>
    </w:p>
    <w:p w14:paraId="2773D9EF">
      <w:pPr>
        <w:spacing w:line="360" w:lineRule="auto"/>
        <w:ind w:firstLine="480" w:firstLineChars="200"/>
        <w:jc w:val="left"/>
        <w:rPr>
          <w:rFonts w:hint="eastAsia" w:ascii="宋体" w:hAnsi="宋体" w:eastAsia="宋体" w:cs="宋体"/>
          <w:color w:val="000000"/>
          <w:sz w:val="24"/>
          <w:szCs w:val="22"/>
        </w:rPr>
      </w:pPr>
      <w:r>
        <w:rPr>
          <w:rFonts w:hint="eastAsia" w:ascii="宋体" w:hAnsi="宋体" w:eastAsia="宋体" w:cs="宋体"/>
          <w:color w:val="000000"/>
          <w:sz w:val="24"/>
          <w:szCs w:val="22"/>
        </w:rPr>
        <w:t>2.接续</w:t>
      </w:r>
      <w:r>
        <w:rPr>
          <w:rFonts w:ascii="宋体" w:hAnsi="宋体" w:eastAsia="宋体" w:cs="宋体"/>
          <w:color w:val="000000"/>
          <w:sz w:val="24"/>
          <w:szCs w:val="22"/>
        </w:rPr>
        <w:t>5</w:t>
      </w:r>
      <w:r>
        <w:rPr>
          <w:rFonts w:hint="eastAsia" w:ascii="宋体" w:hAnsi="宋体" w:eastAsia="宋体" w:cs="宋体"/>
          <w:color w:val="000000"/>
          <w:sz w:val="24"/>
          <w:szCs w:val="22"/>
        </w:rPr>
        <w:t>个日历日之内完成设备的安装调试；</w:t>
      </w:r>
    </w:p>
    <w:p w14:paraId="0857B714">
      <w:pPr>
        <w:spacing w:line="360" w:lineRule="auto"/>
        <w:ind w:firstLine="480" w:firstLineChars="200"/>
        <w:jc w:val="left"/>
        <w:rPr>
          <w:rFonts w:hint="eastAsia" w:ascii="宋体" w:hAnsi="宋体" w:eastAsia="宋体" w:cs="宋体"/>
          <w:color w:val="000000"/>
          <w:sz w:val="24"/>
          <w:szCs w:val="22"/>
        </w:rPr>
      </w:pPr>
      <w:r>
        <w:rPr>
          <w:rFonts w:hint="eastAsia" w:ascii="宋体" w:hAnsi="宋体" w:eastAsia="宋体" w:cs="宋体"/>
          <w:color w:val="000000"/>
          <w:sz w:val="24"/>
          <w:szCs w:val="22"/>
        </w:rPr>
        <w:t>3.接续30个日历日之内完成（或协助完成）终验收。</w:t>
      </w:r>
    </w:p>
    <w:p w14:paraId="3CE600E9">
      <w:pPr>
        <w:spacing w:line="360" w:lineRule="auto"/>
        <w:ind w:firstLine="480" w:firstLineChars="200"/>
        <w:outlineLvl w:val="3"/>
        <w:rPr>
          <w:rFonts w:hint="eastAsia" w:ascii="宋体" w:hAnsi="宋体" w:eastAsia="宋体" w:cs="宋体"/>
          <w:b/>
          <w:bCs/>
          <w:color w:val="000000"/>
          <w:sz w:val="24"/>
          <w:szCs w:val="24"/>
        </w:rPr>
      </w:pPr>
      <w:r>
        <w:rPr>
          <w:rFonts w:hint="eastAsia" w:ascii="宋体" w:hAnsi="宋体" w:eastAsia="宋体" w:cs="宋体"/>
          <w:color w:val="000000"/>
          <w:sz w:val="24"/>
          <w:szCs w:val="24"/>
        </w:rPr>
        <w:t>安装调试时间或终验收时间超过规定时间的，投标人应当随标书提供详细的工期计划。</w:t>
      </w:r>
    </w:p>
    <w:p w14:paraId="4F74C46B">
      <w:pPr>
        <w:spacing w:line="360" w:lineRule="auto"/>
        <w:ind w:firstLine="482" w:firstLineChars="200"/>
        <w:outlineLvl w:val="3"/>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四、包装</w:t>
      </w:r>
    </w:p>
    <w:p w14:paraId="3B552D16">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1.投标方所提供货物（或设备）的包装，应遵照国家标准和有关包装、包皮的技术条件，或按照最好的商业惯例进行包装。</w:t>
      </w:r>
    </w:p>
    <w:p w14:paraId="1D42C7B2">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2.包装应能满足所需要采取的运输方式（船运、汽运或铁路运输）、多次吊装卸装、卸货以及长期露天堆放要求，应能防止雨淋、受潮、生锈、腐蚀、受振、受磁以及机械和化学因素等引起的损坏。</w:t>
      </w:r>
    </w:p>
    <w:p w14:paraId="3F66528F">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3.投标方所提供货物（或设备）的包装，应能防止其一般性被窃或受外力破坏；一般不得采用有大缝隙的板条包装。</w:t>
      </w:r>
    </w:p>
    <w:p w14:paraId="5FB18360">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4.投标方应对包装件做必要的加固和固定，以防止运输可能造成的损坏。</w:t>
      </w:r>
    </w:p>
    <w:p w14:paraId="10EF32D7">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5.每个包装件应有装箱单，并至少标明名称、型号规格、数量、净重和毛重、投标方（或供货商）名称和制造日期等相关内容。</w:t>
      </w:r>
    </w:p>
    <w:p w14:paraId="02266C23">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6.每个包装箱应有明显标志，并具有中文书写的合同号、装运标志、发货和到货地点名称、发货人和收货人名称、货物（或生产线）名称和项目号、箱号和外型尺寸等内容。</w:t>
      </w:r>
    </w:p>
    <w:p w14:paraId="75988A70">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7.投标方还应按照不同的装运要求在包装箱上标明“小心轻放”、“箭头向上”、“防潮”、“防磁”、“不准平放”等标志，以及其它适用的国标通用标志。</w:t>
      </w:r>
    </w:p>
    <w:p w14:paraId="07F0FA6A">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8.包装箱应连续编号，不应出现重复编号。</w:t>
      </w:r>
    </w:p>
    <w:p w14:paraId="627D934D">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9.在不受到外界破坏情况下，包装应保证自交货日起一年内货物（或设备）完好无损。</w:t>
      </w:r>
    </w:p>
    <w:p w14:paraId="27FBD79E">
      <w:pPr>
        <w:spacing w:line="360" w:lineRule="auto"/>
        <w:ind w:firstLine="482" w:firstLineChars="200"/>
        <w:outlineLvl w:val="3"/>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五、运输</w:t>
      </w:r>
    </w:p>
    <w:p w14:paraId="147BDD49">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1.投标方应负责将货物（或设备）运到目的地，并必须做到货物（或设备）在任何运输过程中不受损坏和遗失。</w:t>
      </w:r>
    </w:p>
    <w:p w14:paraId="27837C65">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2. 同批货物（或设备）应统一包装、编号运输。</w:t>
      </w:r>
    </w:p>
    <w:p w14:paraId="74BC3EB2">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3.一般情况下，经由铁路、公路运输的包装件尺寸和重量不应超过国家所规定的尺寸限制。特殊情况应予以说明。</w:t>
      </w:r>
    </w:p>
    <w:p w14:paraId="3E5FA015">
      <w:pPr>
        <w:adjustRightInd w:val="0"/>
        <w:snapToGrid w:val="0"/>
        <w:spacing w:line="360" w:lineRule="auto"/>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4.在每批货物（或设备）发出后，投标方应立即通知招标方；通知中应指明：合同号、货运单号、件数、重量和货物（或设备）发出日期等相关内容。</w:t>
      </w:r>
    </w:p>
    <w:p w14:paraId="08F8A6A6">
      <w:pPr>
        <w:adjustRightInd w:val="0"/>
        <w:snapToGrid w:val="0"/>
        <w:spacing w:line="360" w:lineRule="auto"/>
        <w:ind w:firstLine="480" w:firstLineChars="200"/>
        <w:rPr>
          <w:rFonts w:hint="eastAsia" w:ascii="Calibri" w:hAnsi="Calibri" w:eastAsia="宋体" w:cs="Times New Roman"/>
          <w:b/>
          <w:bCs/>
          <w:color w:val="000000"/>
          <w:kern w:val="44"/>
          <w:sz w:val="28"/>
          <w:szCs w:val="28"/>
        </w:rPr>
      </w:pPr>
      <w:r>
        <w:rPr>
          <w:rFonts w:hint="eastAsia" w:ascii="宋体" w:hAnsi="宋体" w:eastAsia="宋体" w:cs="宋体"/>
          <w:color w:val="000000"/>
          <w:sz w:val="24"/>
          <w:szCs w:val="22"/>
        </w:rPr>
        <w:t>5.货物（或设备）运抵招标方现场后，投标方应负责货物（或设备）的卸货、搬运、保管等事宜；或按照合同约定。</w:t>
      </w:r>
      <w:bookmarkStart w:id="27" w:name="_Toc169605884"/>
    </w:p>
    <w:p w14:paraId="4C85A5D1">
      <w:pPr>
        <w:keepLines/>
        <w:spacing w:line="360" w:lineRule="auto"/>
        <w:ind w:firstLine="843" w:firstLineChars="300"/>
        <w:jc w:val="center"/>
        <w:outlineLvl w:val="1"/>
        <w:rPr>
          <w:rFonts w:ascii="Calibri" w:hAnsi="Calibri" w:eastAsia="宋体" w:cs="Times New Roman"/>
          <w:b/>
          <w:bCs/>
          <w:color w:val="000000"/>
          <w:kern w:val="44"/>
          <w:sz w:val="28"/>
          <w:szCs w:val="28"/>
        </w:rPr>
      </w:pPr>
      <w:r>
        <w:rPr>
          <w:rFonts w:hint="eastAsia" w:ascii="Calibri" w:hAnsi="Calibri" w:eastAsia="宋体" w:cs="Times New Roman"/>
          <w:b/>
          <w:bCs/>
          <w:color w:val="000000"/>
          <w:kern w:val="44"/>
          <w:sz w:val="28"/>
          <w:szCs w:val="28"/>
        </w:rPr>
        <w:t>第四章</w:t>
      </w:r>
      <w:r>
        <w:rPr>
          <w:rFonts w:ascii="Calibri" w:hAnsi="Calibri" w:eastAsia="宋体" w:cs="Times New Roman"/>
          <w:b/>
          <w:bCs/>
          <w:color w:val="000000"/>
          <w:kern w:val="44"/>
          <w:sz w:val="28"/>
          <w:szCs w:val="28"/>
        </w:rPr>
        <w:t xml:space="preserve">  </w:t>
      </w:r>
      <w:r>
        <w:rPr>
          <w:rFonts w:hint="eastAsia" w:ascii="Calibri" w:hAnsi="Calibri" w:eastAsia="宋体" w:cs="Times New Roman"/>
          <w:b/>
          <w:bCs/>
          <w:color w:val="000000"/>
          <w:kern w:val="44"/>
          <w:sz w:val="28"/>
          <w:szCs w:val="28"/>
        </w:rPr>
        <w:t>质保期及售后服务</w:t>
      </w:r>
      <w:bookmarkEnd w:id="27"/>
    </w:p>
    <w:p w14:paraId="0D877E8D">
      <w:pPr>
        <w:keepNext/>
        <w:keepLines/>
        <w:widowControl w:val="0"/>
        <w:spacing w:before="0" w:after="0" w:line="360" w:lineRule="auto"/>
        <w:ind w:firstLine="482" w:firstLineChars="200"/>
        <w:jc w:val="both"/>
        <w:outlineLvl w:val="2"/>
        <w:rPr>
          <w:rFonts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一、质保期及质保要求</w:t>
      </w:r>
    </w:p>
    <w:p w14:paraId="61E37F0C">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1.全部供货范围内的设备、材料、零配件和工器具等，除合同特别约定外，其质保期均自终验收签字生效之日起 </w:t>
      </w:r>
      <w:r>
        <w:rPr>
          <w:rFonts w:hint="eastAsia" w:ascii="宋体" w:hAnsi="宋体" w:eastAsia="宋体" w:cs="宋体"/>
          <w:color w:val="000000"/>
          <w:sz w:val="24"/>
          <w:szCs w:val="24"/>
          <w:u w:val="single"/>
        </w:rPr>
        <w:t>12</w:t>
      </w:r>
      <w:r>
        <w:rPr>
          <w:rFonts w:hint="eastAsia" w:ascii="宋体" w:hAnsi="宋体" w:eastAsia="宋体" w:cs="宋体"/>
          <w:color w:val="000000"/>
          <w:sz w:val="24"/>
          <w:szCs w:val="24"/>
        </w:rPr>
        <w:t xml:space="preserve"> 个月。</w:t>
      </w:r>
    </w:p>
    <w:p w14:paraId="3D4E27E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投标货物或涉及的关键总成和零件，如果有更长时间质保期，允许更改并说明，此将有利于投标人。</w:t>
      </w:r>
    </w:p>
    <w:p w14:paraId="11B39D61">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设计使用寿命短于质保期的易损件除外，但属于易损件的，应当有明确说明。</w:t>
      </w:r>
    </w:p>
    <w:p w14:paraId="1DBA2FE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2.质保期之内，如果货物出现设备、总成、关键零部件或者多处一般零部件的二次以上的更换或维修行为，则质保期自更换或维修行为结束、货物重新正常运行使用之日起重新计算。</w:t>
      </w:r>
    </w:p>
    <w:p w14:paraId="5303DF1F">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3.质保期内免费提供零部件和及时有效的服务。质保期内因货物本身缺陷造成的各种故障，投标方应负责免费维修和服务。</w:t>
      </w:r>
    </w:p>
    <w:p w14:paraId="52A6D91A">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4.质保期终止之日起一年内重复出现的质保期之内出现的故障，仍属质保范围而且应当免费。</w:t>
      </w:r>
    </w:p>
    <w:p w14:paraId="07AE4BB0">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二、技术及培训服务</w:t>
      </w:r>
    </w:p>
    <w:p w14:paraId="14801A9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1.应负责在招标方货物使用现场，对技术、维修和操作人员提供免费的理论、技术和操作、维修等方面的技术指导和培训，并接受招标方有关人员的技术咨询。培训工作日不少于</w:t>
      </w:r>
      <w:r>
        <w:rPr>
          <w:rFonts w:ascii="宋体" w:hAnsi="宋体" w:eastAsia="宋体" w:cs="宋体"/>
          <w:color w:val="000000"/>
          <w:sz w:val="24"/>
          <w:szCs w:val="24"/>
          <w:u w:val="single"/>
        </w:rPr>
        <w:t>3</w:t>
      </w:r>
      <w:r>
        <w:rPr>
          <w:rFonts w:hint="eastAsia" w:ascii="宋体" w:hAnsi="宋体" w:eastAsia="宋体" w:cs="宋体"/>
          <w:color w:val="000000"/>
          <w:sz w:val="24"/>
          <w:szCs w:val="24"/>
        </w:rPr>
        <w:t>个日历日。</w:t>
      </w:r>
    </w:p>
    <w:p w14:paraId="6CAD09C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2.应免费提供一定数量的培训资料。</w:t>
      </w:r>
    </w:p>
    <w:p w14:paraId="59AA3E4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3.应按要求免费积极协助和提供招标方以及招标方所委托的工程设计单位有关人员所需要的、与货物有关的工程设计资料、技术咨询等。</w:t>
      </w:r>
    </w:p>
    <w:p w14:paraId="17EE03F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4.若投标方提供货物涉及到外购外协货物、而且该货物的技术质量等较为关键时，投标方应能保证得到配套厂家的技术支持，并免费为招标方提供技术服务。</w:t>
      </w:r>
    </w:p>
    <w:p w14:paraId="459BFA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3B86FE92">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三、安装调试及验收服务</w:t>
      </w:r>
    </w:p>
    <w:p w14:paraId="6AFDB5BF">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指导安装调试或负责安装调试以及协助验收，投标人均应在投标文件中明确其收费额或免费约定，否则视同免费；安装调试及验收服务均应按照合同约定或协议、通知及时组织并完成。因投标方原因造成的延期，所发生的费用全部由投标方承担。</w:t>
      </w:r>
    </w:p>
    <w:p w14:paraId="260CF41E">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2.若投标方提供的货物涉及到外购外协货物、而且该货物的技术质量等较为关键时，应保证能得到供应商的技术支持，并免费为招标方提供安装使用现场的指导与培训。</w:t>
      </w:r>
    </w:p>
    <w:p w14:paraId="1ABFF9A0">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根据货物的要求，调试及验收可分空载和负载两个阶段进行；招标方将积极协助投标方达到货物的各项技术指标和性能要求。投标方在招标方现场进行的货物的安装、调试和试运行，招标方有权参与，投标方应无条件向招标方提供现场记录和试运行数据及报告。</w:t>
      </w:r>
    </w:p>
    <w:p w14:paraId="6106A5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在投标方所提供货物需要得到招标方建设项目所在地政府或行业主管部门的查验、试验、验收时，投标方应当免费完成或协助招标人完成所需要的工作、材料和服务等。协助完成的，应当在投标文件报价内容中予以说明，否则视同免费。</w:t>
      </w:r>
    </w:p>
    <w:p w14:paraId="79DC0CF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5.投标方应当向招标方提供货物试验、验收的有关标准、规范和方法，同时提供货物涉及并使用的软件合法性证明。</w:t>
      </w:r>
    </w:p>
    <w:p w14:paraId="384E436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6.服务缺陷视同货物缺陷和履约延期。</w:t>
      </w:r>
    </w:p>
    <w:p w14:paraId="4893EF43">
      <w:pPr>
        <w:keepNext/>
        <w:keepLines/>
        <w:widowControl w:val="0"/>
        <w:adjustRightInd w:val="0"/>
        <w:spacing w:before="0" w:after="0" w:line="360" w:lineRule="auto"/>
        <w:ind w:firstLine="482" w:firstLineChars="200"/>
        <w:jc w:val="both"/>
        <w:textAlignment w:val="baseline"/>
        <w:outlineLvl w:val="2"/>
        <w:rPr>
          <w:rFonts w:hint="eastAsia" w:ascii="宋体" w:hAnsi="宋体" w:eastAsia="宋体" w:cs="宋体"/>
          <w:b/>
          <w:bCs w:val="0"/>
          <w:color w:val="000000"/>
          <w:kern w:val="0"/>
          <w:sz w:val="24"/>
          <w:szCs w:val="24"/>
          <w:lang w:val="en-US" w:eastAsia="zh-CN" w:bidi="ar-SA"/>
        </w:rPr>
      </w:pPr>
      <w:r>
        <w:rPr>
          <w:rFonts w:hint="eastAsia" w:ascii="宋体" w:hAnsi="宋体" w:eastAsia="宋体" w:cs="宋体"/>
          <w:b/>
          <w:bCs w:val="0"/>
          <w:color w:val="000000"/>
          <w:kern w:val="0"/>
          <w:sz w:val="24"/>
          <w:szCs w:val="24"/>
          <w:lang w:val="en-US" w:eastAsia="zh-CN" w:bidi="ar-SA"/>
        </w:rPr>
        <w:t>四、售后服务</w:t>
      </w:r>
    </w:p>
    <w:p w14:paraId="6B63825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1.投标方提供的货物涉及的所有售后服务均由投标方负责。如果发生问题并且收到通知，投标方应当在2小时内予以答复。</w:t>
      </w:r>
    </w:p>
    <w:p w14:paraId="4ED9ED6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2.如发现所提供的货物存在问题，需要投标方解决或配合解决时：在质保期之内，应在接到通知后24小时内派有关人员到达现场；在质保期之外，应在接到通知后72小时内派有关人员到达现场。</w:t>
      </w:r>
    </w:p>
    <w:p w14:paraId="580E006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3.投标方派往招标方使用现场的人员，应具有较高的业务素质；现场解决问题时，不得无故拖延或推迟，应为招标方提供最佳的服务。</w:t>
      </w:r>
    </w:p>
    <w:p w14:paraId="1FE4C2CD">
      <w:pPr>
        <w:keepNext/>
        <w:keepLines/>
        <w:widowControl w:val="0"/>
        <w:adjustRightInd w:val="0"/>
        <w:spacing w:before="0" w:after="0" w:line="360" w:lineRule="auto"/>
        <w:ind w:firstLine="482" w:firstLineChars="200"/>
        <w:jc w:val="both"/>
        <w:textAlignment w:val="baseline"/>
        <w:outlineLvl w:val="2"/>
        <w:rPr>
          <w:rFonts w:hint="eastAsia" w:ascii="宋体" w:hAnsi="宋体" w:eastAsia="宋体" w:cs="宋体"/>
          <w:b/>
          <w:bCs w:val="0"/>
          <w:color w:val="000000"/>
          <w:kern w:val="0"/>
          <w:sz w:val="24"/>
          <w:szCs w:val="24"/>
          <w:lang w:val="en-US" w:eastAsia="zh-CN" w:bidi="ar-SA"/>
        </w:rPr>
      </w:pPr>
      <w:r>
        <w:rPr>
          <w:rFonts w:hint="eastAsia" w:ascii="宋体" w:hAnsi="宋体" w:eastAsia="宋体" w:cs="宋体"/>
          <w:b/>
          <w:bCs w:val="0"/>
          <w:color w:val="000000"/>
          <w:kern w:val="0"/>
          <w:sz w:val="24"/>
          <w:szCs w:val="24"/>
          <w:lang w:val="en-US" w:eastAsia="zh-CN" w:bidi="ar-SA"/>
        </w:rPr>
        <w:t>五、其它服务</w:t>
      </w:r>
    </w:p>
    <w:p w14:paraId="4F1FB5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1.若投标方所提供货物有需要进口的，投标方一般应自行、自费办理；必要时，买卖双方共同办理。</w:t>
      </w:r>
    </w:p>
    <w:p w14:paraId="3F8FE0C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2.除招标文件、投标文件、答疑文件、技术标书、合同等约定之外，投标方应免费负责必要的或强制性的货物的检验、试验、化验等直接费用。</w:t>
      </w:r>
    </w:p>
    <w:p w14:paraId="710AED87">
      <w:pPr>
        <w:spacing w:line="360" w:lineRule="auto"/>
        <w:ind w:firstLine="480" w:firstLineChars="200"/>
        <w:rPr>
          <w:rFonts w:hint="eastAsia" w:ascii="Calibri" w:hAnsi="Calibri" w:eastAsia="宋体" w:cs="Times New Roman"/>
          <w:b/>
          <w:bCs/>
          <w:color w:val="000000"/>
          <w:kern w:val="44"/>
          <w:sz w:val="28"/>
          <w:szCs w:val="28"/>
        </w:rPr>
      </w:pPr>
      <w:r>
        <w:rPr>
          <w:rFonts w:hint="eastAsia" w:ascii="宋体" w:hAnsi="宋体" w:eastAsia="宋体" w:cs="宋体"/>
          <w:color w:val="000000"/>
          <w:sz w:val="24"/>
          <w:szCs w:val="24"/>
        </w:rPr>
        <w:t>3.本章节条款所列“免费”，并非指定不可收费，而是指招标文件、投标文件、答疑文件、技术交流文件、技术标书和合同等范围之外，投标人不可另行收取的费用。</w:t>
      </w:r>
      <w:bookmarkStart w:id="28" w:name="_Toc465187646"/>
    </w:p>
    <w:p w14:paraId="7048033C">
      <w:pPr>
        <w:keepLines/>
        <w:spacing w:line="360" w:lineRule="auto"/>
        <w:jc w:val="center"/>
        <w:outlineLvl w:val="1"/>
        <w:rPr>
          <w:rFonts w:hint="eastAsia" w:ascii="Calibri" w:hAnsi="Calibri" w:eastAsia="宋体" w:cs="Times New Roman"/>
          <w:b/>
          <w:bCs/>
          <w:color w:val="000000"/>
          <w:kern w:val="44"/>
          <w:sz w:val="28"/>
          <w:szCs w:val="28"/>
        </w:rPr>
      </w:pPr>
      <w:r>
        <w:rPr>
          <w:rFonts w:hint="eastAsia" w:ascii="Calibri" w:hAnsi="Calibri" w:eastAsia="宋体" w:cs="Times New Roman"/>
          <w:b/>
          <w:bCs/>
          <w:color w:val="000000"/>
          <w:kern w:val="44"/>
          <w:sz w:val="28"/>
          <w:szCs w:val="28"/>
        </w:rPr>
        <w:t>第五章  预验收和终验收</w:t>
      </w:r>
      <w:bookmarkEnd w:id="28"/>
    </w:p>
    <w:p w14:paraId="780A4587">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一、验收依据和验收标准</w:t>
      </w:r>
    </w:p>
    <w:p w14:paraId="0525ABA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1.验收标准一般以技术标书和合同规定验收。无论技术标书和合同，是否全部并准确列明验收所涉及的相关标准，均作为验收标准之一。</w:t>
      </w:r>
    </w:p>
    <w:p w14:paraId="1CEAC475">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2.如果验收过程中，发现招标文件、投标文件、答疑文件、技术交流文件等与技术标书、合同存在差异，原则上以涉及条款中对招标方最有利条款为验收依据。</w:t>
      </w:r>
    </w:p>
    <w:p w14:paraId="36FAD72F">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二、检验</w:t>
      </w:r>
    </w:p>
    <w:p w14:paraId="2011B56D">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如果采购货物涉及必要的或必需的检验，投标人应当在投标文件中明确可能涉及的检验费用，并将该费用包含在投标总报价之内；不作针对性澄清或说明的，视同包含在投标总价之内。基本约定如下：</w:t>
      </w:r>
    </w:p>
    <w:p w14:paraId="65130D10">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14:paraId="47BE1ECD">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2.进口货物的检验，投标方需要按照下述要求进行：</w:t>
      </w:r>
    </w:p>
    <w:p w14:paraId="6889BFF2">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2.1 进口货物发货前，应对货物的质量、型号、规格、性能和数量/重量作精密、全面的检验，并出具证明书，证明所供货物符合合同规定。</w:t>
      </w:r>
    </w:p>
    <w:p w14:paraId="2DBBF1E7">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2.2 应依据合同规定的要求，提供买卖双方达成一致的货物的验收标准和装箱单，作为招标方检验的依据。</w:t>
      </w:r>
    </w:p>
    <w:p w14:paraId="2D2E481D">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2.3 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08E583DA">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三、验收基本条件</w:t>
      </w:r>
    </w:p>
    <w:p w14:paraId="04B00984">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一般在投标方现场进行（，终验收在安装调试完成及试运行后的招标方现场进行。但是所有的项目，包括不能预验收的项目和预验收通过的项目都在终验收时重新检验，最终只以终验收为准。</w:t>
      </w:r>
    </w:p>
    <w:p w14:paraId="1ABB29D7">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买卖双方按照合同约定执行了合同，同时货物完成了试运行并经检验合格，则具备验收条件。</w:t>
      </w:r>
    </w:p>
    <w:p w14:paraId="02680CCB">
      <w:pPr>
        <w:adjustRightInd w:val="0"/>
        <w:snapToGrid w:val="0"/>
        <w:spacing w:line="360" w:lineRule="auto"/>
        <w:ind w:firstLine="480" w:firstLineChars="200"/>
        <w:outlineLvl w:val="3"/>
        <w:rPr>
          <w:rFonts w:ascii="宋体" w:hAnsi="宋体" w:eastAsia="宋体" w:cs="宋体"/>
          <w:color w:val="000000"/>
          <w:sz w:val="24"/>
          <w:szCs w:val="24"/>
        </w:rPr>
      </w:pPr>
      <w:r>
        <w:rPr>
          <w:rFonts w:hint="eastAsia" w:ascii="宋体" w:hAnsi="宋体" w:eastAsia="宋体" w:cs="宋体"/>
          <w:color w:val="000000"/>
          <w:sz w:val="24"/>
          <w:szCs w:val="24"/>
        </w:rPr>
        <w:t>1.预验收一般条件</w:t>
      </w:r>
    </w:p>
    <w:p w14:paraId="1A02CA7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 投标方已经按照“供货范围”要求提供了预验收资料，并且资料齐全、完整和有效。</w:t>
      </w:r>
    </w:p>
    <w:p w14:paraId="27E66F70">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1.2 货物应完整且所有的零部件应该安装牢固，外观无损伤，所有的焊缝饱满、无残渣等缺陷，除加热外其余功能符合技术协议要求。</w:t>
      </w:r>
    </w:p>
    <w:p w14:paraId="3FE72C42">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1.3 货物的油漆质量应饱满、有光泽，无掉漆、无色差、无“桔皮”等不良现象（特殊标志除外）。</w:t>
      </w:r>
    </w:p>
    <w:p w14:paraId="29701DEB">
      <w:pPr>
        <w:adjustRightInd w:val="0"/>
        <w:snapToGrid w:val="0"/>
        <w:spacing w:line="360" w:lineRule="auto"/>
        <w:ind w:firstLine="480" w:firstLineChars="200"/>
        <w:outlineLvl w:val="4"/>
        <w:rPr>
          <w:rFonts w:ascii="宋体" w:hAnsi="宋体" w:eastAsia="宋体" w:cs="宋体"/>
          <w:color w:val="000000"/>
          <w:sz w:val="24"/>
          <w:szCs w:val="24"/>
        </w:rPr>
      </w:pPr>
      <w:r>
        <w:rPr>
          <w:rFonts w:hint="eastAsia" w:ascii="宋体" w:hAnsi="宋体" w:eastAsia="宋体" w:cs="宋体"/>
          <w:color w:val="000000"/>
          <w:sz w:val="24"/>
          <w:szCs w:val="24"/>
        </w:rPr>
        <w:t>1.4 货物标牌完整、清晰、明确。</w:t>
      </w:r>
    </w:p>
    <w:p w14:paraId="64BFD54B">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1.5 货物的安全要求符合中国最新的相关法律、法规、标准和规范以及合同要求。</w:t>
      </w:r>
    </w:p>
    <w:p w14:paraId="5CFFD728">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ascii="宋体" w:hAnsi="宋体" w:eastAsia="宋体" w:cs="宋体"/>
          <w:color w:val="000000"/>
          <w:sz w:val="24"/>
          <w:szCs w:val="24"/>
        </w:rPr>
        <w:t>.6</w:t>
      </w:r>
      <w:r>
        <w:rPr>
          <w:rFonts w:hint="eastAsia" w:ascii="宋体" w:hAnsi="宋体" w:eastAsia="宋体" w:cs="宋体"/>
          <w:color w:val="000000"/>
          <w:sz w:val="24"/>
          <w:szCs w:val="24"/>
        </w:rPr>
        <w:t>改造完毕后满足《山东省用户侧涉网安全管理能力提升工作方案》（鲁发改能源【2</w:t>
      </w:r>
      <w:r>
        <w:rPr>
          <w:rFonts w:ascii="宋体" w:hAnsi="宋体" w:eastAsia="宋体" w:cs="宋体"/>
          <w:color w:val="000000"/>
          <w:sz w:val="24"/>
          <w:szCs w:val="24"/>
        </w:rPr>
        <w:t>025</w:t>
      </w:r>
      <w:r>
        <w:rPr>
          <w:rFonts w:hint="eastAsia" w:ascii="宋体" w:hAnsi="宋体" w:eastAsia="宋体" w:cs="宋体"/>
          <w:color w:val="000000"/>
          <w:sz w:val="24"/>
          <w:szCs w:val="24"/>
        </w:rPr>
        <w:t>】9</w:t>
      </w:r>
      <w:r>
        <w:rPr>
          <w:rFonts w:ascii="宋体" w:hAnsi="宋体" w:eastAsia="宋体" w:cs="宋体"/>
          <w:color w:val="000000"/>
          <w:sz w:val="24"/>
          <w:szCs w:val="24"/>
        </w:rPr>
        <w:t>23</w:t>
      </w:r>
      <w:r>
        <w:rPr>
          <w:rFonts w:hint="eastAsia" w:ascii="宋体" w:hAnsi="宋体" w:eastAsia="宋体" w:cs="宋体"/>
          <w:color w:val="000000"/>
          <w:sz w:val="24"/>
          <w:szCs w:val="24"/>
        </w:rPr>
        <w:t>号）中涉及济南成型厂“四可”能力建设及与济南地调通信畅通需求。</w:t>
      </w:r>
    </w:p>
    <w:p w14:paraId="2EDA8285">
      <w:pPr>
        <w:adjustRightInd w:val="0"/>
        <w:snapToGrid w:val="0"/>
        <w:spacing w:line="360" w:lineRule="auto"/>
        <w:ind w:firstLine="480" w:firstLineChars="200"/>
        <w:outlineLvl w:val="3"/>
        <w:rPr>
          <w:rFonts w:ascii="宋体" w:hAnsi="宋体" w:eastAsia="宋体" w:cs="宋体"/>
          <w:color w:val="000000"/>
          <w:sz w:val="24"/>
          <w:szCs w:val="24"/>
        </w:rPr>
      </w:pPr>
      <w:r>
        <w:rPr>
          <w:rFonts w:hint="eastAsia" w:ascii="宋体" w:hAnsi="宋体" w:eastAsia="宋体" w:cs="宋体"/>
          <w:color w:val="000000"/>
          <w:sz w:val="24"/>
          <w:szCs w:val="24"/>
        </w:rPr>
        <w:t>2.终验收一般条件</w:t>
      </w:r>
    </w:p>
    <w:p w14:paraId="2392E5BD">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2.1 经过预验收而且没有出现新的质量问题，或者满足预验收条款。</w:t>
      </w:r>
    </w:p>
    <w:p w14:paraId="79C0DA64">
      <w:pPr>
        <w:adjustRightInd w:val="0"/>
        <w:snapToGrid w:val="0"/>
        <w:spacing w:line="360" w:lineRule="auto"/>
        <w:ind w:firstLine="480" w:firstLineChars="200"/>
        <w:outlineLvl w:val="4"/>
        <w:rPr>
          <w:rFonts w:ascii="宋体" w:hAnsi="宋体" w:eastAsia="宋体" w:cs="宋体"/>
          <w:color w:val="000000"/>
          <w:sz w:val="24"/>
          <w:szCs w:val="24"/>
        </w:rPr>
      </w:pPr>
      <w:r>
        <w:rPr>
          <w:rFonts w:hint="eastAsia" w:ascii="宋体" w:hAnsi="宋体" w:eastAsia="宋体" w:cs="宋体"/>
          <w:color w:val="000000"/>
          <w:sz w:val="24"/>
          <w:szCs w:val="24"/>
        </w:rPr>
        <w:t>2.2 货物安装调试完毕，并至少经过了验收要求的负荷试运行。</w:t>
      </w:r>
    </w:p>
    <w:p w14:paraId="4E7785C0">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2.3 货物正常运行时，噪声等环境影响因素满足国家和当地环保主管部门规定，安全措施落实、有效。</w:t>
      </w:r>
    </w:p>
    <w:p w14:paraId="32E7A648">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2.4 计量仪器、仪表配套合理，采用中国的法定计量单位，计量准确、灵敏可靠。保证设计指标和仪器说明书的参数的实现（提供合格证或第三方鉴定文件）。</w:t>
      </w:r>
    </w:p>
    <w:p w14:paraId="41A7FC53">
      <w:pPr>
        <w:adjustRightInd w:val="0"/>
        <w:snapToGrid w:val="0"/>
        <w:spacing w:line="360" w:lineRule="auto"/>
        <w:ind w:firstLine="480" w:firstLineChars="200"/>
        <w:outlineLvl w:val="4"/>
        <w:rPr>
          <w:rFonts w:ascii="宋体" w:hAnsi="宋体" w:eastAsia="宋体" w:cs="宋体"/>
          <w:color w:val="000000"/>
          <w:sz w:val="24"/>
          <w:szCs w:val="24"/>
        </w:rPr>
      </w:pPr>
      <w:r>
        <w:rPr>
          <w:rFonts w:hint="eastAsia" w:ascii="宋体" w:hAnsi="宋体" w:eastAsia="宋体" w:cs="宋体"/>
          <w:color w:val="000000"/>
          <w:sz w:val="24"/>
          <w:szCs w:val="24"/>
        </w:rPr>
        <w:t>2.5 试运行期间或之后无维修、调整等行为（特殊情况除外）。</w:t>
      </w:r>
    </w:p>
    <w:p w14:paraId="60446DE4">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2.6 货物质量、技术性能等，达到签定的技术标书和合同规定的终验收标准。</w:t>
      </w:r>
    </w:p>
    <w:p w14:paraId="2D6AC191">
      <w:pPr>
        <w:spacing w:line="360" w:lineRule="auto"/>
        <w:ind w:firstLine="480" w:firstLineChars="200"/>
        <w:outlineLvl w:val="3"/>
        <w:rPr>
          <w:rFonts w:ascii="宋体" w:hAnsi="宋体" w:eastAsia="宋体" w:cs="宋体"/>
          <w:color w:val="000000"/>
          <w:sz w:val="24"/>
          <w:szCs w:val="24"/>
        </w:rPr>
      </w:pPr>
      <w:r>
        <w:rPr>
          <w:rFonts w:hint="eastAsia" w:ascii="宋体" w:hAnsi="宋体" w:eastAsia="宋体" w:cs="宋体"/>
          <w:color w:val="000000"/>
          <w:sz w:val="24"/>
          <w:szCs w:val="24"/>
        </w:rPr>
        <w:t>3.终验收基本要求</w:t>
      </w:r>
    </w:p>
    <w:p w14:paraId="703BB440">
      <w:pPr>
        <w:adjustRightInd w:val="0"/>
        <w:snapToGrid w:val="0"/>
        <w:spacing w:line="360" w:lineRule="auto"/>
        <w:ind w:firstLine="480" w:firstLineChars="200"/>
        <w:outlineLvl w:val="4"/>
        <w:rPr>
          <w:rFonts w:ascii="宋体" w:hAnsi="宋体" w:eastAsia="宋体" w:cs="宋体"/>
          <w:color w:val="000000"/>
          <w:sz w:val="24"/>
          <w:szCs w:val="24"/>
        </w:rPr>
      </w:pPr>
      <w:r>
        <w:rPr>
          <w:rFonts w:hint="eastAsia" w:ascii="宋体" w:hAnsi="宋体" w:eastAsia="宋体" w:cs="宋体"/>
          <w:color w:val="000000"/>
          <w:sz w:val="24"/>
          <w:szCs w:val="24"/>
        </w:rPr>
        <w:t>3.1 出现下列问题之一，视作验收失败：</w:t>
      </w:r>
    </w:p>
    <w:p w14:paraId="46E293BE">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3.1.1 设备验收时，其参数无法满足招标书中的技术要求。</w:t>
      </w:r>
    </w:p>
    <w:p w14:paraId="1A407A61">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3.1.2 在整个验收过程中发生关键零部件损坏或重大故障；</w:t>
      </w:r>
    </w:p>
    <w:p w14:paraId="51F759DF">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3.1.3 一般性故障超过</w:t>
      </w:r>
      <w:r>
        <w:rPr>
          <w:rFonts w:hint="eastAsia" w:ascii="宋体" w:hAnsi="宋体" w:eastAsia="宋体" w:cs="宋体"/>
          <w:color w:val="000000"/>
          <w:sz w:val="24"/>
          <w:szCs w:val="24"/>
          <w:u w:val="single"/>
          <w:shd w:val="pct10" w:color="auto" w:fill="FFFFFF"/>
        </w:rPr>
        <w:t>2</w:t>
      </w:r>
      <w:r>
        <w:rPr>
          <w:rFonts w:hint="eastAsia" w:ascii="宋体" w:hAnsi="宋体" w:eastAsia="宋体" w:cs="宋体"/>
          <w:color w:val="000000"/>
          <w:sz w:val="24"/>
          <w:szCs w:val="24"/>
        </w:rPr>
        <w:t>次；</w:t>
      </w:r>
    </w:p>
    <w:p w14:paraId="63CA9AC4">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3.1.4 更换的零部件货值超过总货值的</w:t>
      </w:r>
      <w:r>
        <w:rPr>
          <w:rFonts w:hint="eastAsia" w:ascii="宋体" w:hAnsi="宋体" w:eastAsia="宋体" w:cs="宋体"/>
          <w:color w:val="000000"/>
          <w:sz w:val="24"/>
          <w:szCs w:val="24"/>
          <w:u w:val="single"/>
          <w:shd w:val="pct10" w:color="auto" w:fill="FFFFFF"/>
        </w:rPr>
        <w:t>10</w:t>
      </w:r>
      <w:r>
        <w:rPr>
          <w:rFonts w:hint="eastAsia" w:ascii="宋体" w:hAnsi="宋体" w:eastAsia="宋体" w:cs="宋体"/>
          <w:color w:val="000000"/>
          <w:sz w:val="24"/>
          <w:szCs w:val="24"/>
        </w:rPr>
        <w:t>%。</w:t>
      </w:r>
    </w:p>
    <w:p w14:paraId="785868EB">
      <w:pPr>
        <w:adjustRightInd w:val="0"/>
        <w:snapToGrid w:val="0"/>
        <w:spacing w:line="360" w:lineRule="auto"/>
        <w:ind w:firstLine="480" w:firstLineChars="200"/>
        <w:outlineLvl w:val="4"/>
        <w:rPr>
          <w:rFonts w:hint="eastAsia" w:ascii="宋体" w:hAnsi="宋体" w:eastAsia="宋体" w:cs="宋体"/>
          <w:color w:val="000000"/>
          <w:sz w:val="24"/>
          <w:szCs w:val="24"/>
        </w:rPr>
      </w:pPr>
      <w:r>
        <w:rPr>
          <w:rFonts w:hint="eastAsia" w:ascii="宋体" w:hAnsi="宋体" w:eastAsia="宋体" w:cs="宋体"/>
          <w:color w:val="000000"/>
          <w:sz w:val="24"/>
          <w:szCs w:val="24"/>
        </w:rPr>
        <w:t>3.2 累计负载运行实际性能（或生产率）达不到合同规定；</w:t>
      </w:r>
    </w:p>
    <w:p w14:paraId="470CACDC">
      <w:pPr>
        <w:adjustRightInd w:val="0"/>
        <w:snapToGrid w:val="0"/>
        <w:spacing w:line="360" w:lineRule="auto"/>
        <w:ind w:firstLine="960" w:firstLineChars="4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在整个验收过程中无较大维修、无主要部件更换行为。 </w:t>
      </w:r>
    </w:p>
    <w:p w14:paraId="5767D229">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3.3 终验收原则上要求一次完成。若一次验收不成功，最多允许两次；如果出现第三次验收失败，重新作价或退货；</w:t>
      </w:r>
    </w:p>
    <w:p w14:paraId="69165B6C">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3.4 终验收通过后买卖双方共同签署终验收报告，并移交、核对全部供货范围内物品。</w:t>
      </w:r>
    </w:p>
    <w:p w14:paraId="6303E0FF">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3.5所有出现的调整，每次调整时间均不超过20分钟，所有调整时间的总和不超过总运行时间的10%。</w:t>
      </w:r>
    </w:p>
    <w:p w14:paraId="60C88B6E">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ascii="宋体" w:hAnsi="宋体" w:eastAsia="宋体" w:cs="宋体"/>
          <w:color w:val="000000"/>
          <w:sz w:val="24"/>
          <w:szCs w:val="24"/>
        </w:rPr>
        <w:t>.6</w:t>
      </w:r>
      <w:r>
        <w:rPr>
          <w:rFonts w:hint="eastAsia" w:ascii="宋体" w:hAnsi="宋体" w:eastAsia="宋体" w:cs="宋体"/>
          <w:color w:val="000000"/>
          <w:sz w:val="24"/>
          <w:szCs w:val="24"/>
        </w:rPr>
        <w:t>标书所要求通讯数据上传至国网济南地调无问题后，经国网章丘区供电公司派人现场核实，确认无问题后方可达到验收标准。</w:t>
      </w:r>
    </w:p>
    <w:p w14:paraId="062FFEF4">
      <w:pPr>
        <w:keepNext w:val="0"/>
        <w:keepLines/>
        <w:widowControl w:val="0"/>
        <w:spacing w:before="0" w:after="0" w:line="360" w:lineRule="auto"/>
        <w:ind w:left="482"/>
        <w:jc w:val="center"/>
        <w:outlineLvl w:val="1"/>
        <w:rPr>
          <w:rFonts w:ascii="Calibri" w:hAnsi="Calibri" w:eastAsia="宋体" w:cs="Times New Roman"/>
          <w:b/>
          <w:bCs w:val="0"/>
          <w:i/>
          <w:iCs/>
          <w:color w:val="000000"/>
          <w:kern w:val="44"/>
          <w:sz w:val="28"/>
          <w:szCs w:val="24"/>
          <w:lang w:val="en-US" w:eastAsia="zh-CN" w:bidi="ar-SA"/>
        </w:rPr>
      </w:pPr>
      <w:bookmarkStart w:id="29" w:name="_Toc465187647"/>
      <w:r>
        <w:rPr>
          <w:rFonts w:ascii="Calibri" w:hAnsi="Calibri" w:eastAsia="宋体" w:cs="Times New Roman"/>
          <w:b/>
          <w:bCs w:val="0"/>
          <w:i/>
          <w:iCs/>
          <w:color w:val="000000"/>
          <w:kern w:val="44"/>
          <w:sz w:val="28"/>
          <w:szCs w:val="24"/>
          <w:lang w:val="en-US" w:eastAsia="zh-CN" w:bidi="ar-SA"/>
        </w:rPr>
        <w:t>第六章  投标技术文件一般要求</w:t>
      </w:r>
      <w:bookmarkEnd w:id="29"/>
    </w:p>
    <w:p w14:paraId="065685FD">
      <w:pPr>
        <w:keepNext/>
        <w:keepLines/>
        <w:widowControl w:val="0"/>
        <w:spacing w:before="0" w:after="0" w:line="360" w:lineRule="auto"/>
        <w:ind w:firstLine="482" w:firstLineChars="200"/>
        <w:jc w:val="both"/>
        <w:outlineLvl w:val="2"/>
        <w:rPr>
          <w:rFonts w:ascii="Times New Roman" w:hAnsi="Times New Roman" w:eastAsia="宋体" w:cs="Times New Roman"/>
          <w:b/>
          <w:bCs/>
          <w:color w:val="000000"/>
          <w:kern w:val="2"/>
          <w:sz w:val="24"/>
          <w:szCs w:val="24"/>
          <w:lang w:val="en-US" w:eastAsia="zh-CN" w:bidi="ar-SA"/>
        </w:rPr>
      </w:pPr>
      <w:r>
        <w:rPr>
          <w:rFonts w:ascii="Times New Roman" w:hAnsi="Times New Roman" w:eastAsia="宋体" w:cs="Times New Roman"/>
          <w:b/>
          <w:bCs/>
          <w:color w:val="000000"/>
          <w:kern w:val="2"/>
          <w:sz w:val="24"/>
          <w:szCs w:val="24"/>
          <w:lang w:val="en-US" w:eastAsia="zh-CN" w:bidi="ar-SA"/>
        </w:rPr>
        <w:t>一、技术文件一般内容要求</w:t>
      </w:r>
    </w:p>
    <w:p w14:paraId="2E729BC2">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1.投标人应认真阅读招标文件和本技术标书，并按要求编写投标技术文件。</w:t>
      </w:r>
    </w:p>
    <w:p w14:paraId="546E533F">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2.投标技术文件至少应对投标货物的功能用途、技术性能、质量标准、技术参数等作出详细说明。</w:t>
      </w:r>
    </w:p>
    <w:p w14:paraId="7CF93219">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3.投标技术文件至少应根据投标货物的关键设备、总成、零部件或系统作出满足或优于招标文件要求的详细说明。</w:t>
      </w:r>
    </w:p>
    <w:p w14:paraId="7A04B4F1">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4.投标技术文件至少应按照招标文件要求（或投标人建议）列明备品备件、易损件和专用耗材明细。</w:t>
      </w:r>
    </w:p>
    <w:p w14:paraId="39DFB9B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5.投标人应当而且必须分别说明所列备品备件、易损件和专用耗材的使用寿命（以有效工作小时数说明）。</w:t>
      </w:r>
    </w:p>
    <w:p w14:paraId="5E197F0F">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6.投标的货物，应当根据其配置和备品备件、易损件、专用耗材情况，尽可能详细且分类填入下表：</w:t>
      </w:r>
    </w:p>
    <w:p w14:paraId="01255570">
      <w:pPr>
        <w:adjustRightInd w:val="0"/>
        <w:snapToGrid w:val="0"/>
        <w:spacing w:line="360" w:lineRule="auto"/>
        <w:ind w:firstLine="480" w:firstLineChars="200"/>
        <w:outlineLvl w:val="3"/>
        <w:rPr>
          <w:rFonts w:hint="eastAsia" w:ascii="宋体" w:hAnsi="宋体" w:eastAsia="宋体" w:cs="宋体"/>
          <w:color w:val="000000"/>
          <w:sz w:val="24"/>
          <w:szCs w:val="24"/>
        </w:rPr>
      </w:pPr>
      <w:r>
        <w:rPr>
          <w:rFonts w:hint="eastAsia" w:ascii="宋体" w:hAnsi="宋体" w:eastAsia="宋体" w:cs="宋体"/>
          <w:color w:val="000000"/>
          <w:sz w:val="24"/>
          <w:szCs w:val="24"/>
        </w:rPr>
        <w:t>6.1备品备件、易损件和专用耗材明细表：</w:t>
      </w:r>
    </w:p>
    <w:p w14:paraId="526470F9">
      <w:pPr>
        <w:adjustRightInd w:val="0"/>
        <w:snapToGrid w:val="0"/>
        <w:spacing w:line="420" w:lineRule="exact"/>
        <w:ind w:firstLine="960" w:firstLineChars="400"/>
        <w:rPr>
          <w:rFonts w:ascii="宋体" w:hAnsi="宋体" w:eastAsia="宋体" w:cs="宋体"/>
          <w:color w:val="000000"/>
          <w:sz w:val="24"/>
          <w:szCs w:val="24"/>
        </w:rPr>
      </w:pPr>
      <w:r>
        <w:rPr>
          <w:rFonts w:hint="eastAsia" w:ascii="宋体" w:hAnsi="宋体" w:eastAsia="宋体" w:cs="宋体"/>
          <w:color w:val="000000"/>
          <w:sz w:val="24"/>
          <w:szCs w:val="24"/>
        </w:rPr>
        <w:t>备品备件、易损件和专用耗材明细表             单位：元</w:t>
      </w:r>
    </w:p>
    <w:tbl>
      <w:tblPr>
        <w:tblStyle w:val="48"/>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6068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4C2FA785">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序号</w:t>
            </w:r>
          </w:p>
        </w:tc>
        <w:tc>
          <w:tcPr>
            <w:tcW w:w="1924" w:type="dxa"/>
            <w:noWrap w:val="0"/>
            <w:vAlign w:val="top"/>
          </w:tcPr>
          <w:p w14:paraId="0801F06B">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名称</w:t>
            </w:r>
          </w:p>
        </w:tc>
        <w:tc>
          <w:tcPr>
            <w:tcW w:w="1236" w:type="dxa"/>
            <w:noWrap w:val="0"/>
            <w:vAlign w:val="top"/>
          </w:tcPr>
          <w:p w14:paraId="2509D974">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型号规格</w:t>
            </w:r>
          </w:p>
        </w:tc>
        <w:tc>
          <w:tcPr>
            <w:tcW w:w="720" w:type="dxa"/>
            <w:noWrap w:val="0"/>
            <w:vAlign w:val="top"/>
          </w:tcPr>
          <w:p w14:paraId="5B3409D9">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单位</w:t>
            </w:r>
          </w:p>
        </w:tc>
        <w:tc>
          <w:tcPr>
            <w:tcW w:w="720" w:type="dxa"/>
            <w:noWrap w:val="0"/>
            <w:vAlign w:val="top"/>
          </w:tcPr>
          <w:p w14:paraId="22C62307">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数量</w:t>
            </w:r>
          </w:p>
        </w:tc>
        <w:tc>
          <w:tcPr>
            <w:tcW w:w="720" w:type="dxa"/>
            <w:noWrap w:val="0"/>
            <w:vAlign w:val="top"/>
          </w:tcPr>
          <w:p w14:paraId="0A34ED1E">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单价</w:t>
            </w:r>
          </w:p>
        </w:tc>
        <w:tc>
          <w:tcPr>
            <w:tcW w:w="720" w:type="dxa"/>
            <w:noWrap w:val="0"/>
            <w:vAlign w:val="top"/>
          </w:tcPr>
          <w:p w14:paraId="578EB5CB">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总价</w:t>
            </w:r>
          </w:p>
        </w:tc>
        <w:tc>
          <w:tcPr>
            <w:tcW w:w="2235" w:type="dxa"/>
            <w:noWrap w:val="0"/>
            <w:vAlign w:val="top"/>
          </w:tcPr>
          <w:p w14:paraId="6F0E1B69">
            <w:pPr>
              <w:adjustRightInd w:val="0"/>
              <w:snapToGrid w:val="0"/>
              <w:spacing w:line="360" w:lineRule="exact"/>
              <w:jc w:val="center"/>
              <w:rPr>
                <w:rFonts w:ascii="宋体" w:hAnsi="宋体" w:eastAsia="宋体" w:cs="宋体"/>
                <w:color w:val="000000"/>
                <w:sz w:val="24"/>
                <w:szCs w:val="24"/>
              </w:rPr>
            </w:pPr>
            <w:r>
              <w:rPr>
                <w:rFonts w:hint="eastAsia" w:ascii="宋体" w:hAnsi="宋体" w:eastAsia="宋体" w:cs="宋体"/>
                <w:color w:val="000000"/>
                <w:sz w:val="24"/>
                <w:szCs w:val="24"/>
              </w:rPr>
              <w:t>制造商</w:t>
            </w:r>
          </w:p>
        </w:tc>
      </w:tr>
      <w:tr w14:paraId="08C6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039398D4">
            <w:pPr>
              <w:adjustRightInd w:val="0"/>
              <w:snapToGrid w:val="0"/>
              <w:spacing w:line="360" w:lineRule="exact"/>
              <w:jc w:val="center"/>
              <w:rPr>
                <w:rFonts w:ascii="宋体" w:hAnsi="宋体" w:eastAsia="宋体" w:cs="宋体"/>
                <w:color w:val="000000"/>
                <w:sz w:val="24"/>
                <w:szCs w:val="24"/>
              </w:rPr>
            </w:pPr>
          </w:p>
        </w:tc>
        <w:tc>
          <w:tcPr>
            <w:tcW w:w="1924" w:type="dxa"/>
            <w:noWrap w:val="0"/>
            <w:vAlign w:val="top"/>
          </w:tcPr>
          <w:p w14:paraId="73A55BAA">
            <w:pPr>
              <w:adjustRightInd w:val="0"/>
              <w:snapToGrid w:val="0"/>
              <w:spacing w:line="360" w:lineRule="exact"/>
              <w:rPr>
                <w:rFonts w:ascii="宋体" w:hAnsi="宋体" w:eastAsia="宋体" w:cs="宋体"/>
                <w:color w:val="000000"/>
                <w:sz w:val="24"/>
                <w:szCs w:val="24"/>
              </w:rPr>
            </w:pPr>
          </w:p>
        </w:tc>
        <w:tc>
          <w:tcPr>
            <w:tcW w:w="1236" w:type="dxa"/>
            <w:noWrap w:val="0"/>
            <w:vAlign w:val="top"/>
          </w:tcPr>
          <w:p w14:paraId="0E04743A">
            <w:pPr>
              <w:adjustRightInd w:val="0"/>
              <w:snapToGrid w:val="0"/>
              <w:spacing w:line="360" w:lineRule="exact"/>
              <w:rPr>
                <w:rFonts w:ascii="宋体" w:hAnsi="宋体" w:eastAsia="宋体" w:cs="宋体"/>
                <w:color w:val="000000"/>
                <w:sz w:val="24"/>
                <w:szCs w:val="24"/>
              </w:rPr>
            </w:pPr>
          </w:p>
        </w:tc>
        <w:tc>
          <w:tcPr>
            <w:tcW w:w="720" w:type="dxa"/>
            <w:noWrap w:val="0"/>
            <w:vAlign w:val="top"/>
          </w:tcPr>
          <w:p w14:paraId="1DBF13EC">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F720819">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6B065170">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A5FD3ED">
            <w:pPr>
              <w:adjustRightInd w:val="0"/>
              <w:snapToGrid w:val="0"/>
              <w:spacing w:line="360" w:lineRule="exact"/>
              <w:jc w:val="center"/>
              <w:rPr>
                <w:rFonts w:ascii="宋体" w:hAnsi="宋体" w:eastAsia="宋体" w:cs="宋体"/>
                <w:color w:val="000000"/>
                <w:sz w:val="24"/>
                <w:szCs w:val="24"/>
              </w:rPr>
            </w:pPr>
          </w:p>
        </w:tc>
        <w:tc>
          <w:tcPr>
            <w:tcW w:w="2235" w:type="dxa"/>
            <w:noWrap w:val="0"/>
            <w:vAlign w:val="top"/>
          </w:tcPr>
          <w:p w14:paraId="2DD24AC8">
            <w:pPr>
              <w:adjustRightInd w:val="0"/>
              <w:snapToGrid w:val="0"/>
              <w:spacing w:line="360" w:lineRule="exact"/>
              <w:rPr>
                <w:rFonts w:ascii="宋体" w:hAnsi="宋体" w:eastAsia="宋体" w:cs="宋体"/>
                <w:color w:val="000000"/>
                <w:sz w:val="24"/>
                <w:szCs w:val="24"/>
              </w:rPr>
            </w:pPr>
          </w:p>
        </w:tc>
      </w:tr>
      <w:tr w14:paraId="33D1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45B32C5F">
            <w:pPr>
              <w:adjustRightInd w:val="0"/>
              <w:snapToGrid w:val="0"/>
              <w:spacing w:line="360" w:lineRule="exact"/>
              <w:jc w:val="center"/>
              <w:rPr>
                <w:rFonts w:ascii="宋体" w:hAnsi="宋体" w:eastAsia="宋体" w:cs="宋体"/>
                <w:color w:val="000000"/>
                <w:sz w:val="24"/>
                <w:szCs w:val="24"/>
              </w:rPr>
            </w:pPr>
          </w:p>
        </w:tc>
        <w:tc>
          <w:tcPr>
            <w:tcW w:w="1924" w:type="dxa"/>
            <w:noWrap w:val="0"/>
            <w:vAlign w:val="top"/>
          </w:tcPr>
          <w:p w14:paraId="51225B80">
            <w:pPr>
              <w:adjustRightInd w:val="0"/>
              <w:snapToGrid w:val="0"/>
              <w:spacing w:line="360" w:lineRule="exact"/>
              <w:rPr>
                <w:rFonts w:ascii="宋体" w:hAnsi="宋体" w:eastAsia="宋体" w:cs="宋体"/>
                <w:color w:val="000000"/>
                <w:sz w:val="24"/>
                <w:szCs w:val="24"/>
              </w:rPr>
            </w:pPr>
          </w:p>
        </w:tc>
        <w:tc>
          <w:tcPr>
            <w:tcW w:w="1236" w:type="dxa"/>
            <w:noWrap w:val="0"/>
            <w:vAlign w:val="top"/>
          </w:tcPr>
          <w:p w14:paraId="0E2CD1B7">
            <w:pPr>
              <w:adjustRightInd w:val="0"/>
              <w:snapToGrid w:val="0"/>
              <w:spacing w:line="360" w:lineRule="exact"/>
              <w:rPr>
                <w:rFonts w:ascii="宋体" w:hAnsi="宋体" w:eastAsia="宋体" w:cs="宋体"/>
                <w:color w:val="000000"/>
                <w:sz w:val="24"/>
                <w:szCs w:val="24"/>
              </w:rPr>
            </w:pPr>
          </w:p>
        </w:tc>
        <w:tc>
          <w:tcPr>
            <w:tcW w:w="720" w:type="dxa"/>
            <w:noWrap w:val="0"/>
            <w:vAlign w:val="top"/>
          </w:tcPr>
          <w:p w14:paraId="3C2011F8">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4D663A6">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22B33863">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75EF1F79">
            <w:pPr>
              <w:adjustRightInd w:val="0"/>
              <w:snapToGrid w:val="0"/>
              <w:spacing w:line="360" w:lineRule="exact"/>
              <w:jc w:val="center"/>
              <w:rPr>
                <w:rFonts w:ascii="宋体" w:hAnsi="宋体" w:eastAsia="宋体" w:cs="宋体"/>
                <w:color w:val="000000"/>
                <w:sz w:val="24"/>
                <w:szCs w:val="24"/>
              </w:rPr>
            </w:pPr>
          </w:p>
        </w:tc>
        <w:tc>
          <w:tcPr>
            <w:tcW w:w="2235" w:type="dxa"/>
            <w:noWrap w:val="0"/>
            <w:vAlign w:val="top"/>
          </w:tcPr>
          <w:p w14:paraId="29337091">
            <w:pPr>
              <w:adjustRightInd w:val="0"/>
              <w:snapToGrid w:val="0"/>
              <w:spacing w:line="360" w:lineRule="exact"/>
              <w:rPr>
                <w:rFonts w:ascii="宋体" w:hAnsi="宋体" w:eastAsia="宋体" w:cs="宋体"/>
                <w:color w:val="000000"/>
                <w:sz w:val="24"/>
                <w:szCs w:val="24"/>
              </w:rPr>
            </w:pPr>
          </w:p>
        </w:tc>
      </w:tr>
      <w:tr w14:paraId="5B86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2B87B934">
            <w:pPr>
              <w:adjustRightInd w:val="0"/>
              <w:snapToGrid w:val="0"/>
              <w:spacing w:line="360" w:lineRule="exact"/>
              <w:jc w:val="center"/>
              <w:rPr>
                <w:rFonts w:ascii="宋体" w:hAnsi="宋体" w:eastAsia="宋体" w:cs="宋体"/>
                <w:color w:val="000000"/>
                <w:sz w:val="24"/>
                <w:szCs w:val="24"/>
              </w:rPr>
            </w:pPr>
          </w:p>
        </w:tc>
        <w:tc>
          <w:tcPr>
            <w:tcW w:w="1924" w:type="dxa"/>
            <w:noWrap w:val="0"/>
            <w:vAlign w:val="top"/>
          </w:tcPr>
          <w:p w14:paraId="348966AA">
            <w:pPr>
              <w:adjustRightInd w:val="0"/>
              <w:snapToGrid w:val="0"/>
              <w:spacing w:line="360" w:lineRule="exact"/>
              <w:rPr>
                <w:rFonts w:ascii="宋体" w:hAnsi="宋体" w:eastAsia="宋体" w:cs="宋体"/>
                <w:color w:val="000000"/>
                <w:sz w:val="24"/>
                <w:szCs w:val="24"/>
              </w:rPr>
            </w:pPr>
          </w:p>
        </w:tc>
        <w:tc>
          <w:tcPr>
            <w:tcW w:w="1236" w:type="dxa"/>
            <w:noWrap w:val="0"/>
            <w:vAlign w:val="top"/>
          </w:tcPr>
          <w:p w14:paraId="53BF31B0">
            <w:pPr>
              <w:adjustRightInd w:val="0"/>
              <w:snapToGrid w:val="0"/>
              <w:spacing w:line="360" w:lineRule="exact"/>
              <w:rPr>
                <w:rFonts w:ascii="宋体" w:hAnsi="宋体" w:eastAsia="宋体" w:cs="宋体"/>
                <w:color w:val="000000"/>
                <w:sz w:val="24"/>
                <w:szCs w:val="24"/>
              </w:rPr>
            </w:pPr>
          </w:p>
        </w:tc>
        <w:tc>
          <w:tcPr>
            <w:tcW w:w="720" w:type="dxa"/>
            <w:noWrap w:val="0"/>
            <w:vAlign w:val="top"/>
          </w:tcPr>
          <w:p w14:paraId="7CFB63BC">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772D794B">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3DCFACD4">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DB308B6">
            <w:pPr>
              <w:adjustRightInd w:val="0"/>
              <w:snapToGrid w:val="0"/>
              <w:spacing w:line="360" w:lineRule="exact"/>
              <w:jc w:val="center"/>
              <w:rPr>
                <w:rFonts w:ascii="宋体" w:hAnsi="宋体" w:eastAsia="宋体" w:cs="宋体"/>
                <w:color w:val="000000"/>
                <w:sz w:val="24"/>
                <w:szCs w:val="24"/>
              </w:rPr>
            </w:pPr>
          </w:p>
        </w:tc>
        <w:tc>
          <w:tcPr>
            <w:tcW w:w="2235" w:type="dxa"/>
            <w:noWrap w:val="0"/>
            <w:vAlign w:val="top"/>
          </w:tcPr>
          <w:p w14:paraId="35A15E8A">
            <w:pPr>
              <w:adjustRightInd w:val="0"/>
              <w:snapToGrid w:val="0"/>
              <w:spacing w:line="360" w:lineRule="exact"/>
              <w:rPr>
                <w:rFonts w:ascii="宋体" w:hAnsi="宋体" w:eastAsia="宋体" w:cs="宋体"/>
                <w:color w:val="000000"/>
                <w:sz w:val="24"/>
                <w:szCs w:val="24"/>
              </w:rPr>
            </w:pPr>
          </w:p>
        </w:tc>
      </w:tr>
      <w:tr w14:paraId="1179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1B7F3B0C">
            <w:pPr>
              <w:adjustRightInd w:val="0"/>
              <w:snapToGrid w:val="0"/>
              <w:spacing w:line="360" w:lineRule="exact"/>
              <w:jc w:val="center"/>
              <w:rPr>
                <w:rFonts w:ascii="宋体" w:hAnsi="宋体" w:eastAsia="宋体" w:cs="宋体"/>
                <w:color w:val="000000"/>
                <w:sz w:val="24"/>
                <w:szCs w:val="24"/>
              </w:rPr>
            </w:pPr>
          </w:p>
        </w:tc>
        <w:tc>
          <w:tcPr>
            <w:tcW w:w="1924" w:type="dxa"/>
            <w:noWrap w:val="0"/>
            <w:vAlign w:val="top"/>
          </w:tcPr>
          <w:p w14:paraId="1B2CA2A3">
            <w:pPr>
              <w:adjustRightInd w:val="0"/>
              <w:snapToGrid w:val="0"/>
              <w:spacing w:line="360" w:lineRule="exact"/>
              <w:rPr>
                <w:rFonts w:ascii="宋体" w:hAnsi="宋体" w:eastAsia="宋体" w:cs="宋体"/>
                <w:color w:val="000000"/>
                <w:sz w:val="24"/>
                <w:szCs w:val="24"/>
              </w:rPr>
            </w:pPr>
          </w:p>
        </w:tc>
        <w:tc>
          <w:tcPr>
            <w:tcW w:w="1236" w:type="dxa"/>
            <w:noWrap w:val="0"/>
            <w:vAlign w:val="top"/>
          </w:tcPr>
          <w:p w14:paraId="263A8B64">
            <w:pPr>
              <w:adjustRightInd w:val="0"/>
              <w:snapToGrid w:val="0"/>
              <w:spacing w:line="360" w:lineRule="exact"/>
              <w:rPr>
                <w:rFonts w:ascii="宋体" w:hAnsi="宋体" w:eastAsia="宋体" w:cs="宋体"/>
                <w:color w:val="000000"/>
                <w:sz w:val="24"/>
                <w:szCs w:val="24"/>
              </w:rPr>
            </w:pPr>
          </w:p>
        </w:tc>
        <w:tc>
          <w:tcPr>
            <w:tcW w:w="720" w:type="dxa"/>
            <w:noWrap w:val="0"/>
            <w:vAlign w:val="top"/>
          </w:tcPr>
          <w:p w14:paraId="37EF37F9">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1E52CD17">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ED941F0">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FFE682F">
            <w:pPr>
              <w:adjustRightInd w:val="0"/>
              <w:snapToGrid w:val="0"/>
              <w:spacing w:line="360" w:lineRule="exact"/>
              <w:jc w:val="center"/>
              <w:rPr>
                <w:rFonts w:ascii="宋体" w:hAnsi="宋体" w:eastAsia="宋体" w:cs="宋体"/>
                <w:color w:val="000000"/>
                <w:sz w:val="24"/>
                <w:szCs w:val="24"/>
              </w:rPr>
            </w:pPr>
          </w:p>
        </w:tc>
        <w:tc>
          <w:tcPr>
            <w:tcW w:w="2235" w:type="dxa"/>
            <w:noWrap w:val="0"/>
            <w:vAlign w:val="top"/>
          </w:tcPr>
          <w:p w14:paraId="3D2731C4">
            <w:pPr>
              <w:adjustRightInd w:val="0"/>
              <w:snapToGrid w:val="0"/>
              <w:spacing w:line="360" w:lineRule="exact"/>
              <w:rPr>
                <w:rFonts w:ascii="宋体" w:hAnsi="宋体" w:eastAsia="宋体" w:cs="宋体"/>
                <w:color w:val="000000"/>
                <w:sz w:val="24"/>
                <w:szCs w:val="24"/>
              </w:rPr>
            </w:pPr>
          </w:p>
        </w:tc>
      </w:tr>
      <w:tr w14:paraId="1FEE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70AF9DB3">
            <w:pPr>
              <w:adjustRightInd w:val="0"/>
              <w:snapToGrid w:val="0"/>
              <w:spacing w:line="360" w:lineRule="exact"/>
              <w:jc w:val="center"/>
              <w:rPr>
                <w:rFonts w:ascii="宋体" w:hAnsi="宋体" w:eastAsia="宋体" w:cs="宋体"/>
                <w:color w:val="000000"/>
                <w:sz w:val="24"/>
                <w:szCs w:val="24"/>
              </w:rPr>
            </w:pPr>
          </w:p>
        </w:tc>
        <w:tc>
          <w:tcPr>
            <w:tcW w:w="1924" w:type="dxa"/>
            <w:noWrap w:val="0"/>
            <w:vAlign w:val="top"/>
          </w:tcPr>
          <w:p w14:paraId="1BC7BAEA">
            <w:pPr>
              <w:adjustRightInd w:val="0"/>
              <w:snapToGrid w:val="0"/>
              <w:spacing w:line="360" w:lineRule="exact"/>
              <w:rPr>
                <w:rFonts w:ascii="宋体" w:hAnsi="宋体" w:eastAsia="宋体" w:cs="宋体"/>
                <w:color w:val="000000"/>
                <w:sz w:val="24"/>
                <w:szCs w:val="24"/>
              </w:rPr>
            </w:pPr>
          </w:p>
        </w:tc>
        <w:tc>
          <w:tcPr>
            <w:tcW w:w="1236" w:type="dxa"/>
            <w:noWrap w:val="0"/>
            <w:vAlign w:val="top"/>
          </w:tcPr>
          <w:p w14:paraId="6C63FDBE">
            <w:pPr>
              <w:adjustRightInd w:val="0"/>
              <w:snapToGrid w:val="0"/>
              <w:spacing w:line="360" w:lineRule="exact"/>
              <w:rPr>
                <w:rFonts w:ascii="宋体" w:hAnsi="宋体" w:eastAsia="宋体" w:cs="宋体"/>
                <w:color w:val="000000"/>
                <w:sz w:val="24"/>
                <w:szCs w:val="24"/>
              </w:rPr>
            </w:pPr>
          </w:p>
        </w:tc>
        <w:tc>
          <w:tcPr>
            <w:tcW w:w="720" w:type="dxa"/>
            <w:noWrap w:val="0"/>
            <w:vAlign w:val="top"/>
          </w:tcPr>
          <w:p w14:paraId="17DFC6EC">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2E96D21C">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13837B8C">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1A5E468B">
            <w:pPr>
              <w:adjustRightInd w:val="0"/>
              <w:snapToGrid w:val="0"/>
              <w:spacing w:line="360" w:lineRule="exact"/>
              <w:jc w:val="center"/>
              <w:rPr>
                <w:rFonts w:ascii="宋体" w:hAnsi="宋体" w:eastAsia="宋体" w:cs="宋体"/>
                <w:color w:val="000000"/>
                <w:sz w:val="24"/>
                <w:szCs w:val="24"/>
              </w:rPr>
            </w:pPr>
          </w:p>
        </w:tc>
        <w:tc>
          <w:tcPr>
            <w:tcW w:w="2235" w:type="dxa"/>
            <w:noWrap w:val="0"/>
            <w:vAlign w:val="top"/>
          </w:tcPr>
          <w:p w14:paraId="63F40897">
            <w:pPr>
              <w:adjustRightInd w:val="0"/>
              <w:snapToGrid w:val="0"/>
              <w:spacing w:line="360" w:lineRule="exact"/>
              <w:rPr>
                <w:rFonts w:ascii="宋体" w:hAnsi="宋体" w:eastAsia="宋体" w:cs="宋体"/>
                <w:color w:val="000000"/>
                <w:sz w:val="24"/>
                <w:szCs w:val="24"/>
              </w:rPr>
            </w:pPr>
          </w:p>
        </w:tc>
      </w:tr>
      <w:tr w14:paraId="6F9F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4F033F91">
            <w:pPr>
              <w:adjustRightInd w:val="0"/>
              <w:snapToGrid w:val="0"/>
              <w:spacing w:line="360" w:lineRule="exact"/>
              <w:jc w:val="center"/>
              <w:rPr>
                <w:rFonts w:ascii="宋体" w:hAnsi="宋体" w:eastAsia="宋体" w:cs="宋体"/>
                <w:color w:val="000000"/>
                <w:sz w:val="24"/>
                <w:szCs w:val="24"/>
              </w:rPr>
            </w:pPr>
          </w:p>
        </w:tc>
        <w:tc>
          <w:tcPr>
            <w:tcW w:w="1924" w:type="dxa"/>
            <w:noWrap w:val="0"/>
            <w:vAlign w:val="top"/>
          </w:tcPr>
          <w:p w14:paraId="2C665497">
            <w:pPr>
              <w:adjustRightInd w:val="0"/>
              <w:snapToGrid w:val="0"/>
              <w:spacing w:line="360" w:lineRule="exact"/>
              <w:rPr>
                <w:rFonts w:ascii="宋体" w:hAnsi="宋体" w:eastAsia="宋体" w:cs="宋体"/>
                <w:color w:val="000000"/>
                <w:sz w:val="24"/>
                <w:szCs w:val="24"/>
              </w:rPr>
            </w:pPr>
          </w:p>
        </w:tc>
        <w:tc>
          <w:tcPr>
            <w:tcW w:w="1236" w:type="dxa"/>
            <w:noWrap w:val="0"/>
            <w:vAlign w:val="top"/>
          </w:tcPr>
          <w:p w14:paraId="33BCD103">
            <w:pPr>
              <w:adjustRightInd w:val="0"/>
              <w:snapToGrid w:val="0"/>
              <w:spacing w:line="360" w:lineRule="exact"/>
              <w:rPr>
                <w:rFonts w:ascii="宋体" w:hAnsi="宋体" w:eastAsia="宋体" w:cs="宋体"/>
                <w:color w:val="000000"/>
                <w:sz w:val="24"/>
                <w:szCs w:val="24"/>
              </w:rPr>
            </w:pPr>
          </w:p>
        </w:tc>
        <w:tc>
          <w:tcPr>
            <w:tcW w:w="720" w:type="dxa"/>
            <w:noWrap w:val="0"/>
            <w:vAlign w:val="top"/>
          </w:tcPr>
          <w:p w14:paraId="7E191828">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0CC22D8">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7F8CD2CD">
            <w:pPr>
              <w:adjustRightInd w:val="0"/>
              <w:snapToGrid w:val="0"/>
              <w:spacing w:line="360" w:lineRule="exact"/>
              <w:jc w:val="center"/>
              <w:rPr>
                <w:rFonts w:ascii="宋体" w:hAnsi="宋体" w:eastAsia="宋体" w:cs="宋体"/>
                <w:color w:val="000000"/>
                <w:sz w:val="24"/>
                <w:szCs w:val="24"/>
              </w:rPr>
            </w:pPr>
          </w:p>
        </w:tc>
        <w:tc>
          <w:tcPr>
            <w:tcW w:w="720" w:type="dxa"/>
            <w:noWrap w:val="0"/>
            <w:vAlign w:val="top"/>
          </w:tcPr>
          <w:p w14:paraId="51C79227">
            <w:pPr>
              <w:adjustRightInd w:val="0"/>
              <w:snapToGrid w:val="0"/>
              <w:spacing w:line="360" w:lineRule="exact"/>
              <w:jc w:val="center"/>
              <w:rPr>
                <w:rFonts w:ascii="宋体" w:hAnsi="宋体" w:eastAsia="宋体" w:cs="宋体"/>
                <w:color w:val="000000"/>
                <w:sz w:val="24"/>
                <w:szCs w:val="24"/>
              </w:rPr>
            </w:pPr>
          </w:p>
        </w:tc>
        <w:tc>
          <w:tcPr>
            <w:tcW w:w="2235" w:type="dxa"/>
            <w:noWrap w:val="0"/>
            <w:vAlign w:val="top"/>
          </w:tcPr>
          <w:p w14:paraId="61A91DD6">
            <w:pPr>
              <w:adjustRightInd w:val="0"/>
              <w:snapToGrid w:val="0"/>
              <w:spacing w:line="360" w:lineRule="exact"/>
              <w:rPr>
                <w:rFonts w:ascii="宋体" w:hAnsi="宋体" w:eastAsia="宋体" w:cs="宋体"/>
                <w:color w:val="000000"/>
                <w:sz w:val="24"/>
                <w:szCs w:val="24"/>
              </w:rPr>
            </w:pPr>
          </w:p>
        </w:tc>
      </w:tr>
    </w:tbl>
    <w:p w14:paraId="042DA85E">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6.2“开标一览表”和“明细表”仅作为投标人编制投标技术文件的一般格式。其中序号编写应当便于招标人了解分类或分项货物之间的所属关系，如1、1.1、1.2；</w:t>
      </w:r>
    </w:p>
    <w:p w14:paraId="63CABF7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6.3应当尽可能将货物的配置列全、列细，这将有助于投标人胜出；</w:t>
      </w:r>
    </w:p>
    <w:p w14:paraId="7F04B53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6.4单价与总价之间、总价与分类小计价之间、分类小计价与合计价之间数据应当齐全而且准确；</w:t>
      </w:r>
    </w:p>
    <w:p w14:paraId="5EFA91CB">
      <w:pPr>
        <w:spacing w:line="360" w:lineRule="auto"/>
        <w:ind w:firstLine="480" w:firstLineChars="200"/>
        <w:outlineLvl w:val="3"/>
        <w:rPr>
          <w:rFonts w:ascii="宋体" w:hAnsi="宋体" w:eastAsia="宋体" w:cs="宋体"/>
          <w:color w:val="000000"/>
          <w:sz w:val="24"/>
          <w:szCs w:val="24"/>
        </w:rPr>
      </w:pPr>
      <w:r>
        <w:rPr>
          <w:rFonts w:hint="eastAsia" w:ascii="宋体" w:hAnsi="宋体" w:eastAsia="宋体" w:cs="宋体"/>
          <w:color w:val="000000"/>
          <w:sz w:val="24"/>
          <w:szCs w:val="24"/>
        </w:rPr>
        <w:t>6.5  本条款表格中的制造商，应当为全称或公认的简称。</w:t>
      </w:r>
    </w:p>
    <w:p w14:paraId="091191B0">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二、技术文件中货物报价格式要求</w:t>
      </w:r>
    </w:p>
    <w:p w14:paraId="34757FA1">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709B832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2.如果投标总报价与其它价格出现错误或不一致，将有可能导致废标。</w:t>
      </w:r>
    </w:p>
    <w:p w14:paraId="3B44ED5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3.投标总报价为自合同签定生效至合同无异议执行完毕涉及的招标方需要支付的全部费用。如投标人认为本招标及投标货物涉及特需或专门的设计，应当单独列明设计费。</w:t>
      </w:r>
    </w:p>
    <w:p w14:paraId="3001F13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4.备品备件、易损件和专用耗材，招标人将可能与投标人按照投标价格另行签署供货合同。</w:t>
      </w:r>
    </w:p>
    <w:p w14:paraId="6513F29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5.要求投标总报价、分项报价、明细报价之间应当具有相互间对应关系以及填报分项和明细报价，仅为便于评标而不妨碍投标人以最合适的形式签署合同。</w:t>
      </w:r>
    </w:p>
    <w:p w14:paraId="5A187BCE">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三、验收标准及内容要求</w:t>
      </w:r>
    </w:p>
    <w:p w14:paraId="1B848675">
      <w:pPr>
        <w:adjustRightInd w:val="0"/>
        <w:snapToGrid w:val="0"/>
        <w:spacing w:line="360" w:lineRule="auto"/>
        <w:ind w:firstLine="480" w:firstLineChars="200"/>
        <w:rPr>
          <w:rFonts w:hint="eastAsia" w:ascii="Times New Roman" w:hAnsi="Times New Roman" w:eastAsia="宋体" w:cs="Times New Roman"/>
          <w:b/>
          <w:iCs/>
          <w:color w:val="000000"/>
          <w:sz w:val="28"/>
          <w:szCs w:val="24"/>
        </w:rPr>
      </w:pPr>
      <w:r>
        <w:rPr>
          <w:rFonts w:hint="eastAsia" w:ascii="宋体" w:hAnsi="宋体" w:eastAsia="宋体" w:cs="宋体"/>
          <w:color w:val="000000"/>
          <w:sz w:val="24"/>
          <w:szCs w:val="24"/>
        </w:rPr>
        <w:t>除招标文件明确的验收标准或内容之外，投标人应当在投标文件中提供预验收（必要时）和终验收的标准以及规程；在合同签定之前，经投标人和招标人双方洽谈确认并签署，以作为验收标准执行。</w:t>
      </w:r>
    </w:p>
    <w:p w14:paraId="7A3F96EE">
      <w:pPr>
        <w:keepNext w:val="0"/>
        <w:keepLines/>
        <w:widowControl w:val="0"/>
        <w:spacing w:before="0" w:after="0" w:line="360" w:lineRule="auto"/>
        <w:ind w:left="482"/>
        <w:jc w:val="center"/>
        <w:outlineLvl w:val="1"/>
        <w:rPr>
          <w:rFonts w:ascii="Calibri" w:hAnsi="Calibri" w:eastAsia="宋体" w:cs="Times New Roman"/>
          <w:b/>
          <w:bCs w:val="0"/>
          <w:i/>
          <w:iCs/>
          <w:color w:val="000000"/>
          <w:kern w:val="44"/>
          <w:sz w:val="28"/>
          <w:szCs w:val="24"/>
          <w:lang w:val="en-US" w:eastAsia="zh-CN" w:bidi="ar-SA"/>
        </w:rPr>
      </w:pPr>
      <w:r>
        <w:rPr>
          <w:rFonts w:hint="eastAsia" w:ascii="Calibri" w:hAnsi="Calibri" w:eastAsia="宋体" w:cs="Times New Roman"/>
          <w:b/>
          <w:bCs w:val="0"/>
          <w:i/>
          <w:iCs/>
          <w:color w:val="000000"/>
          <w:kern w:val="44"/>
          <w:sz w:val="28"/>
          <w:szCs w:val="24"/>
          <w:lang w:val="en-US" w:eastAsia="zh-CN" w:bidi="ar-SA"/>
        </w:rPr>
        <w:t>第七章  其它要求及说明</w:t>
      </w:r>
    </w:p>
    <w:p w14:paraId="5D7D579E">
      <w:pPr>
        <w:keepNext/>
        <w:keepLines/>
        <w:widowControl w:val="0"/>
        <w:spacing w:before="0" w:after="0" w:line="360" w:lineRule="auto"/>
        <w:ind w:firstLine="482" w:firstLineChars="200"/>
        <w:jc w:val="both"/>
        <w:outlineLvl w:val="2"/>
        <w:rPr>
          <w:rFonts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一、要求</w:t>
      </w:r>
    </w:p>
    <w:p w14:paraId="46D788CE">
      <w:pPr>
        <w:widowControl w:val="0"/>
        <w:spacing w:after="0" w:line="360" w:lineRule="auto"/>
        <w:ind w:left="0" w:leftChars="0" w:firstLine="480" w:firstLineChars="200"/>
        <w:jc w:val="both"/>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为保证本技术标书所列采购货物的质量以及先进性、可靠性、经济性和实用性，要求投标人在投标文件中，至少应具备以下资格证明文件或资料：</w:t>
      </w:r>
    </w:p>
    <w:p w14:paraId="17C1808F">
      <w:pPr>
        <w:spacing w:line="360" w:lineRule="auto"/>
        <w:ind w:firstLine="477" w:firstLineChars="199"/>
        <w:rPr>
          <w:rFonts w:ascii="宋体" w:hAnsi="宋体" w:eastAsia="宋体" w:cs="宋体"/>
          <w:color w:val="000000"/>
          <w:sz w:val="24"/>
          <w:szCs w:val="24"/>
        </w:rPr>
      </w:pPr>
      <w:r>
        <w:rPr>
          <w:rFonts w:hint="eastAsia" w:ascii="宋体" w:hAnsi="宋体" w:eastAsia="宋体" w:cs="宋体"/>
          <w:color w:val="000000"/>
          <w:sz w:val="24"/>
          <w:szCs w:val="24"/>
        </w:rPr>
        <w:t>1.投标人应是独立法人或得到法人授权的机构。应当在投标文件中提供法人营业执照（复印件）、税务登记证以及组织机构代码证（国际供应商参考该要求提供有效证明文件），并保证其真实性和有效性。</w:t>
      </w:r>
    </w:p>
    <w:p w14:paraId="5D433AB2">
      <w:pPr>
        <w:spacing w:line="360" w:lineRule="auto"/>
        <w:ind w:firstLine="477" w:firstLineChars="199"/>
        <w:rPr>
          <w:rFonts w:ascii="宋体" w:hAnsi="宋体" w:eastAsia="宋体" w:cs="宋体"/>
          <w:color w:val="000000"/>
          <w:sz w:val="24"/>
          <w:szCs w:val="24"/>
        </w:rPr>
      </w:pPr>
      <w:r>
        <w:rPr>
          <w:rFonts w:hint="eastAsia" w:ascii="宋体" w:hAnsi="宋体" w:eastAsia="宋体" w:cs="宋体"/>
          <w:color w:val="000000"/>
          <w:sz w:val="24"/>
          <w:szCs w:val="24"/>
        </w:rPr>
        <w:t>2.投标人应当是通过有关资格认证的法人。应当在投标文件中提供有效期内的资格认证证书，如：ISO9001、VDA6.1、QS9000等。</w:t>
      </w:r>
    </w:p>
    <w:p w14:paraId="02B0B3A0">
      <w:pPr>
        <w:spacing w:line="360" w:lineRule="auto"/>
        <w:ind w:firstLine="477" w:firstLineChars="199"/>
        <w:rPr>
          <w:rFonts w:ascii="宋体" w:hAnsi="宋体" w:eastAsia="宋体" w:cs="宋体"/>
          <w:color w:val="000000"/>
          <w:sz w:val="24"/>
          <w:szCs w:val="24"/>
        </w:rPr>
      </w:pPr>
      <w:r>
        <w:rPr>
          <w:rFonts w:hint="eastAsia" w:ascii="宋体" w:hAnsi="宋体" w:eastAsia="宋体" w:cs="宋体"/>
          <w:color w:val="000000"/>
          <w:sz w:val="24"/>
          <w:szCs w:val="24"/>
        </w:rPr>
        <w:t>3.国产设备应附有采购货物（或设备）涉及的由“中国质量认证中心”颁发的《中国国家强制性产品认证证书》（CCC证书）。</w:t>
      </w:r>
    </w:p>
    <w:p w14:paraId="7809B365">
      <w:pPr>
        <w:spacing w:line="360" w:lineRule="auto"/>
        <w:ind w:firstLine="477" w:firstLineChars="199"/>
        <w:outlineLvl w:val="3"/>
        <w:rPr>
          <w:rFonts w:ascii="宋体" w:hAnsi="宋体" w:eastAsia="宋体" w:cs="宋体"/>
          <w:color w:val="000000"/>
          <w:sz w:val="24"/>
          <w:szCs w:val="24"/>
        </w:rPr>
      </w:pPr>
      <w:r>
        <w:rPr>
          <w:rFonts w:hint="eastAsia" w:ascii="宋体" w:hAnsi="宋体" w:eastAsia="宋体" w:cs="宋体"/>
          <w:color w:val="000000"/>
          <w:sz w:val="24"/>
          <w:szCs w:val="24"/>
        </w:rPr>
        <w:t>4.应附有其它与投标人、采购货物有关的荣誉证书或资料。</w:t>
      </w:r>
    </w:p>
    <w:p w14:paraId="52FED354">
      <w:pPr>
        <w:spacing w:line="360" w:lineRule="auto"/>
        <w:ind w:firstLine="477" w:firstLineChars="199"/>
        <w:rPr>
          <w:rFonts w:ascii="宋体" w:hAnsi="宋体" w:eastAsia="宋体" w:cs="宋体"/>
          <w:color w:val="000000"/>
          <w:sz w:val="24"/>
          <w:szCs w:val="24"/>
        </w:rPr>
      </w:pPr>
      <w:r>
        <w:rPr>
          <w:rFonts w:hint="eastAsia" w:ascii="宋体" w:hAnsi="宋体" w:eastAsia="宋体" w:cs="宋体"/>
          <w:color w:val="000000"/>
          <w:sz w:val="24"/>
          <w:szCs w:val="24"/>
        </w:rPr>
        <w:t>5.必须附有投标货物涉及产品要求的、国家或行业管理规定要求的、或者投标人认为能够体现其投标货物合法性及先进性的最高级别的证明材料（投标货物不涉及的除外）：</w:t>
      </w:r>
    </w:p>
    <w:p w14:paraId="372551FE">
      <w:pPr>
        <w:spacing w:line="360" w:lineRule="auto"/>
        <w:ind w:firstLine="477" w:firstLineChars="199"/>
        <w:outlineLvl w:val="4"/>
        <w:rPr>
          <w:rFonts w:ascii="宋体" w:hAnsi="宋体" w:eastAsia="宋体" w:cs="宋体"/>
          <w:color w:val="000000"/>
          <w:sz w:val="24"/>
          <w:szCs w:val="24"/>
        </w:rPr>
      </w:pPr>
      <w:r>
        <w:rPr>
          <w:rFonts w:hint="eastAsia" w:ascii="宋体" w:hAnsi="宋体" w:eastAsia="宋体" w:cs="宋体"/>
          <w:color w:val="000000"/>
          <w:sz w:val="24"/>
          <w:szCs w:val="24"/>
        </w:rPr>
        <w:t>5.1国家相关机构颁发的有效期之内所必需的《生产许可证》；</w:t>
      </w:r>
    </w:p>
    <w:p w14:paraId="1CF39180">
      <w:pPr>
        <w:spacing w:line="360" w:lineRule="auto"/>
        <w:ind w:firstLine="477" w:firstLineChars="199"/>
        <w:rPr>
          <w:rFonts w:ascii="宋体" w:hAnsi="宋体" w:eastAsia="宋体" w:cs="宋体"/>
          <w:color w:val="000000"/>
          <w:sz w:val="24"/>
          <w:szCs w:val="24"/>
        </w:rPr>
      </w:pPr>
      <w:r>
        <w:rPr>
          <w:rFonts w:hint="eastAsia" w:ascii="宋体" w:hAnsi="宋体" w:eastAsia="宋体" w:cs="宋体"/>
          <w:color w:val="000000"/>
          <w:sz w:val="24"/>
          <w:szCs w:val="24"/>
        </w:rPr>
        <w:t>5.2产品（或技术）鉴定报告/证书、专利证书或专利许可证书、新技术成果证书等；</w:t>
      </w:r>
    </w:p>
    <w:p w14:paraId="2A006089">
      <w:pPr>
        <w:spacing w:line="360" w:lineRule="auto"/>
        <w:ind w:firstLine="477" w:firstLineChars="199"/>
        <w:rPr>
          <w:rFonts w:ascii="宋体" w:hAnsi="宋体" w:eastAsia="宋体" w:cs="宋体"/>
          <w:color w:val="000000"/>
          <w:sz w:val="24"/>
          <w:szCs w:val="24"/>
        </w:rPr>
      </w:pPr>
      <w:r>
        <w:rPr>
          <w:rFonts w:hint="eastAsia" w:ascii="宋体" w:hAnsi="宋体" w:eastAsia="宋体" w:cs="宋体"/>
          <w:color w:val="000000"/>
          <w:sz w:val="24"/>
          <w:szCs w:val="24"/>
        </w:rPr>
        <w:t>5.3产品相关检验、试验报告，如：型式试验检验报告、安全试验检验报告、电弧效应试验报告、噪声检测报告等；</w:t>
      </w:r>
    </w:p>
    <w:p w14:paraId="2CCB196A">
      <w:pPr>
        <w:spacing w:line="360" w:lineRule="auto"/>
        <w:ind w:firstLine="477" w:firstLineChars="199"/>
        <w:rPr>
          <w:rFonts w:ascii="宋体" w:hAnsi="宋体" w:eastAsia="宋体" w:cs="宋体"/>
          <w:color w:val="000000"/>
          <w:sz w:val="24"/>
          <w:szCs w:val="24"/>
        </w:rPr>
      </w:pPr>
      <w:r>
        <w:rPr>
          <w:rFonts w:hint="eastAsia" w:ascii="宋体" w:hAnsi="宋体" w:eastAsia="宋体" w:cs="宋体"/>
          <w:color w:val="000000"/>
          <w:sz w:val="24"/>
          <w:szCs w:val="24"/>
        </w:rPr>
        <w:t>5.4其它能够证明所供货物的质量水平、技术水平、安全性水平、节能性水平、环保性水平等相关的其它证明文件或资料、报告等；</w:t>
      </w:r>
    </w:p>
    <w:p w14:paraId="6B6624B0">
      <w:pPr>
        <w:spacing w:line="360" w:lineRule="auto"/>
        <w:ind w:firstLine="477" w:firstLineChars="199"/>
        <w:outlineLvl w:val="4"/>
        <w:rPr>
          <w:rFonts w:ascii="宋体" w:hAnsi="宋体" w:eastAsia="宋体" w:cs="宋体"/>
          <w:color w:val="000000"/>
          <w:sz w:val="24"/>
          <w:szCs w:val="24"/>
        </w:rPr>
      </w:pPr>
      <w:r>
        <w:rPr>
          <w:rFonts w:hint="eastAsia" w:ascii="宋体" w:hAnsi="宋体" w:eastAsia="宋体" w:cs="宋体"/>
          <w:color w:val="000000"/>
          <w:sz w:val="24"/>
          <w:szCs w:val="24"/>
        </w:rPr>
        <w:t>5.5该类报告或证明材料对于投标人胜出乃至中标极为重要！</w:t>
      </w:r>
    </w:p>
    <w:p w14:paraId="43EF7625">
      <w:pPr>
        <w:spacing w:line="360" w:lineRule="auto"/>
        <w:ind w:firstLine="482" w:firstLineChars="200"/>
        <w:rPr>
          <w:rFonts w:ascii="宋体" w:hAnsi="宋体" w:eastAsia="宋体" w:cs="宋体"/>
          <w:color w:val="000000"/>
          <w:sz w:val="24"/>
          <w:szCs w:val="24"/>
        </w:rPr>
      </w:pPr>
      <w:r>
        <w:rPr>
          <w:rFonts w:hint="eastAsia" w:ascii="宋体" w:hAnsi="宋体" w:eastAsia="宋体" w:cs="宋体"/>
          <w:b/>
          <w:color w:val="000000"/>
          <w:sz w:val="24"/>
          <w:szCs w:val="24"/>
        </w:rPr>
        <w:t>6.必须附有：</w:t>
      </w:r>
      <w:r>
        <w:rPr>
          <w:rFonts w:hint="eastAsia" w:ascii="宋体" w:hAnsi="宋体" w:eastAsia="宋体" w:cs="宋体"/>
          <w:color w:val="000000"/>
          <w:sz w:val="24"/>
          <w:szCs w:val="24"/>
        </w:rPr>
        <w:t>与本采购货物相同或相似技术规格、型号的而且已经正常使用或通过验收的近三年以上的货物的市场销售业绩清单，清单中应具备：招标方单位名称、销售货物的规格型号、数量、（交货）时间、联系人和联系电话（非移动通信号码）等条目内容；投标人应当保证其业绩的真实性，否则将影响投标或中标资格。</w:t>
      </w:r>
    </w:p>
    <w:p w14:paraId="1F741532">
      <w:pPr>
        <w:keepNext/>
        <w:keepLines/>
        <w:widowControl w:val="0"/>
        <w:spacing w:before="0" w:after="0" w:line="360" w:lineRule="auto"/>
        <w:ind w:firstLine="482" w:firstLineChars="200"/>
        <w:jc w:val="both"/>
        <w:outlineLvl w:val="2"/>
        <w:rPr>
          <w:rFonts w:ascii="Times New Roman" w:hAnsi="Times New Roman" w:eastAsia="宋体" w:cs="Times New Roman"/>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二、其他</w:t>
      </w:r>
    </w:p>
    <w:p w14:paraId="47D10A4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1.投标人可以根据自身的技术、经验等优势以及对招标文件和本技术标书的理解，写明对招标人所采购货物的优化方案或建议意见。投标人的这些努力，招标人表示感谢，并将有助于投标人优先胜出。</w:t>
      </w:r>
    </w:p>
    <w:p w14:paraId="7E896F6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2.即使有建议意见或建议方案，仍应依据招标文件和本技术标书要求，编写符合要求的投标文件。建议方案或建议意见，应以单独篇章或文件，予以说明和报价。</w:t>
      </w:r>
    </w:p>
    <w:p w14:paraId="4C1B20F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3.请投标人仔细阅读“采购货物概况”章节内说明，针对允许分投分中的货物，招标人有权利选择其中优秀设备或服务，作为投标人合同供货范围中的指定选用设备或服务（替代投标人分投而未中标部分）。</w:t>
      </w:r>
    </w:p>
    <w:p w14:paraId="4F7E5EE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4.招标文件、投标文件、答疑文件、技术交流文件、技术标书等，在采购过程全部为有效文件，如有差异，以对招标人最有利的条款为准。</w:t>
      </w:r>
    </w:p>
    <w:p w14:paraId="1ACC86E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5.为避免歧义，本技术标书涉及招投标环节的条款，均将潜在的投标方称为投标人、将招标方称为招标人；定标后合同签署环节以及后续的合同执行环节条款，招标人称为</w:t>
      </w:r>
      <w:r>
        <w:rPr>
          <w:rFonts w:hint="eastAsia" w:ascii="宋体" w:hAnsi="宋体" w:eastAsia="宋体" w:cs="宋体"/>
          <w:color w:val="000000"/>
          <w:sz w:val="24"/>
          <w:szCs w:val="24"/>
          <w:lang w:val="en-US" w:eastAsia="zh-CN"/>
        </w:rPr>
        <w:t>买</w:t>
      </w:r>
      <w:r>
        <w:rPr>
          <w:rFonts w:hint="eastAsia" w:ascii="宋体" w:hAnsi="宋体" w:eastAsia="宋体" w:cs="宋体"/>
          <w:color w:val="000000"/>
          <w:sz w:val="24"/>
          <w:szCs w:val="24"/>
        </w:rPr>
        <w:t>方、投标人中的中标方称为</w:t>
      </w:r>
      <w:r>
        <w:rPr>
          <w:rFonts w:hint="eastAsia" w:ascii="宋体" w:hAnsi="宋体" w:eastAsia="宋体" w:cs="宋体"/>
          <w:color w:val="000000"/>
          <w:sz w:val="24"/>
          <w:szCs w:val="24"/>
          <w:lang w:val="en-US" w:eastAsia="zh-CN"/>
        </w:rPr>
        <w:t>卖</w:t>
      </w:r>
      <w:r>
        <w:rPr>
          <w:rFonts w:hint="eastAsia" w:ascii="宋体" w:hAnsi="宋体" w:eastAsia="宋体" w:cs="宋体"/>
          <w:color w:val="000000"/>
          <w:sz w:val="24"/>
          <w:szCs w:val="24"/>
        </w:rPr>
        <w:t>方。</w:t>
      </w:r>
    </w:p>
    <w:p w14:paraId="17FD3E70">
      <w:pPr>
        <w:spacing w:line="360" w:lineRule="auto"/>
        <w:rPr>
          <w:rFonts w:hint="eastAsia" w:ascii="宋体" w:hAnsi="宋体" w:eastAsia="宋体" w:cs="宋体"/>
          <w:sz w:val="24"/>
          <w:szCs w:val="24"/>
        </w:rPr>
      </w:pPr>
    </w:p>
    <w:p w14:paraId="10083CB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p w14:paraId="1AFBE455">
      <w:pPr>
        <w:pStyle w:val="4"/>
        <w:rPr>
          <w:rFonts w:hint="eastAsia"/>
        </w:rPr>
      </w:pPr>
    </w:p>
    <w:p w14:paraId="6195A1F0"/>
    <w:p w14:paraId="1D9C7A3D">
      <w:pPr>
        <w:spacing w:line="360" w:lineRule="auto"/>
        <w:rPr>
          <w:rFonts w:ascii="宋体" w:hAnsi="宋体" w:eastAsia="宋体" w:cs="宋体"/>
          <w:sz w:val="24"/>
          <w:highlight w:val="none"/>
        </w:rPr>
      </w:pPr>
    </w:p>
    <w:p w14:paraId="2997BF5D"/>
    <w:p w14:paraId="1C1C00B3"/>
    <w:p w14:paraId="0171A0EB"/>
    <w:p w14:paraId="418BF563">
      <w:pPr>
        <w:pStyle w:val="235"/>
        <w:rPr>
          <w:b/>
          <w:bCs/>
        </w:rPr>
      </w:pPr>
    </w:p>
    <w:p w14:paraId="1DDC7B0D">
      <w:pPr>
        <w:rPr>
          <w:rFonts w:hint="eastAsia" w:ascii="仿宋" w:hAnsi="仿宋" w:eastAsia="仿宋"/>
          <w:b/>
          <w:bCs/>
          <w:sz w:val="28"/>
        </w:rPr>
      </w:pPr>
      <w:r>
        <w:rPr>
          <w:rFonts w:hint="eastAsia" w:ascii="仿宋" w:hAnsi="仿宋" w:eastAsia="仿宋"/>
          <w:b/>
          <w:bCs/>
          <w:sz w:val="28"/>
        </w:rPr>
        <w:br w:type="page"/>
      </w:r>
    </w:p>
    <w:p w14:paraId="6666FB12">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w:t>
      </w:r>
      <w:bookmarkStart w:id="30" w:name="_Toc25811"/>
      <w:bookmarkStart w:id="31" w:name="_Toc639004"/>
      <w:bookmarkStart w:id="32" w:name="_Toc353881012"/>
      <w:bookmarkStart w:id="33" w:name="_Toc212369550"/>
      <w:r>
        <w:rPr>
          <w:rFonts w:hint="default" w:ascii="Times New Roman" w:hAnsi="Times New Roman" w:eastAsia="宋体" w:cs="Times New Roman"/>
          <w:b/>
          <w:bCs/>
          <w:color w:val="000000"/>
          <w:sz w:val="24"/>
          <w:szCs w:val="24"/>
        </w:rPr>
        <w:t xml:space="preserve"> 投标函</w:t>
      </w:r>
      <w:bookmarkEnd w:id="30"/>
      <w:bookmarkEnd w:id="31"/>
      <w:bookmarkEnd w:id="32"/>
      <w:bookmarkEnd w:id="33"/>
    </w:p>
    <w:p w14:paraId="217708F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致：</w:t>
      </w:r>
      <w:r>
        <w:rPr>
          <w:rFonts w:hint="eastAsia" w:ascii="Times New Roman" w:hAnsi="Times New Roman" w:eastAsia="宋体" w:cs="Times New Roman"/>
          <w:color w:val="000000"/>
          <w:sz w:val="24"/>
          <w:szCs w:val="24"/>
          <w:lang w:eastAsia="zh-CN"/>
        </w:rPr>
        <w:t>中国重汽集团济南动力有限公司</w:t>
      </w:r>
      <w:r>
        <w:rPr>
          <w:rFonts w:hint="default" w:ascii="Times New Roman" w:hAnsi="Times New Roman" w:eastAsia="宋体" w:cs="Times New Roman"/>
          <w:color w:val="000000"/>
          <w:sz w:val="24"/>
          <w:szCs w:val="24"/>
        </w:rPr>
        <w:t>：</w:t>
      </w:r>
    </w:p>
    <w:p w14:paraId="76048B7F">
      <w:pPr>
        <w:pStyle w:val="20"/>
        <w:spacing w:after="156"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根据贵方</w:t>
      </w:r>
      <w:r>
        <w:rPr>
          <w:rFonts w:hint="eastAsia" w:ascii="Times New Roman" w:hAnsi="Times New Roman" w:eastAsia="宋体" w:cs="Times New Roman"/>
          <w:color w:val="000000"/>
          <w:sz w:val="24"/>
          <w:szCs w:val="24"/>
          <w:lang w:val="en-US" w:eastAsia="zh-CN"/>
        </w:rPr>
        <w:t xml:space="preserve">  </w:t>
      </w:r>
      <w:r>
        <w:rPr>
          <w:rFonts w:hint="default"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b/>
          <w:bCs/>
          <w:color w:val="000000"/>
          <w:sz w:val="24"/>
          <w:szCs w:val="24"/>
          <w:u w:val="single"/>
          <w:lang w:val="en-US" w:eastAsia="zh-CN"/>
        </w:rPr>
        <w:t xml:space="preserve">                      </w:t>
      </w:r>
      <w:r>
        <w:rPr>
          <w:rFonts w:hint="default" w:ascii="Times New Roman" w:hAnsi="Times New Roman" w:eastAsia="宋体" w:cs="Times New Roman"/>
          <w:bCs/>
          <w:snapToGrid w:val="0"/>
          <w:color w:val="000000"/>
          <w:kern w:val="0"/>
          <w:sz w:val="24"/>
          <w:szCs w:val="24"/>
        </w:rPr>
        <w:t>招标公告</w:t>
      </w:r>
      <w:r>
        <w:rPr>
          <w:rFonts w:hint="default" w:ascii="Times New Roman" w:hAnsi="Times New Roman" w:eastAsia="宋体" w:cs="Times New Roman"/>
          <w:b/>
          <w:bCs/>
          <w:snapToGrid w:val="0"/>
          <w:color w:val="000000"/>
          <w:kern w:val="0"/>
          <w:sz w:val="24"/>
          <w:szCs w:val="24"/>
          <w:u w:val="single"/>
        </w:rPr>
        <w:t xml:space="preserve">              </w:t>
      </w:r>
      <w:r>
        <w:rPr>
          <w:rFonts w:hint="default" w:ascii="Times New Roman" w:hAnsi="Times New Roman" w:eastAsia="宋体" w:cs="Times New Roman"/>
          <w:color w:val="000000"/>
          <w:sz w:val="24"/>
          <w:szCs w:val="24"/>
        </w:rPr>
        <w:t>，</w:t>
      </w:r>
      <w:r>
        <w:rPr>
          <w:rFonts w:hint="default" w:ascii="Times New Roman" w:hAnsi="Times New Roman" w:eastAsia="宋体" w:cs="Times New Roman"/>
          <w:b/>
          <w:color w:val="000000"/>
          <w:sz w:val="24"/>
          <w:szCs w:val="24"/>
          <w:u w:val="single"/>
        </w:rPr>
        <w:t xml:space="preserve">            </w:t>
      </w:r>
      <w:r>
        <w:rPr>
          <w:rFonts w:hint="default" w:ascii="Times New Roman" w:hAnsi="Times New Roman" w:eastAsia="宋体" w:cs="Times New Roman"/>
          <w:color w:val="000000"/>
          <w:sz w:val="24"/>
          <w:szCs w:val="24"/>
        </w:rPr>
        <w:t>投标公司， 法人代表人为</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，正式授权</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 提交纸质投标文件：资质证明文件、商务文件和技术文件</w:t>
      </w:r>
      <w:r>
        <w:rPr>
          <w:rFonts w:hint="eastAsia" w:ascii="Times New Roman" w:hAnsi="Times New Roman" w:eastAsia="宋体" w:cs="Times New Roman"/>
          <w:color w:val="000000"/>
          <w:sz w:val="24"/>
          <w:szCs w:val="24"/>
          <w:lang w:val="en-US" w:eastAsia="zh-CN"/>
        </w:rPr>
        <w:t>的</w:t>
      </w:r>
      <w:r>
        <w:rPr>
          <w:rFonts w:hint="default" w:ascii="Times New Roman" w:hAnsi="Times New Roman" w:eastAsia="宋体" w:cs="Times New Roman"/>
          <w:color w:val="000000"/>
          <w:sz w:val="24"/>
          <w:szCs w:val="24"/>
        </w:rPr>
        <w:t>电子版投标文件一份（</w:t>
      </w:r>
      <w:r>
        <w:rPr>
          <w:rFonts w:hint="default" w:ascii="Times New Roman" w:hAnsi="Times New Roman" w:eastAsia="宋体" w:cs="Times New Roman"/>
          <w:bCs/>
          <w:color w:val="000000"/>
          <w:sz w:val="24"/>
          <w:szCs w:val="24"/>
        </w:rPr>
        <w:t>电子版投标文件为纸质盖章版的扫描件或加盖电子章；不盖章无效。</w:t>
      </w:r>
      <w:r>
        <w:rPr>
          <w:rFonts w:hint="default" w:ascii="Times New Roman" w:hAnsi="Times New Roman" w:eastAsia="宋体" w:cs="Times New Roman"/>
          <w:color w:val="000000"/>
          <w:sz w:val="24"/>
          <w:szCs w:val="24"/>
        </w:rPr>
        <w:t>）。</w:t>
      </w:r>
    </w:p>
    <w:p w14:paraId="40D981A8">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据此函，签字代表宣布同意如下：</w:t>
      </w:r>
    </w:p>
    <w:p w14:paraId="75F5E31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1.投标人已详细审查全部“招标文件”，包括修改文件（如有的话）以及全部参考资料和有关附件，已经了解我方对于招标文件、采购过程、采购结果有依法进行询问、质疑、投诉的权利及相关渠道和要求。</w:t>
      </w:r>
    </w:p>
    <w:p w14:paraId="0DF0084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2.投标人在投标之前已经与贵方进行了充分的沟通，完全理解并接受招标文件的各项规定和要求，对招标文件的合理性、合法性不再有异议。</w:t>
      </w:r>
    </w:p>
    <w:p w14:paraId="181DB79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3.本投标有效期自开标日起</w:t>
      </w:r>
      <w:r>
        <w:rPr>
          <w:rFonts w:hint="default" w:ascii="Times New Roman" w:hAnsi="Times New Roman" w:eastAsia="宋体" w:cs="Times New Roman"/>
          <w:bCs/>
          <w:color w:val="000000"/>
          <w:sz w:val="24"/>
          <w:szCs w:val="24"/>
          <w:u w:val="single"/>
        </w:rPr>
        <w:t xml:space="preserve"> 90</w:t>
      </w:r>
      <w:r>
        <w:rPr>
          <w:rFonts w:hint="default" w:ascii="Times New Roman" w:hAnsi="Times New Roman" w:eastAsia="宋体" w:cs="Times New Roman"/>
          <w:color w:val="000000"/>
          <w:sz w:val="24"/>
          <w:szCs w:val="24"/>
        </w:rPr>
        <w:t>个日历日。</w:t>
      </w:r>
    </w:p>
    <w:p w14:paraId="7408657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4.如中标，本投标文件至本项目合同履行完毕止均保持有效，本投标人将按“招标文件”及政府采购法律、法规的规定履行合同责任和义务。</w:t>
      </w:r>
    </w:p>
    <w:p w14:paraId="326509F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5.投标人同意按照贵方要求提供与投标有关的一切数据或资料。</w:t>
      </w:r>
    </w:p>
    <w:p w14:paraId="06049BF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6.与本投标有关的一切正式往来信函请寄：</w:t>
      </w:r>
    </w:p>
    <w:p w14:paraId="1BF2C584">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地址：                             </w:t>
      </w:r>
    </w:p>
    <w:p w14:paraId="791F58D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邮编：        </w:t>
      </w:r>
    </w:p>
    <w:p w14:paraId="7F9ACF1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电话：        传真：                   </w:t>
      </w:r>
    </w:p>
    <w:p w14:paraId="7C4BD81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投标人代表姓名：</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职务：          </w:t>
      </w:r>
    </w:p>
    <w:p w14:paraId="549A486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开户银行：                   </w:t>
      </w:r>
    </w:p>
    <w:p w14:paraId="08AE3D4E">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银行帐号：                   </w:t>
      </w:r>
    </w:p>
    <w:p w14:paraId="34FDD6CB">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w:t>
      </w:r>
      <w:r>
        <w:rPr>
          <w:rFonts w:hint="default" w:ascii="Times New Roman" w:hAnsi="Times New Roman" w:eastAsia="宋体" w:cs="Times New Roman"/>
          <w:bCs/>
          <w:color w:val="000000"/>
          <w:sz w:val="24"/>
          <w:szCs w:val="24"/>
        </w:rPr>
        <w:t>盖章）</w:t>
      </w:r>
      <w:r>
        <w:rPr>
          <w:rFonts w:hint="default" w:ascii="Times New Roman" w:hAnsi="Times New Roman" w:eastAsia="宋体" w:cs="Times New Roman"/>
          <w:color w:val="000000"/>
          <w:sz w:val="24"/>
          <w:szCs w:val="24"/>
        </w:rPr>
        <w:t xml:space="preserve">: </w:t>
      </w:r>
    </w:p>
    <w:p w14:paraId="6D673F2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授权代表签字</w:t>
      </w:r>
      <w:r>
        <w:rPr>
          <w:rFonts w:hint="default" w:ascii="Times New Roman" w:hAnsi="Times New Roman" w:eastAsia="宋体" w:cs="Times New Roman"/>
          <w:bCs/>
          <w:color w:val="000000"/>
          <w:sz w:val="24"/>
          <w:szCs w:val="24"/>
        </w:rPr>
        <w:t>：</w:t>
      </w:r>
    </w:p>
    <w:p w14:paraId="563190FE">
      <w:pPr>
        <w:spacing w:line="360" w:lineRule="auto"/>
        <w:ind w:firstLine="480" w:firstLineChars="200"/>
        <w:rPr>
          <w:rFonts w:hint="default" w:ascii="Times New Roman" w:hAnsi="Times New Roman" w:eastAsia="黑体" w:cs="Times New Roman"/>
          <w:color w:val="000000"/>
          <w:sz w:val="24"/>
          <w:szCs w:val="24"/>
        </w:rPr>
      </w:pPr>
      <w:r>
        <w:rPr>
          <w:rFonts w:hint="default" w:ascii="Times New Roman" w:hAnsi="Times New Roman" w:eastAsia="宋体" w:cs="Times New Roman"/>
          <w:color w:val="000000"/>
          <w:sz w:val="24"/>
          <w:szCs w:val="24"/>
        </w:rPr>
        <w:t>日期：     年      月      日</w:t>
      </w:r>
      <w:r>
        <w:rPr>
          <w:rFonts w:hint="default" w:ascii="Times New Roman" w:hAnsi="Times New Roman" w:eastAsia="黑体" w:cs="Times New Roman"/>
          <w:color w:val="000000"/>
          <w:sz w:val="24"/>
          <w:szCs w:val="24"/>
        </w:rPr>
        <w:br w:type="page"/>
      </w:r>
    </w:p>
    <w:p w14:paraId="55C83132">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附件2 法定代表人授权委托书</w:t>
      </w:r>
    </w:p>
    <w:p w14:paraId="0D017F7C">
      <w:pPr>
        <w:adjustRightInd w:val="0"/>
        <w:snapToGrid w:val="0"/>
        <w:spacing w:before="93" w:beforeLines="30" w:line="240" w:lineRule="exact"/>
        <w:jc w:val="center"/>
        <w:rPr>
          <w:rFonts w:hint="default" w:ascii="Times New Roman" w:hAnsi="Times New Roman" w:eastAsia="宋体" w:cs="Times New Roman"/>
          <w:sz w:val="24"/>
          <w:szCs w:val="20"/>
        </w:rPr>
      </w:pPr>
    </w:p>
    <w:p w14:paraId="6DF2BD2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本授权委托书声明：我＿＿＿＿＿＿＿（姓名）系＿＿＿＿＿＿＿＿＿＿＿＿＿＿＿＿＿＿＿＿＿＿＿＿＿＿＿＿（投标人全称）的法定代表人，就</w:t>
      </w:r>
      <w:r>
        <w:rPr>
          <w:rFonts w:hint="default" w:ascii="Times New Roman" w:hAnsi="Times New Roman" w:eastAsia="宋体" w:cs="Times New Roman"/>
          <w:b/>
          <w:bCs/>
          <w:color w:val="000000"/>
          <w:sz w:val="24"/>
          <w:szCs w:val="24"/>
          <w:u w:val="single"/>
        </w:rPr>
        <w:t xml:space="preserve"> </w:t>
      </w:r>
      <w:r>
        <w:rPr>
          <w:rFonts w:hint="eastAsia" w:cs="Times New Roman"/>
          <w:b/>
          <w:bCs/>
          <w:color w:val="000000"/>
          <w:sz w:val="24"/>
          <w:szCs w:val="24"/>
          <w:u w:val="single"/>
          <w:lang w:val="en-US" w:eastAsia="zh-CN"/>
        </w:rPr>
        <w:t>济南成型厂110kV变电站通讯系统更新改造技改项目</w:t>
      </w:r>
      <w:r>
        <w:rPr>
          <w:rFonts w:hint="default" w:ascii="Times New Roman" w:hAnsi="Times New Roman" w:eastAsia="宋体" w:cs="Times New Roman"/>
          <w:b/>
          <w:bCs/>
          <w:color w:val="000000"/>
          <w:sz w:val="24"/>
          <w:szCs w:val="24"/>
        </w:rPr>
        <w:t xml:space="preserve"> </w:t>
      </w:r>
      <w:r>
        <w:rPr>
          <w:rFonts w:hint="default" w:ascii="Times New Roman" w:hAnsi="Times New Roman"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19C70D6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全权代表无转委权。特此委托。</w:t>
      </w:r>
    </w:p>
    <w:tbl>
      <w:tblPr>
        <w:tblStyle w:val="48"/>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52DE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85BF60A">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附法人身份证明复印件（</w:t>
            </w:r>
            <w:r>
              <w:rPr>
                <w:rFonts w:hint="default" w:ascii="Times New Roman" w:hAnsi="Times New Roman" w:eastAsia="宋体" w:cs="Times New Roman"/>
                <w:color w:val="000000" w:themeColor="text1"/>
                <w:sz w:val="24"/>
                <w:szCs w:val="20"/>
                <w14:textFill>
                  <w14:solidFill>
                    <w14:schemeClr w14:val="tx1"/>
                  </w14:solidFill>
                </w14:textFill>
              </w:rPr>
              <w:t>正反面）</w:t>
            </w:r>
          </w:p>
          <w:p w14:paraId="60EF30DC">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附授权代理人身份证明复印件（正反面）</w:t>
            </w:r>
          </w:p>
        </w:tc>
      </w:tr>
    </w:tbl>
    <w:p w14:paraId="03B1D2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全权代表姓名：            性别：          年龄：</w:t>
      </w:r>
    </w:p>
    <w:p w14:paraId="57AC56B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单位：                    部门：          职务：</w:t>
      </w:r>
    </w:p>
    <w:p w14:paraId="7920E3B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法定代表人签字或盖章                          </w:t>
      </w:r>
    </w:p>
    <w:p w14:paraId="13CE093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被授权人签字  </w:t>
      </w:r>
    </w:p>
    <w:p w14:paraId="6A5050D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被授权人电话：                          </w:t>
      </w:r>
    </w:p>
    <w:p w14:paraId="6C3A534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投标人名称（公章）                       </w:t>
      </w:r>
    </w:p>
    <w:p w14:paraId="469DE19D">
      <w:pPr>
        <w:spacing w:line="460" w:lineRule="exact"/>
        <w:ind w:firstLine="5520" w:firstLineChars="23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267C063">
      <w:pPr>
        <w:rPr>
          <w:rFonts w:hint="default" w:ascii="Times New Roman" w:hAnsi="Times New Roman" w:eastAsia="黑体" w:cs="Times New Roman"/>
          <w:b/>
          <w:bCs/>
          <w:color w:val="000000"/>
          <w:sz w:val="28"/>
          <w:szCs w:val="20"/>
        </w:rPr>
      </w:pPr>
    </w:p>
    <w:p w14:paraId="7B534184">
      <w:pPr>
        <w:pStyle w:val="24"/>
        <w:rPr>
          <w:rFonts w:hint="default" w:ascii="Times New Roman" w:hAnsi="Times New Roman" w:eastAsia="黑体" w:cs="Times New Roman"/>
          <w:b/>
          <w:bCs/>
          <w:color w:val="000000"/>
          <w:sz w:val="28"/>
          <w:szCs w:val="20"/>
        </w:rPr>
      </w:pPr>
    </w:p>
    <w:p w14:paraId="6BA0FD1E">
      <w:pPr>
        <w:rPr>
          <w:rFonts w:hint="default" w:ascii="Times New Roman" w:hAnsi="Times New Roman" w:cs="Times New Roman"/>
        </w:rPr>
        <w:sectPr>
          <w:footerReference r:id="rId5" w:type="first"/>
          <w:headerReference r:id="rId3" w:type="default"/>
          <w:footerReference r:id="rId4"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6BF0633B">
      <w:pPr>
        <w:keepNext/>
        <w:keepLines/>
        <w:outlineLvl w:val="1"/>
        <w:rPr>
          <w:rFonts w:hint="default" w:ascii="Times New Roman" w:hAnsi="Times New Roman" w:eastAsia="宋体" w:cs="Times New Roman"/>
          <w:spacing w:val="-9"/>
          <w:sz w:val="24"/>
          <w:szCs w:val="24"/>
        </w:rPr>
      </w:pP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附</w:t>
      </w:r>
      <w:r>
        <w:rPr>
          <w:rFonts w:hint="default" w:ascii="Times New Roman" w:hAnsi="Times New Roman" w:eastAsia="宋体" w:cs="Times New Roman"/>
          <w:spacing w:val="-14"/>
          <w:sz w:val="24"/>
          <w:szCs w:val="24"/>
          <w14:textOutline w14:w="4356" w14:cap="sq" w14:cmpd="sng" w14:algn="ctr">
            <w14:solidFill>
              <w14:srgbClr w14:val="000000"/>
            </w14:solidFill>
            <w14:prstDash w14:val="solid"/>
            <w14:bevel/>
          </w14:textOutline>
        </w:rPr>
        <w:t>件</w:t>
      </w: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 xml:space="preserve">3 </w:t>
      </w:r>
      <w:r>
        <w:rPr>
          <w:rFonts w:hint="default" w:ascii="Times New Roman" w:hAnsi="Times New Roman" w:eastAsia="宋体" w:cs="Times New Roman"/>
          <w:spacing w:val="15"/>
          <w:position w:val="3"/>
          <w:sz w:val="24"/>
          <w:szCs w:val="24"/>
          <w14:textOutline w14:w="4356" w14:cap="sq" w14:cmpd="sng" w14:algn="ctr">
            <w14:solidFill>
              <w14:srgbClr w14:val="000000"/>
            </w14:solidFill>
            <w14:prstDash w14:val="solid"/>
            <w14:bevel/>
          </w14:textOutline>
        </w:rPr>
        <w:t>投</w:t>
      </w:r>
      <w:r>
        <w:rPr>
          <w:rFonts w:hint="default" w:ascii="Times New Roman" w:hAnsi="Times New Roman" w:eastAsia="宋体" w:cs="Times New Roman"/>
          <w:spacing w:val="8"/>
          <w:position w:val="3"/>
          <w:sz w:val="24"/>
          <w:szCs w:val="24"/>
          <w14:textOutline w14:w="4356" w14:cap="sq" w14:cmpd="sng" w14:algn="ctr">
            <w14:solidFill>
              <w14:srgbClr w14:val="000000"/>
            </w14:solidFill>
            <w14:prstDash w14:val="solid"/>
            <w14:bevel/>
          </w14:textOutline>
        </w:rPr>
        <w:t>标人基本情况及</w:t>
      </w:r>
      <w:r>
        <w:rPr>
          <w:rFonts w:hint="default" w:ascii="Times New Roman" w:hAnsi="Times New Roman" w:eastAsia="宋体" w:cs="Times New Roman"/>
          <w:spacing w:val="8"/>
          <w:sz w:val="24"/>
          <w:szCs w:val="24"/>
          <w14:textOutline w14:w="4356" w14:cap="sq" w14:cmpd="sng" w14:algn="ctr">
            <w14:solidFill>
              <w14:srgbClr w14:val="000000"/>
            </w14:solidFill>
            <w14:prstDash w14:val="solid"/>
            <w14:bevel/>
          </w14:textOutline>
        </w:rPr>
        <w:t>资产情况汇总</w:t>
      </w:r>
      <w:r>
        <w:rPr>
          <w:rFonts w:hint="default" w:ascii="Times New Roman" w:hAnsi="Times New Roman" w:eastAsia="宋体" w:cs="Times New Roman"/>
          <w:spacing w:val="7"/>
          <w:sz w:val="24"/>
          <w:szCs w:val="24"/>
          <w14:textOutline w14:w="4356" w14:cap="sq" w14:cmpd="sng" w14:algn="ctr">
            <w14:solidFill>
              <w14:srgbClr w14:val="000000"/>
            </w14:solidFill>
            <w14:prstDash w14:val="solid"/>
            <w14:bevel/>
          </w14:textOutline>
        </w:rPr>
        <w:t>表</w:t>
      </w:r>
    </w:p>
    <w:p w14:paraId="52CC2F29">
      <w:pPr>
        <w:keepNext/>
        <w:keepLines/>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spacing w:val="-7"/>
          <w:sz w:val="24"/>
          <w:szCs w:val="24"/>
        </w:rPr>
        <w:t xml:space="preserve"> </w:t>
      </w:r>
      <w:r>
        <w:rPr>
          <w:rFonts w:hint="default" w:ascii="Times New Roman" w:hAnsi="Times New Roman" w:eastAsia="宋体" w:cs="Times New Roman"/>
          <w:b/>
          <w:bCs/>
          <w:spacing w:val="-7"/>
          <w:sz w:val="24"/>
          <w:szCs w:val="24"/>
        </w:rPr>
        <w:t>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1 </w:t>
      </w:r>
      <w:r>
        <w:rPr>
          <w:rFonts w:hint="default" w:ascii="Times New Roman" w:hAnsi="Times New Roman" w:eastAsia="宋体" w:cs="Times New Roman"/>
          <w:b/>
          <w:bCs/>
          <w:color w:val="000000"/>
          <w:sz w:val="24"/>
          <w:szCs w:val="24"/>
        </w:rPr>
        <w:t>投标人基本情况表</w:t>
      </w:r>
    </w:p>
    <w:tbl>
      <w:tblPr>
        <w:tblStyle w:val="232"/>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6F3D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191C243E">
            <w:pPr>
              <w:pStyle w:val="231"/>
              <w:spacing w:before="114"/>
              <w:ind w:left="720"/>
              <w:rPr>
                <w:rFonts w:hint="default" w:ascii="Times New Roman" w:hAnsi="Times New Roman" w:cs="Times New Roman"/>
              </w:rPr>
            </w:pPr>
            <w:r>
              <w:rPr>
                <w:rFonts w:hint="default" w:ascii="Times New Roman" w:hAnsi="Times New Roman" w:cs="Times New Roman"/>
              </w:rPr>
              <w:t xml:space="preserve">企业名称 </w:t>
            </w:r>
          </w:p>
        </w:tc>
        <w:tc>
          <w:tcPr>
            <w:tcW w:w="4680" w:type="dxa"/>
            <w:gridSpan w:val="4"/>
            <w:vAlign w:val="center"/>
          </w:tcPr>
          <w:p w14:paraId="38785D6F">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3B1CED88">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 </w:t>
            </w:r>
          </w:p>
        </w:tc>
        <w:tc>
          <w:tcPr>
            <w:tcW w:w="1510" w:type="dxa"/>
            <w:vAlign w:val="center"/>
          </w:tcPr>
          <w:p w14:paraId="3B925544">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28C2E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721A620">
            <w:pPr>
              <w:pStyle w:val="231"/>
              <w:spacing w:before="114"/>
              <w:ind w:left="720"/>
              <w:rPr>
                <w:rFonts w:hint="default" w:ascii="Times New Roman" w:hAnsi="Times New Roman" w:cs="Times New Roman"/>
              </w:rPr>
            </w:pPr>
            <w:r>
              <w:rPr>
                <w:rFonts w:hint="default" w:ascii="Times New Roman" w:hAnsi="Times New Roman" w:cs="Times New Roman"/>
              </w:rPr>
              <w:t xml:space="preserve">企业地址 </w:t>
            </w:r>
          </w:p>
        </w:tc>
        <w:tc>
          <w:tcPr>
            <w:tcW w:w="4680" w:type="dxa"/>
            <w:gridSpan w:val="4"/>
            <w:vAlign w:val="center"/>
          </w:tcPr>
          <w:p w14:paraId="577DBB3B">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31ED4E79">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联系人电话 </w:t>
            </w:r>
          </w:p>
        </w:tc>
        <w:tc>
          <w:tcPr>
            <w:tcW w:w="1510" w:type="dxa"/>
            <w:vAlign w:val="center"/>
          </w:tcPr>
          <w:p w14:paraId="574AA924">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57705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B19CA0B">
            <w:pPr>
              <w:pStyle w:val="231"/>
              <w:spacing w:before="111"/>
              <w:ind w:left="720"/>
              <w:rPr>
                <w:rFonts w:hint="default" w:ascii="Times New Roman" w:hAnsi="Times New Roman" w:cs="Times New Roman"/>
              </w:rPr>
            </w:pPr>
            <w:r>
              <w:rPr>
                <w:rFonts w:hint="default" w:ascii="Times New Roman" w:hAnsi="Times New Roman" w:cs="Times New Roman"/>
              </w:rPr>
              <w:t xml:space="preserve">企业性质 </w:t>
            </w:r>
          </w:p>
        </w:tc>
        <w:tc>
          <w:tcPr>
            <w:tcW w:w="4680" w:type="dxa"/>
            <w:gridSpan w:val="4"/>
            <w:vAlign w:val="center"/>
          </w:tcPr>
          <w:p w14:paraId="622E5C68">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744257B9">
            <w:pPr>
              <w:pStyle w:val="231"/>
              <w:spacing w:before="103"/>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注册时间 </w:t>
            </w:r>
          </w:p>
        </w:tc>
        <w:tc>
          <w:tcPr>
            <w:tcW w:w="1510" w:type="dxa"/>
            <w:vAlign w:val="center"/>
          </w:tcPr>
          <w:p w14:paraId="2943A09F">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898D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62606A0D">
            <w:pPr>
              <w:pStyle w:val="231"/>
              <w:spacing w:before="111"/>
              <w:ind w:left="509"/>
              <w:rPr>
                <w:rFonts w:hint="default" w:ascii="Times New Roman" w:hAnsi="Times New Roman" w:cs="Times New Roman"/>
                <w:highlight w:val="yellow"/>
              </w:rPr>
            </w:pPr>
            <w:r>
              <w:rPr>
                <w:rFonts w:hint="default" w:ascii="Times New Roman" w:hAnsi="Times New Roman" w:cs="Times New Roman"/>
              </w:rPr>
              <w:t xml:space="preserve">企业法人代表  </w:t>
            </w:r>
          </w:p>
        </w:tc>
        <w:tc>
          <w:tcPr>
            <w:tcW w:w="4680" w:type="dxa"/>
            <w:gridSpan w:val="4"/>
          </w:tcPr>
          <w:p w14:paraId="4581DE8E">
            <w:pPr>
              <w:pStyle w:val="5"/>
              <w:keepNext w:val="0"/>
              <w:keepLines w:val="0"/>
              <w:widowControl/>
              <w:shd w:val="clear" w:color="auto" w:fill="FFFFFF"/>
              <w:spacing w:before="0" w:after="0" w:line="450" w:lineRule="atLeast"/>
              <w:rPr>
                <w:rFonts w:hint="default" w:ascii="Times New Roman" w:hAnsi="Times New Roman" w:cs="Times New Roman"/>
                <w:color w:val="000000" w:themeColor="text1"/>
                <w14:textFill>
                  <w14:solidFill>
                    <w14:schemeClr w14:val="tx1"/>
                  </w14:solidFill>
                </w14:textFill>
              </w:rPr>
            </w:pPr>
          </w:p>
        </w:tc>
        <w:tc>
          <w:tcPr>
            <w:tcW w:w="1310" w:type="dxa"/>
          </w:tcPr>
          <w:p w14:paraId="7A5B0B56">
            <w:pPr>
              <w:pStyle w:val="231"/>
              <w:spacing w:before="103"/>
              <w:ind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企业资质</w:t>
            </w:r>
          </w:p>
        </w:tc>
        <w:tc>
          <w:tcPr>
            <w:tcW w:w="1510" w:type="dxa"/>
            <w:vAlign w:val="center"/>
          </w:tcPr>
          <w:p w14:paraId="22F3064E">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781A2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59BE352C">
            <w:pPr>
              <w:pStyle w:val="231"/>
              <w:spacing w:before="114"/>
              <w:ind w:left="720"/>
              <w:rPr>
                <w:rFonts w:hint="default" w:ascii="Times New Roman" w:hAnsi="Times New Roman" w:cs="Times New Roman"/>
              </w:rPr>
            </w:pPr>
            <w:r>
              <w:rPr>
                <w:rFonts w:hint="default" w:ascii="Times New Roman" w:hAnsi="Times New Roman" w:cs="Times New Roman"/>
              </w:rPr>
              <w:t xml:space="preserve">品牌区分 </w:t>
            </w:r>
          </w:p>
        </w:tc>
        <w:tc>
          <w:tcPr>
            <w:tcW w:w="7500" w:type="dxa"/>
            <w:gridSpan w:val="6"/>
          </w:tcPr>
          <w:p w14:paraId="76E5C832">
            <w:pPr>
              <w:pStyle w:val="231"/>
              <w:spacing w:before="106"/>
              <w:ind w:left="401"/>
              <w:rPr>
                <w:rFonts w:hint="default" w:ascii="Times New Roman" w:hAnsi="Times New Roman" w:cs="Times New Roman"/>
              </w:rPr>
            </w:pPr>
            <w:r>
              <w:rPr>
                <w:rFonts w:hint="default" w:ascii="Times New Roman" w:hAnsi="Times New Roman" w:cs="Times New Roman"/>
              </w:rPr>
              <w:t xml:space="preserve"> 自产 总代理 代理  经销 </w:t>
            </w:r>
          </w:p>
        </w:tc>
      </w:tr>
      <w:tr w14:paraId="4FA2F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9C5520D">
            <w:pPr>
              <w:pStyle w:val="231"/>
              <w:spacing w:before="178"/>
              <w:ind w:left="720"/>
              <w:rPr>
                <w:rFonts w:hint="default" w:ascii="Times New Roman" w:hAnsi="Times New Roman" w:cs="Times New Roman"/>
              </w:rPr>
            </w:pPr>
            <w:r>
              <w:rPr>
                <w:rFonts w:hint="default" w:ascii="Times New Roman" w:hAnsi="Times New Roman" w:cs="Times New Roman"/>
              </w:rPr>
              <w:t xml:space="preserve">品牌名称 </w:t>
            </w:r>
          </w:p>
        </w:tc>
        <w:tc>
          <w:tcPr>
            <w:tcW w:w="3583" w:type="dxa"/>
            <w:gridSpan w:val="3"/>
            <w:vAlign w:val="center"/>
          </w:tcPr>
          <w:p w14:paraId="3ECF0C37">
            <w:pPr>
              <w:widowControl/>
              <w:rPr>
                <w:rFonts w:hint="default" w:ascii="Times New Roman" w:hAnsi="Times New Roman" w:eastAsia="仿宋_GB2312" w:cs="Times New Roman"/>
                <w:kern w:val="0"/>
                <w:szCs w:val="21"/>
                <w:lang w:bidi="ar"/>
              </w:rPr>
            </w:pPr>
          </w:p>
        </w:tc>
        <w:tc>
          <w:tcPr>
            <w:tcW w:w="1097" w:type="dxa"/>
          </w:tcPr>
          <w:p w14:paraId="4DF56DC6">
            <w:pPr>
              <w:pStyle w:val="231"/>
              <w:spacing w:before="15"/>
              <w:ind w:left="279"/>
              <w:rPr>
                <w:rFonts w:hint="default" w:ascii="Times New Roman" w:hAnsi="Times New Roman" w:cs="Times New Roman"/>
              </w:rPr>
            </w:pPr>
            <w:r>
              <w:rPr>
                <w:rFonts w:hint="default" w:ascii="Times New Roman" w:hAnsi="Times New Roman" w:cs="Times New Roman"/>
                <w:spacing w:val="-2"/>
              </w:rPr>
              <w:t>质量</w:t>
            </w:r>
            <w:r>
              <w:rPr>
                <w:rFonts w:hint="default" w:ascii="Times New Roman" w:hAnsi="Times New Roman" w:cs="Times New Roman"/>
              </w:rPr>
              <w:t xml:space="preserve"> </w:t>
            </w:r>
          </w:p>
          <w:p w14:paraId="36017E50">
            <w:pPr>
              <w:pStyle w:val="231"/>
              <w:spacing w:before="30" w:line="277" w:lineRule="exact"/>
              <w:ind w:left="279"/>
              <w:rPr>
                <w:rFonts w:hint="default" w:ascii="Times New Roman" w:hAnsi="Times New Roman" w:cs="Times New Roman"/>
              </w:rPr>
            </w:pPr>
            <w:r>
              <w:rPr>
                <w:rFonts w:hint="default" w:ascii="Times New Roman" w:hAnsi="Times New Roman" w:cs="Times New Roman"/>
              </w:rPr>
              <w:t>体系</w:t>
            </w:r>
          </w:p>
        </w:tc>
        <w:tc>
          <w:tcPr>
            <w:tcW w:w="2820" w:type="dxa"/>
            <w:gridSpan w:val="2"/>
          </w:tcPr>
          <w:p w14:paraId="1D7355E3">
            <w:pPr>
              <w:pStyle w:val="231"/>
              <w:spacing w:before="158"/>
              <w:jc w:val="center"/>
              <w:rPr>
                <w:rFonts w:hint="default" w:ascii="Times New Roman" w:hAnsi="Times New Roman" w:cs="Times New Roman"/>
                <w:sz w:val="24"/>
              </w:rPr>
            </w:pPr>
          </w:p>
        </w:tc>
      </w:tr>
      <w:tr w14:paraId="3EA92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306CFDF6">
            <w:pPr>
              <w:pStyle w:val="231"/>
              <w:spacing w:before="149"/>
              <w:ind w:left="3345" w:right="3223"/>
              <w:jc w:val="center"/>
              <w:rPr>
                <w:rFonts w:hint="default" w:ascii="Times New Roman" w:hAnsi="Times New Roman" w:cs="Times New Roman"/>
              </w:rPr>
            </w:pPr>
            <w:r>
              <w:rPr>
                <w:rFonts w:hint="default" w:ascii="Times New Roman" w:hAnsi="Times New Roman" w:cs="Times New Roman"/>
                <w:szCs w:val="21"/>
              </w:rPr>
              <w:t>单位概况</w:t>
            </w:r>
          </w:p>
        </w:tc>
      </w:tr>
      <w:tr w14:paraId="4DF90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3438084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参保职工总人</w:t>
            </w:r>
            <w:r>
              <w:rPr>
                <w:rFonts w:hint="default" w:ascii="Times New Roman" w:hAnsi="Times New Roman" w:eastAsia="宋体" w:cs="Times New Roman"/>
                <w:spacing w:val="-1"/>
                <w:szCs w:val="21"/>
              </w:rPr>
              <w:t>数</w:t>
            </w:r>
          </w:p>
        </w:tc>
        <w:tc>
          <w:tcPr>
            <w:tcW w:w="990" w:type="dxa"/>
            <w:vAlign w:val="center"/>
          </w:tcPr>
          <w:p w14:paraId="483F7506">
            <w:pPr>
              <w:widowControl/>
              <w:textAlignment w:val="center"/>
              <w:rPr>
                <w:rFonts w:hint="default" w:ascii="Times New Roman" w:hAnsi="Times New Roman" w:eastAsia="宋体" w:cs="Times New Roman"/>
                <w:szCs w:val="21"/>
              </w:rPr>
            </w:pPr>
          </w:p>
        </w:tc>
        <w:tc>
          <w:tcPr>
            <w:tcW w:w="1530" w:type="dxa"/>
            <w:vAlign w:val="center"/>
          </w:tcPr>
          <w:p w14:paraId="75B3AFC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工程技术人</w:t>
            </w:r>
            <w:r>
              <w:rPr>
                <w:rFonts w:hint="default" w:ascii="Times New Roman" w:hAnsi="Times New Roman" w:eastAsia="宋体" w:cs="Times New Roman"/>
                <w:spacing w:val="-1"/>
                <w:szCs w:val="21"/>
              </w:rPr>
              <w:t>员</w:t>
            </w:r>
          </w:p>
        </w:tc>
        <w:tc>
          <w:tcPr>
            <w:tcW w:w="1063" w:type="dxa"/>
            <w:vAlign w:val="center"/>
          </w:tcPr>
          <w:p w14:paraId="343E36F6">
            <w:pPr>
              <w:widowControl/>
              <w:jc w:val="center"/>
              <w:textAlignment w:val="center"/>
              <w:rPr>
                <w:rFonts w:hint="default" w:ascii="Times New Roman" w:hAnsi="Times New Roman" w:eastAsia="宋体" w:cs="Times New Roman"/>
                <w:szCs w:val="21"/>
              </w:rPr>
            </w:pPr>
          </w:p>
        </w:tc>
        <w:tc>
          <w:tcPr>
            <w:tcW w:w="1097" w:type="dxa"/>
            <w:vAlign w:val="center"/>
          </w:tcPr>
          <w:p w14:paraId="3BA4D60E">
            <w:pPr>
              <w:widowControl/>
              <w:textAlignment w:val="center"/>
              <w:rPr>
                <w:rFonts w:hint="default" w:ascii="Times New Roman" w:hAnsi="Times New Roman" w:eastAsia="宋体" w:cs="Times New Roman"/>
                <w:szCs w:val="21"/>
              </w:rPr>
            </w:pPr>
            <w:r>
              <w:rPr>
                <w:rFonts w:hint="default" w:ascii="Times New Roman" w:hAnsi="Times New Roman" w:eastAsia="宋体" w:cs="Times New Roman"/>
                <w:spacing w:val="-3"/>
                <w:szCs w:val="21"/>
              </w:rPr>
              <w:t>生</w:t>
            </w:r>
            <w:r>
              <w:rPr>
                <w:rFonts w:hint="default" w:ascii="Times New Roman" w:hAnsi="Times New Roman" w:eastAsia="宋体" w:cs="Times New Roman"/>
                <w:spacing w:val="-2"/>
                <w:szCs w:val="21"/>
              </w:rPr>
              <w:t>产、销售人员</w:t>
            </w:r>
          </w:p>
        </w:tc>
        <w:tc>
          <w:tcPr>
            <w:tcW w:w="2820" w:type="dxa"/>
            <w:gridSpan w:val="2"/>
            <w:vAlign w:val="center"/>
          </w:tcPr>
          <w:p w14:paraId="2A1A8ED0">
            <w:pPr>
              <w:widowControl/>
              <w:jc w:val="center"/>
              <w:textAlignment w:val="center"/>
              <w:rPr>
                <w:rFonts w:hint="default" w:ascii="Times New Roman" w:hAnsi="Times New Roman" w:eastAsia="宋体" w:cs="Times New Roman"/>
                <w:szCs w:val="21"/>
              </w:rPr>
            </w:pPr>
          </w:p>
        </w:tc>
      </w:tr>
      <w:tr w14:paraId="64A4B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63B489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企业优势、关键产品特点</w:t>
            </w:r>
          </w:p>
        </w:tc>
        <w:tc>
          <w:tcPr>
            <w:tcW w:w="7500" w:type="dxa"/>
            <w:gridSpan w:val="6"/>
            <w:vAlign w:val="center"/>
          </w:tcPr>
          <w:p w14:paraId="3995175F">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2E598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709F7E8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lang w:bidi="ar"/>
              </w:rPr>
              <w:t>企业行业水平及行业口碑</w:t>
            </w:r>
          </w:p>
        </w:tc>
        <w:tc>
          <w:tcPr>
            <w:tcW w:w="7500" w:type="dxa"/>
            <w:gridSpan w:val="6"/>
            <w:vAlign w:val="center"/>
          </w:tcPr>
          <w:p w14:paraId="07375B7D">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73C59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26637DC8">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10"/>
                <w:szCs w:val="21"/>
              </w:rPr>
              <w:t>公</w:t>
            </w:r>
            <w:r>
              <w:rPr>
                <w:rFonts w:hint="default" w:ascii="Times New Roman" w:hAnsi="Times New Roman" w:eastAsia="宋体" w:cs="Times New Roman"/>
                <w:spacing w:val="-7"/>
                <w:szCs w:val="21"/>
              </w:rPr>
              <w:t>司</w:t>
            </w:r>
            <w:r>
              <w:rPr>
                <w:rFonts w:hint="default" w:ascii="Times New Roman" w:hAnsi="Times New Roman" w:eastAsia="宋体" w:cs="Times New Roman"/>
                <w:spacing w:val="-5"/>
                <w:szCs w:val="21"/>
              </w:rPr>
              <w:t>现有主要研发、</w:t>
            </w:r>
            <w:r>
              <w:rPr>
                <w:rFonts w:hint="default" w:ascii="Times New Roman" w:hAnsi="Times New Roman" w:eastAsia="宋体" w:cs="Times New Roman"/>
                <w:szCs w:val="21"/>
              </w:rPr>
              <w:t xml:space="preserve"> </w:t>
            </w:r>
            <w:r>
              <w:rPr>
                <w:rFonts w:hint="default" w:ascii="Times New Roman" w:hAnsi="Times New Roman" w:eastAsia="宋体" w:cs="Times New Roman"/>
                <w:spacing w:val="-4"/>
                <w:szCs w:val="21"/>
              </w:rPr>
              <w:t>实</w:t>
            </w:r>
            <w:r>
              <w:rPr>
                <w:rFonts w:hint="default" w:ascii="Times New Roman" w:hAnsi="Times New Roman" w:eastAsia="宋体" w:cs="Times New Roman"/>
                <w:spacing w:val="-2"/>
                <w:szCs w:val="21"/>
              </w:rPr>
              <w:t>验、生产设备</w:t>
            </w:r>
          </w:p>
        </w:tc>
        <w:tc>
          <w:tcPr>
            <w:tcW w:w="7500" w:type="dxa"/>
            <w:gridSpan w:val="6"/>
            <w:vAlign w:val="center"/>
          </w:tcPr>
          <w:p w14:paraId="6711A712">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531EE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2A7EDB5E">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近三或五年企业类似业绩及履约情况</w:t>
            </w:r>
          </w:p>
        </w:tc>
        <w:tc>
          <w:tcPr>
            <w:tcW w:w="7500" w:type="dxa"/>
            <w:gridSpan w:val="6"/>
            <w:vAlign w:val="center"/>
          </w:tcPr>
          <w:p w14:paraId="56FAE5EC">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7BB5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0D5EB08">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售后服务及质量</w:t>
            </w:r>
          </w:p>
        </w:tc>
        <w:tc>
          <w:tcPr>
            <w:tcW w:w="7500" w:type="dxa"/>
            <w:gridSpan w:val="6"/>
            <w:vAlign w:val="center"/>
          </w:tcPr>
          <w:p w14:paraId="37000EEE">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3E934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0A4197E">
            <w:pPr>
              <w:widowControl/>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pacing w:val="-4"/>
                <w:szCs w:val="21"/>
              </w:rPr>
              <w:t>对本项目在设计、制造、进度、财务等方面采取的组织措施和相</w:t>
            </w:r>
            <w:r>
              <w:rPr>
                <w:rFonts w:hint="default" w:ascii="Times New Roman" w:hAnsi="Times New Roman" w:eastAsia="宋体" w:cs="Times New Roman"/>
                <w:spacing w:val="-2"/>
                <w:szCs w:val="21"/>
              </w:rPr>
              <w:t>关</w:t>
            </w:r>
            <w:r>
              <w:rPr>
                <w:rFonts w:hint="default" w:ascii="Times New Roman" w:hAnsi="Times New Roman" w:eastAsia="宋体" w:cs="Times New Roman"/>
                <w:spacing w:val="-3"/>
                <w:szCs w:val="21"/>
              </w:rPr>
              <w:t>人</w:t>
            </w:r>
            <w:r>
              <w:rPr>
                <w:rFonts w:hint="default" w:ascii="Times New Roman" w:hAnsi="Times New Roman" w:eastAsia="宋体" w:cs="Times New Roman"/>
                <w:spacing w:val="-2"/>
                <w:szCs w:val="21"/>
              </w:rPr>
              <w:t>员简介</w:t>
            </w:r>
          </w:p>
        </w:tc>
        <w:tc>
          <w:tcPr>
            <w:tcW w:w="7500" w:type="dxa"/>
            <w:gridSpan w:val="6"/>
            <w:vAlign w:val="center"/>
          </w:tcPr>
          <w:p w14:paraId="59D528C3">
            <w:pPr>
              <w:widowControl/>
              <w:jc w:val="left"/>
              <w:rPr>
                <w:rFonts w:hint="default" w:ascii="Times New Roman" w:hAnsi="Times New Roman" w:eastAsia="宋体" w:cs="Times New Roman"/>
                <w:kern w:val="0"/>
                <w:szCs w:val="21"/>
                <w:lang w:bidi="ar"/>
              </w:rPr>
            </w:pPr>
          </w:p>
        </w:tc>
      </w:tr>
    </w:tbl>
    <w:p w14:paraId="51578F67">
      <w:pPr>
        <w:pStyle w:val="24"/>
        <w:rPr>
          <w:rFonts w:hint="default" w:ascii="Times New Roman" w:hAnsi="Times New Roman" w:eastAsia="宋体" w:cs="Times New Roman"/>
          <w:b/>
          <w:bCs/>
          <w:color w:val="000000"/>
          <w:sz w:val="24"/>
          <w:szCs w:val="24"/>
        </w:rPr>
      </w:pPr>
    </w:p>
    <w:p w14:paraId="3D222394">
      <w:pPr>
        <w:pStyle w:val="24"/>
        <w:rPr>
          <w:rFonts w:hint="default" w:ascii="Times New Roman" w:hAnsi="Times New Roman" w:eastAsia="宋体" w:cs="Times New Roman"/>
          <w:b/>
          <w:bCs/>
          <w:color w:val="000000"/>
          <w:sz w:val="24"/>
          <w:szCs w:val="24"/>
        </w:rPr>
      </w:pPr>
    </w:p>
    <w:p w14:paraId="5C7F80F9">
      <w:pPr>
        <w:pStyle w:val="24"/>
        <w:rPr>
          <w:rFonts w:hint="default" w:ascii="Times New Roman" w:hAnsi="Times New Roman" w:eastAsia="宋体" w:cs="Times New Roman"/>
          <w:b/>
          <w:bCs/>
          <w:color w:val="000000"/>
          <w:sz w:val="24"/>
          <w:szCs w:val="24"/>
        </w:rPr>
      </w:pPr>
    </w:p>
    <w:p w14:paraId="28213CF3">
      <w:pPr>
        <w:pStyle w:val="24"/>
        <w:rPr>
          <w:rFonts w:hint="default" w:ascii="Times New Roman" w:hAnsi="Times New Roman" w:eastAsia="宋体" w:cs="Times New Roman"/>
          <w:b/>
          <w:bCs/>
          <w:color w:val="000000"/>
          <w:sz w:val="24"/>
          <w:szCs w:val="24"/>
        </w:rPr>
      </w:pPr>
    </w:p>
    <w:p w14:paraId="036DD63A">
      <w:pPr>
        <w:pStyle w:val="24"/>
        <w:rPr>
          <w:rFonts w:hint="default" w:ascii="Times New Roman" w:hAnsi="Times New Roman" w:eastAsia="宋体" w:cs="Times New Roman"/>
          <w:b/>
          <w:bCs/>
          <w:color w:val="000000"/>
          <w:sz w:val="24"/>
          <w:szCs w:val="24"/>
        </w:rPr>
      </w:pPr>
    </w:p>
    <w:p w14:paraId="19985344">
      <w:pPr>
        <w:pStyle w:val="24"/>
        <w:rPr>
          <w:rFonts w:hint="default" w:ascii="Times New Roman" w:hAnsi="Times New Roman" w:eastAsia="宋体" w:cs="Times New Roman"/>
          <w:b/>
          <w:bCs/>
          <w:color w:val="000000"/>
          <w:sz w:val="24"/>
          <w:szCs w:val="24"/>
        </w:rPr>
      </w:pPr>
    </w:p>
    <w:p w14:paraId="33080A87">
      <w:pPr>
        <w:pStyle w:val="24"/>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b/>
          <w:bCs/>
          <w:spacing w:val="-7"/>
          <w:sz w:val="24"/>
          <w:szCs w:val="24"/>
        </w:rPr>
        <w:t xml:space="preserve"> 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2 </w:t>
      </w:r>
      <w:r>
        <w:rPr>
          <w:rFonts w:hint="default" w:ascii="Times New Roman" w:hAnsi="Times New Roman" w:eastAsia="宋体" w:cs="Times New Roman"/>
          <w:b/>
          <w:bCs/>
          <w:color w:val="000000"/>
          <w:sz w:val="24"/>
          <w:szCs w:val="24"/>
        </w:rPr>
        <w:t>资产情况汇总表</w:t>
      </w:r>
    </w:p>
    <w:tbl>
      <w:tblPr>
        <w:tblStyle w:val="4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459D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3BF45AB9">
            <w:pPr>
              <w:spacing w:line="440" w:lineRule="exact"/>
              <w:jc w:val="center"/>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公司资产情况汇总表</w:t>
            </w:r>
          </w:p>
        </w:tc>
      </w:tr>
      <w:tr w14:paraId="08BA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8E636E1">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注册资金（万元）</w:t>
            </w:r>
          </w:p>
        </w:tc>
        <w:tc>
          <w:tcPr>
            <w:tcW w:w="6767" w:type="dxa"/>
            <w:gridSpan w:val="3"/>
          </w:tcPr>
          <w:p w14:paraId="1B008D9B">
            <w:pPr>
              <w:spacing w:line="440" w:lineRule="exact"/>
              <w:jc w:val="center"/>
              <w:rPr>
                <w:rFonts w:hint="default" w:ascii="Times New Roman" w:hAnsi="Times New Roman" w:cs="Times New Roman"/>
                <w:color w:val="000000"/>
                <w:sz w:val="24"/>
                <w:szCs w:val="24"/>
              </w:rPr>
            </w:pPr>
          </w:p>
        </w:tc>
      </w:tr>
      <w:tr w14:paraId="2890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90F9E4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实收资金（万元）</w:t>
            </w:r>
          </w:p>
        </w:tc>
        <w:tc>
          <w:tcPr>
            <w:tcW w:w="6767" w:type="dxa"/>
            <w:gridSpan w:val="3"/>
          </w:tcPr>
          <w:p w14:paraId="0E74CB23">
            <w:pPr>
              <w:spacing w:line="440" w:lineRule="exact"/>
              <w:jc w:val="center"/>
              <w:rPr>
                <w:rFonts w:hint="default" w:ascii="Times New Roman" w:hAnsi="Times New Roman" w:cs="Times New Roman"/>
                <w:color w:val="000000"/>
                <w:sz w:val="24"/>
                <w:szCs w:val="24"/>
              </w:rPr>
            </w:pPr>
          </w:p>
        </w:tc>
      </w:tr>
      <w:tr w14:paraId="0583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EADDA6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年度资产情况</w:t>
            </w:r>
          </w:p>
        </w:tc>
        <w:tc>
          <w:tcPr>
            <w:tcW w:w="2406" w:type="dxa"/>
            <w:vAlign w:val="center"/>
          </w:tcPr>
          <w:p w14:paraId="7120A45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年</w:t>
            </w:r>
          </w:p>
        </w:tc>
        <w:tc>
          <w:tcPr>
            <w:tcW w:w="2291" w:type="dxa"/>
            <w:vAlign w:val="center"/>
          </w:tcPr>
          <w:p w14:paraId="1141BBB5">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p>
        </w:tc>
        <w:tc>
          <w:tcPr>
            <w:tcW w:w="2070" w:type="dxa"/>
            <w:vAlign w:val="center"/>
          </w:tcPr>
          <w:p w14:paraId="266E8D21">
            <w:pPr>
              <w:spacing w:line="440" w:lineRule="exact"/>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年</w:t>
            </w:r>
          </w:p>
        </w:tc>
      </w:tr>
      <w:tr w14:paraId="6622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0286F2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流动资产（万元）</w:t>
            </w:r>
          </w:p>
        </w:tc>
        <w:tc>
          <w:tcPr>
            <w:tcW w:w="2406" w:type="dxa"/>
          </w:tcPr>
          <w:p w14:paraId="6325E314">
            <w:pPr>
              <w:spacing w:line="440" w:lineRule="exact"/>
              <w:jc w:val="center"/>
              <w:rPr>
                <w:rFonts w:hint="default" w:ascii="Times New Roman" w:hAnsi="Times New Roman" w:cs="Times New Roman"/>
                <w:color w:val="000000"/>
                <w:sz w:val="24"/>
                <w:szCs w:val="24"/>
              </w:rPr>
            </w:pPr>
          </w:p>
        </w:tc>
        <w:tc>
          <w:tcPr>
            <w:tcW w:w="2291" w:type="dxa"/>
          </w:tcPr>
          <w:p w14:paraId="298FB42E">
            <w:pPr>
              <w:spacing w:line="440" w:lineRule="exact"/>
              <w:jc w:val="center"/>
              <w:rPr>
                <w:rFonts w:hint="default" w:ascii="Times New Roman" w:hAnsi="Times New Roman" w:cs="Times New Roman"/>
                <w:color w:val="000000"/>
                <w:sz w:val="24"/>
                <w:szCs w:val="24"/>
              </w:rPr>
            </w:pPr>
          </w:p>
        </w:tc>
        <w:tc>
          <w:tcPr>
            <w:tcW w:w="2070" w:type="dxa"/>
          </w:tcPr>
          <w:p w14:paraId="50DA44AC">
            <w:pPr>
              <w:spacing w:line="440" w:lineRule="exact"/>
              <w:jc w:val="center"/>
              <w:rPr>
                <w:rFonts w:hint="default" w:ascii="Times New Roman" w:hAnsi="Times New Roman" w:cs="Times New Roman"/>
                <w:color w:val="000000"/>
                <w:sz w:val="24"/>
                <w:szCs w:val="24"/>
              </w:rPr>
            </w:pPr>
          </w:p>
        </w:tc>
      </w:tr>
      <w:tr w14:paraId="69AE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6B41A92">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非流动资产（万元）</w:t>
            </w:r>
          </w:p>
        </w:tc>
        <w:tc>
          <w:tcPr>
            <w:tcW w:w="2406" w:type="dxa"/>
          </w:tcPr>
          <w:p w14:paraId="2559481C">
            <w:pPr>
              <w:spacing w:line="440" w:lineRule="exact"/>
              <w:jc w:val="center"/>
              <w:rPr>
                <w:rFonts w:hint="default" w:ascii="Times New Roman" w:hAnsi="Times New Roman" w:cs="Times New Roman"/>
                <w:color w:val="000000"/>
                <w:sz w:val="24"/>
                <w:szCs w:val="24"/>
              </w:rPr>
            </w:pPr>
          </w:p>
        </w:tc>
        <w:tc>
          <w:tcPr>
            <w:tcW w:w="2291" w:type="dxa"/>
          </w:tcPr>
          <w:p w14:paraId="62AE1CDC">
            <w:pPr>
              <w:spacing w:line="440" w:lineRule="exact"/>
              <w:jc w:val="center"/>
              <w:rPr>
                <w:rFonts w:hint="default" w:ascii="Times New Roman" w:hAnsi="Times New Roman" w:cs="Times New Roman"/>
                <w:color w:val="000000"/>
                <w:sz w:val="24"/>
                <w:szCs w:val="24"/>
              </w:rPr>
            </w:pPr>
          </w:p>
        </w:tc>
        <w:tc>
          <w:tcPr>
            <w:tcW w:w="2070" w:type="dxa"/>
          </w:tcPr>
          <w:p w14:paraId="2927E466">
            <w:pPr>
              <w:spacing w:line="440" w:lineRule="exact"/>
              <w:jc w:val="center"/>
              <w:rPr>
                <w:rFonts w:hint="default" w:ascii="Times New Roman" w:hAnsi="Times New Roman" w:cs="Times New Roman"/>
                <w:color w:val="000000"/>
                <w:sz w:val="24"/>
                <w:szCs w:val="24"/>
              </w:rPr>
            </w:pPr>
          </w:p>
        </w:tc>
      </w:tr>
      <w:tr w14:paraId="5959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186C347">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营业收入（万元）</w:t>
            </w:r>
          </w:p>
        </w:tc>
        <w:tc>
          <w:tcPr>
            <w:tcW w:w="2406" w:type="dxa"/>
          </w:tcPr>
          <w:p w14:paraId="287E18EA">
            <w:pPr>
              <w:spacing w:line="440" w:lineRule="exact"/>
              <w:jc w:val="center"/>
              <w:rPr>
                <w:rFonts w:hint="default" w:ascii="Times New Roman" w:hAnsi="Times New Roman" w:cs="Times New Roman"/>
                <w:color w:val="000000"/>
                <w:sz w:val="24"/>
                <w:szCs w:val="24"/>
                <w:highlight w:val="yellow"/>
              </w:rPr>
            </w:pPr>
          </w:p>
        </w:tc>
        <w:tc>
          <w:tcPr>
            <w:tcW w:w="2291" w:type="dxa"/>
          </w:tcPr>
          <w:p w14:paraId="697617A2">
            <w:pPr>
              <w:spacing w:line="440" w:lineRule="exact"/>
              <w:jc w:val="center"/>
              <w:rPr>
                <w:rFonts w:hint="default" w:ascii="Times New Roman" w:hAnsi="Times New Roman" w:cs="Times New Roman"/>
                <w:color w:val="000000"/>
                <w:sz w:val="24"/>
                <w:szCs w:val="24"/>
                <w:highlight w:val="yellow"/>
              </w:rPr>
            </w:pPr>
          </w:p>
        </w:tc>
        <w:tc>
          <w:tcPr>
            <w:tcW w:w="2070" w:type="dxa"/>
          </w:tcPr>
          <w:p w14:paraId="6C688314">
            <w:pPr>
              <w:spacing w:line="440" w:lineRule="exact"/>
              <w:jc w:val="center"/>
              <w:rPr>
                <w:rFonts w:hint="default" w:ascii="Times New Roman" w:hAnsi="Times New Roman" w:cs="Times New Roman"/>
                <w:color w:val="000000"/>
                <w:sz w:val="24"/>
                <w:szCs w:val="24"/>
                <w:highlight w:val="yellow"/>
              </w:rPr>
            </w:pPr>
          </w:p>
        </w:tc>
      </w:tr>
      <w:tr w14:paraId="18D6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763E99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年底资产总值（万元）</w:t>
            </w:r>
          </w:p>
        </w:tc>
        <w:tc>
          <w:tcPr>
            <w:tcW w:w="2406" w:type="dxa"/>
          </w:tcPr>
          <w:p w14:paraId="7DD31642">
            <w:pPr>
              <w:spacing w:line="440" w:lineRule="exact"/>
              <w:jc w:val="center"/>
              <w:rPr>
                <w:rFonts w:hint="default" w:ascii="Times New Roman" w:hAnsi="Times New Roman" w:cs="Times New Roman"/>
                <w:color w:val="000000"/>
                <w:sz w:val="24"/>
                <w:szCs w:val="24"/>
              </w:rPr>
            </w:pPr>
          </w:p>
        </w:tc>
        <w:tc>
          <w:tcPr>
            <w:tcW w:w="2291" w:type="dxa"/>
          </w:tcPr>
          <w:p w14:paraId="28209012">
            <w:pPr>
              <w:spacing w:line="440" w:lineRule="exact"/>
              <w:jc w:val="center"/>
              <w:rPr>
                <w:rFonts w:hint="default" w:ascii="Times New Roman" w:hAnsi="Times New Roman" w:cs="Times New Roman"/>
                <w:color w:val="000000"/>
                <w:sz w:val="24"/>
                <w:szCs w:val="24"/>
              </w:rPr>
            </w:pPr>
          </w:p>
        </w:tc>
        <w:tc>
          <w:tcPr>
            <w:tcW w:w="2070" w:type="dxa"/>
          </w:tcPr>
          <w:p w14:paraId="2F4D8732">
            <w:pPr>
              <w:spacing w:line="440" w:lineRule="exact"/>
              <w:jc w:val="center"/>
              <w:rPr>
                <w:rFonts w:hint="default" w:ascii="Times New Roman" w:hAnsi="Times New Roman" w:cs="Times New Roman"/>
                <w:color w:val="000000"/>
                <w:sz w:val="24"/>
                <w:szCs w:val="24"/>
              </w:rPr>
            </w:pPr>
          </w:p>
        </w:tc>
      </w:tr>
      <w:tr w14:paraId="7B59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67C4A36">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年底负债总值（万元）</w:t>
            </w:r>
          </w:p>
        </w:tc>
        <w:tc>
          <w:tcPr>
            <w:tcW w:w="2406" w:type="dxa"/>
          </w:tcPr>
          <w:p w14:paraId="559F89A7">
            <w:pPr>
              <w:spacing w:line="440" w:lineRule="exact"/>
              <w:jc w:val="center"/>
              <w:rPr>
                <w:rFonts w:hint="default" w:ascii="Times New Roman" w:hAnsi="Times New Roman" w:cs="Times New Roman"/>
                <w:color w:val="000000"/>
                <w:sz w:val="24"/>
                <w:szCs w:val="24"/>
              </w:rPr>
            </w:pPr>
          </w:p>
        </w:tc>
        <w:tc>
          <w:tcPr>
            <w:tcW w:w="2291" w:type="dxa"/>
          </w:tcPr>
          <w:p w14:paraId="7A979D27">
            <w:pPr>
              <w:spacing w:line="440" w:lineRule="exact"/>
              <w:jc w:val="center"/>
              <w:rPr>
                <w:rFonts w:hint="default" w:ascii="Times New Roman" w:hAnsi="Times New Roman" w:cs="Times New Roman"/>
                <w:color w:val="000000"/>
                <w:sz w:val="24"/>
                <w:szCs w:val="24"/>
              </w:rPr>
            </w:pPr>
          </w:p>
        </w:tc>
        <w:tc>
          <w:tcPr>
            <w:tcW w:w="2070" w:type="dxa"/>
          </w:tcPr>
          <w:p w14:paraId="5923294E">
            <w:pPr>
              <w:spacing w:line="440" w:lineRule="exact"/>
              <w:jc w:val="center"/>
              <w:rPr>
                <w:rFonts w:hint="default" w:ascii="Times New Roman" w:hAnsi="Times New Roman" w:cs="Times New Roman"/>
                <w:color w:val="000000"/>
                <w:sz w:val="24"/>
                <w:szCs w:val="24"/>
              </w:rPr>
            </w:pPr>
          </w:p>
        </w:tc>
      </w:tr>
      <w:tr w14:paraId="3F7F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4ACABA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资产负债率（  %）</w:t>
            </w:r>
          </w:p>
        </w:tc>
        <w:tc>
          <w:tcPr>
            <w:tcW w:w="2406" w:type="dxa"/>
          </w:tcPr>
          <w:p w14:paraId="3B0DAABA">
            <w:pPr>
              <w:spacing w:line="440" w:lineRule="exact"/>
              <w:jc w:val="center"/>
              <w:rPr>
                <w:rFonts w:hint="default" w:ascii="Times New Roman" w:hAnsi="Times New Roman" w:cs="Times New Roman"/>
                <w:color w:val="000000"/>
                <w:sz w:val="24"/>
                <w:szCs w:val="24"/>
                <w:highlight w:val="yellow"/>
              </w:rPr>
            </w:pPr>
          </w:p>
        </w:tc>
        <w:tc>
          <w:tcPr>
            <w:tcW w:w="2291" w:type="dxa"/>
          </w:tcPr>
          <w:p w14:paraId="24CD2477">
            <w:pPr>
              <w:spacing w:line="440" w:lineRule="exact"/>
              <w:jc w:val="center"/>
              <w:rPr>
                <w:rFonts w:hint="default" w:ascii="Times New Roman" w:hAnsi="Times New Roman" w:cs="Times New Roman"/>
                <w:color w:val="000000"/>
                <w:sz w:val="24"/>
                <w:szCs w:val="24"/>
                <w:highlight w:val="yellow"/>
              </w:rPr>
            </w:pPr>
          </w:p>
        </w:tc>
        <w:tc>
          <w:tcPr>
            <w:tcW w:w="2070" w:type="dxa"/>
          </w:tcPr>
          <w:p w14:paraId="4E35EE72">
            <w:pPr>
              <w:spacing w:line="440" w:lineRule="exact"/>
              <w:jc w:val="center"/>
              <w:rPr>
                <w:rFonts w:hint="default" w:ascii="Times New Roman" w:hAnsi="Times New Roman" w:cs="Times New Roman"/>
                <w:color w:val="000000"/>
                <w:sz w:val="24"/>
                <w:szCs w:val="24"/>
                <w:highlight w:val="yellow"/>
              </w:rPr>
            </w:pPr>
          </w:p>
        </w:tc>
      </w:tr>
      <w:tr w14:paraId="31D5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F1A102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净利润（万元）</w:t>
            </w:r>
          </w:p>
        </w:tc>
        <w:tc>
          <w:tcPr>
            <w:tcW w:w="2406" w:type="dxa"/>
          </w:tcPr>
          <w:p w14:paraId="618DF807">
            <w:pPr>
              <w:spacing w:line="440" w:lineRule="exact"/>
              <w:jc w:val="center"/>
              <w:rPr>
                <w:rFonts w:hint="default" w:ascii="Times New Roman" w:hAnsi="Times New Roman" w:cs="Times New Roman"/>
                <w:color w:val="000000"/>
                <w:sz w:val="24"/>
                <w:szCs w:val="24"/>
                <w:highlight w:val="yellow"/>
              </w:rPr>
            </w:pPr>
          </w:p>
        </w:tc>
        <w:tc>
          <w:tcPr>
            <w:tcW w:w="2291" w:type="dxa"/>
          </w:tcPr>
          <w:p w14:paraId="50E3763A">
            <w:pPr>
              <w:spacing w:line="440" w:lineRule="exact"/>
              <w:jc w:val="center"/>
              <w:rPr>
                <w:rFonts w:hint="default" w:ascii="Times New Roman" w:hAnsi="Times New Roman" w:cs="Times New Roman"/>
                <w:color w:val="000000"/>
                <w:sz w:val="24"/>
                <w:szCs w:val="24"/>
                <w:highlight w:val="yellow"/>
              </w:rPr>
            </w:pPr>
          </w:p>
        </w:tc>
        <w:tc>
          <w:tcPr>
            <w:tcW w:w="2070" w:type="dxa"/>
          </w:tcPr>
          <w:p w14:paraId="333E3831">
            <w:pPr>
              <w:spacing w:line="440" w:lineRule="exact"/>
              <w:jc w:val="center"/>
              <w:rPr>
                <w:rFonts w:hint="default" w:ascii="Times New Roman" w:hAnsi="Times New Roman" w:cs="Times New Roman"/>
                <w:color w:val="000000"/>
                <w:sz w:val="24"/>
                <w:szCs w:val="24"/>
                <w:highlight w:val="yellow"/>
              </w:rPr>
            </w:pPr>
          </w:p>
        </w:tc>
      </w:tr>
      <w:tr w14:paraId="1A33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A09768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未分配利润（万元）</w:t>
            </w:r>
          </w:p>
        </w:tc>
        <w:tc>
          <w:tcPr>
            <w:tcW w:w="2406" w:type="dxa"/>
          </w:tcPr>
          <w:p w14:paraId="28FC915C">
            <w:pPr>
              <w:spacing w:line="440" w:lineRule="exact"/>
              <w:jc w:val="center"/>
              <w:rPr>
                <w:rFonts w:hint="default" w:ascii="Times New Roman" w:hAnsi="Times New Roman" w:cs="Times New Roman"/>
                <w:color w:val="000000"/>
                <w:sz w:val="24"/>
                <w:szCs w:val="24"/>
              </w:rPr>
            </w:pPr>
          </w:p>
        </w:tc>
        <w:tc>
          <w:tcPr>
            <w:tcW w:w="2291" w:type="dxa"/>
          </w:tcPr>
          <w:p w14:paraId="16698F79">
            <w:pPr>
              <w:spacing w:line="440" w:lineRule="exact"/>
              <w:jc w:val="center"/>
              <w:rPr>
                <w:rFonts w:hint="default" w:ascii="Times New Roman" w:hAnsi="Times New Roman" w:cs="Times New Roman"/>
                <w:color w:val="000000"/>
                <w:sz w:val="24"/>
                <w:szCs w:val="24"/>
              </w:rPr>
            </w:pPr>
          </w:p>
        </w:tc>
        <w:tc>
          <w:tcPr>
            <w:tcW w:w="2070" w:type="dxa"/>
          </w:tcPr>
          <w:p w14:paraId="32C903BE">
            <w:pPr>
              <w:spacing w:line="440" w:lineRule="exact"/>
              <w:jc w:val="center"/>
              <w:rPr>
                <w:rFonts w:hint="default" w:ascii="Times New Roman" w:hAnsi="Times New Roman" w:cs="Times New Roman"/>
                <w:color w:val="000000"/>
                <w:sz w:val="24"/>
                <w:szCs w:val="24"/>
              </w:rPr>
            </w:pPr>
          </w:p>
        </w:tc>
      </w:tr>
      <w:tr w14:paraId="560F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BFA92E8">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营运资金</w:t>
            </w:r>
          </w:p>
        </w:tc>
        <w:tc>
          <w:tcPr>
            <w:tcW w:w="2406" w:type="dxa"/>
          </w:tcPr>
          <w:p w14:paraId="11D21A49">
            <w:pPr>
              <w:spacing w:line="440" w:lineRule="exact"/>
              <w:jc w:val="center"/>
              <w:rPr>
                <w:rFonts w:hint="default" w:ascii="Times New Roman" w:hAnsi="Times New Roman" w:cs="Times New Roman"/>
                <w:color w:val="000000"/>
                <w:sz w:val="24"/>
                <w:szCs w:val="24"/>
              </w:rPr>
            </w:pPr>
          </w:p>
        </w:tc>
        <w:tc>
          <w:tcPr>
            <w:tcW w:w="2291" w:type="dxa"/>
          </w:tcPr>
          <w:p w14:paraId="2190002A">
            <w:pPr>
              <w:spacing w:line="440" w:lineRule="exact"/>
              <w:jc w:val="center"/>
              <w:rPr>
                <w:rFonts w:hint="default" w:ascii="Times New Roman" w:hAnsi="Times New Roman" w:cs="Times New Roman"/>
                <w:color w:val="000000"/>
                <w:sz w:val="24"/>
                <w:szCs w:val="24"/>
              </w:rPr>
            </w:pPr>
          </w:p>
        </w:tc>
        <w:tc>
          <w:tcPr>
            <w:tcW w:w="2070" w:type="dxa"/>
          </w:tcPr>
          <w:p w14:paraId="1D5850C3">
            <w:pPr>
              <w:spacing w:line="440" w:lineRule="exact"/>
              <w:jc w:val="center"/>
              <w:rPr>
                <w:rFonts w:hint="default" w:ascii="Times New Roman" w:hAnsi="Times New Roman" w:cs="Times New Roman"/>
                <w:color w:val="000000"/>
                <w:sz w:val="24"/>
                <w:szCs w:val="24"/>
              </w:rPr>
            </w:pPr>
          </w:p>
        </w:tc>
      </w:tr>
      <w:tr w14:paraId="4E7E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0910FFA">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（本年营业收入-上年营业收入）÷上年营业收入</w:t>
            </w:r>
          </w:p>
        </w:tc>
        <w:tc>
          <w:tcPr>
            <w:tcW w:w="2406" w:type="dxa"/>
          </w:tcPr>
          <w:p w14:paraId="0FFCAA59">
            <w:pPr>
              <w:spacing w:line="440" w:lineRule="exact"/>
              <w:jc w:val="center"/>
              <w:rPr>
                <w:rFonts w:hint="default" w:ascii="Times New Roman" w:hAnsi="Times New Roman" w:cs="Times New Roman"/>
                <w:color w:val="000000"/>
                <w:sz w:val="24"/>
                <w:szCs w:val="24"/>
              </w:rPr>
            </w:pPr>
          </w:p>
        </w:tc>
        <w:tc>
          <w:tcPr>
            <w:tcW w:w="2291" w:type="dxa"/>
          </w:tcPr>
          <w:p w14:paraId="01BEA2E0">
            <w:pPr>
              <w:spacing w:line="440" w:lineRule="exact"/>
              <w:jc w:val="center"/>
              <w:rPr>
                <w:rFonts w:hint="default" w:ascii="Times New Roman" w:hAnsi="Times New Roman" w:cs="Times New Roman"/>
                <w:color w:val="000000"/>
                <w:sz w:val="24"/>
                <w:szCs w:val="24"/>
              </w:rPr>
            </w:pPr>
          </w:p>
        </w:tc>
        <w:tc>
          <w:tcPr>
            <w:tcW w:w="2070" w:type="dxa"/>
          </w:tcPr>
          <w:p w14:paraId="1D0AF543">
            <w:pPr>
              <w:spacing w:line="440" w:lineRule="exact"/>
              <w:jc w:val="center"/>
              <w:rPr>
                <w:rFonts w:hint="default" w:ascii="Times New Roman" w:hAnsi="Times New Roman" w:cs="Times New Roman"/>
                <w:color w:val="000000"/>
                <w:sz w:val="24"/>
                <w:szCs w:val="24"/>
              </w:rPr>
            </w:pPr>
          </w:p>
        </w:tc>
      </w:tr>
    </w:tbl>
    <w:p w14:paraId="7EFBC03E">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557E8933">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2368236B">
      <w:pPr>
        <w:spacing w:line="660" w:lineRule="exact"/>
        <w:ind w:firstLine="240" w:firstLineChars="100"/>
        <w:rPr>
          <w:rFonts w:hint="default" w:ascii="Times New Roman" w:hAnsi="Times New Roman" w:eastAsia="宋体" w:cs="Times New Roman"/>
          <w:b/>
          <w:bCs/>
          <w:color w:val="000000"/>
          <w:sz w:val="28"/>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3A80BFFD">
      <w:pPr>
        <w:rPr>
          <w:rFonts w:hint="default" w:ascii="Times New Roman" w:hAnsi="Times New Roman" w:cs="Times New Roman"/>
        </w:rPr>
        <w:sectPr>
          <w:footerReference r:id="rId7" w:type="first"/>
          <w:footerReference r:id="rId6"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1643DDDE">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附件4 保密承诺函</w:t>
      </w:r>
    </w:p>
    <w:p w14:paraId="110FCA63">
      <w:pPr>
        <w:spacing w:line="240" w:lineRule="exact"/>
        <w:jc w:val="center"/>
        <w:rPr>
          <w:rFonts w:hint="default" w:ascii="Times New Roman" w:hAnsi="Times New Roman" w:eastAsia="宋体" w:cs="Times New Roman"/>
          <w:b/>
          <w:bCs/>
          <w:sz w:val="36"/>
          <w:szCs w:val="20"/>
        </w:rPr>
      </w:pPr>
    </w:p>
    <w:p w14:paraId="495245CE">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cs="Times New Roman"/>
          <w:b w:val="0"/>
          <w:bCs w:val="0"/>
          <w:color w:val="000000"/>
          <w:sz w:val="24"/>
          <w:szCs w:val="24"/>
          <w:u w:val="single"/>
          <w:lang w:val="en-US" w:eastAsia="zh-CN"/>
        </w:rPr>
        <w:t>济南成型厂110kV变电站通讯系统更新改造技改项目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62BD35F2">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2D967BCA">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w:t>
      </w:r>
      <w:r>
        <w:rPr>
          <w:rFonts w:hint="default" w:ascii="Times New Roman" w:hAnsi="Times New Roman" w:eastAsia="宋体" w:cs="Times New Roman"/>
          <w:sz w:val="24"/>
          <w:szCs w:val="20"/>
          <w:highlight w:val="yellow"/>
          <w:u w:val="single"/>
        </w:rPr>
        <w:t>投标单位名称</w:t>
      </w:r>
      <w:r>
        <w:rPr>
          <w:rFonts w:hint="default" w:ascii="Times New Roman" w:hAnsi="Times New Roman" w:eastAsia="宋体" w:cs="Times New Roman"/>
          <w:sz w:val="24"/>
          <w:szCs w:val="20"/>
        </w:rPr>
        <w:t>）对招标人的商业秘密作如下承诺：</w:t>
      </w:r>
    </w:p>
    <w:p w14:paraId="08C138EC">
      <w:pPr>
        <w:spacing w:line="360" w:lineRule="auto"/>
        <w:ind w:left="479" w:leftChars="228"/>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6467EB06">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7375C44">
      <w:pPr>
        <w:spacing w:line="360" w:lineRule="auto"/>
        <w:ind w:firstLine="480" w:firstLineChars="200"/>
        <w:rPr>
          <w:rFonts w:hint="default" w:ascii="Times New Roman" w:hAnsi="Times New Roman" w:eastAsia="宋体" w:cs="Times New Roman"/>
          <w:sz w:val="24"/>
          <w:szCs w:val="20"/>
          <w:u w:val="single"/>
        </w:rPr>
      </w:pPr>
    </w:p>
    <w:p w14:paraId="6B9BDB8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3A15F82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2BFA126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624656DC">
      <w:pPr>
        <w:rPr>
          <w:rFonts w:hint="default" w:ascii="Times New Roman" w:hAnsi="Times New Roman" w:eastAsia="宋体" w:cs="Times New Roman"/>
          <w:b/>
          <w:bCs/>
          <w:color w:val="000000"/>
          <w:sz w:val="28"/>
          <w:szCs w:val="20"/>
        </w:rPr>
      </w:pPr>
    </w:p>
    <w:p w14:paraId="6FB52F12">
      <w:pPr>
        <w:rPr>
          <w:rFonts w:hint="default" w:ascii="Times New Roman" w:hAnsi="Times New Roman" w:cs="Times New Roman"/>
        </w:rPr>
        <w:sectPr>
          <w:footerReference r:id="rId9" w:type="first"/>
          <w:footerReference r:id="rId8"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17F8349">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附件5 技术规格偏离表</w:t>
      </w:r>
    </w:p>
    <w:p w14:paraId="693B140E">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cs="Times New Roman"/>
          <w:b w:val="0"/>
          <w:bCs w:val="0"/>
          <w:color w:val="000000"/>
          <w:sz w:val="24"/>
          <w:szCs w:val="24"/>
          <w:u w:val="single"/>
          <w:lang w:val="en-US" w:eastAsia="zh-CN"/>
        </w:rPr>
        <w:t>济南成型厂110kV变电站通讯系统更新改造技改项目</w:t>
      </w:r>
      <w:r>
        <w:rPr>
          <w:rFonts w:hint="default" w:ascii="Times New Roman" w:hAnsi="Times New Roman" w:eastAsia="宋体" w:cs="Times New Roman"/>
          <w:color w:val="000000"/>
          <w:sz w:val="24"/>
          <w:szCs w:val="24"/>
        </w:rPr>
        <w:t xml:space="preserve"> </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482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14E67CA9">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序号</w:t>
            </w:r>
          </w:p>
        </w:tc>
        <w:tc>
          <w:tcPr>
            <w:tcW w:w="3449" w:type="dxa"/>
            <w:vAlign w:val="center"/>
          </w:tcPr>
          <w:p w14:paraId="25B78EAF">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招标要求</w:t>
            </w:r>
          </w:p>
        </w:tc>
        <w:tc>
          <w:tcPr>
            <w:tcW w:w="2414" w:type="dxa"/>
            <w:vAlign w:val="center"/>
          </w:tcPr>
          <w:p w14:paraId="10DDDFF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08" w:type="dxa"/>
            <w:vAlign w:val="center"/>
          </w:tcPr>
          <w:p w14:paraId="5AFB3F39">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tc>
      </w:tr>
      <w:tr w14:paraId="7915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22BA7F9">
            <w:pPr>
              <w:jc w:val="center"/>
              <w:rPr>
                <w:rFonts w:hint="default" w:ascii="Times New Roman" w:hAnsi="Times New Roman" w:eastAsia="宋体" w:cs="Times New Roman"/>
                <w:b/>
                <w:sz w:val="24"/>
                <w:szCs w:val="20"/>
              </w:rPr>
            </w:pPr>
          </w:p>
        </w:tc>
        <w:tc>
          <w:tcPr>
            <w:tcW w:w="3449" w:type="dxa"/>
          </w:tcPr>
          <w:p w14:paraId="5A232A51">
            <w:pPr>
              <w:jc w:val="center"/>
              <w:rPr>
                <w:rFonts w:hint="default" w:ascii="Times New Roman" w:hAnsi="Times New Roman" w:eastAsia="宋体" w:cs="Times New Roman"/>
                <w:b/>
                <w:sz w:val="24"/>
                <w:szCs w:val="20"/>
              </w:rPr>
            </w:pPr>
          </w:p>
        </w:tc>
        <w:tc>
          <w:tcPr>
            <w:tcW w:w="2414" w:type="dxa"/>
          </w:tcPr>
          <w:p w14:paraId="0DE0E0FB">
            <w:pPr>
              <w:jc w:val="center"/>
              <w:rPr>
                <w:rFonts w:hint="default" w:ascii="Times New Roman" w:hAnsi="Times New Roman" w:eastAsia="宋体" w:cs="Times New Roman"/>
                <w:b/>
                <w:sz w:val="24"/>
                <w:szCs w:val="20"/>
              </w:rPr>
            </w:pPr>
          </w:p>
        </w:tc>
        <w:tc>
          <w:tcPr>
            <w:tcW w:w="1608" w:type="dxa"/>
          </w:tcPr>
          <w:p w14:paraId="475A6853">
            <w:pPr>
              <w:jc w:val="center"/>
              <w:rPr>
                <w:rFonts w:hint="default" w:ascii="Times New Roman" w:hAnsi="Times New Roman" w:eastAsia="宋体" w:cs="Times New Roman"/>
                <w:b/>
                <w:sz w:val="24"/>
                <w:szCs w:val="20"/>
              </w:rPr>
            </w:pPr>
          </w:p>
        </w:tc>
      </w:tr>
      <w:tr w14:paraId="1372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BF51A93">
            <w:pPr>
              <w:jc w:val="center"/>
              <w:rPr>
                <w:rFonts w:hint="default" w:ascii="Times New Roman" w:hAnsi="Times New Roman" w:eastAsia="宋体" w:cs="Times New Roman"/>
                <w:b/>
                <w:sz w:val="24"/>
                <w:szCs w:val="20"/>
              </w:rPr>
            </w:pPr>
          </w:p>
        </w:tc>
        <w:tc>
          <w:tcPr>
            <w:tcW w:w="3449" w:type="dxa"/>
          </w:tcPr>
          <w:p w14:paraId="09DDD5B9">
            <w:pPr>
              <w:jc w:val="center"/>
              <w:rPr>
                <w:rFonts w:hint="default" w:ascii="Times New Roman" w:hAnsi="Times New Roman" w:eastAsia="宋体" w:cs="Times New Roman"/>
                <w:b/>
                <w:sz w:val="24"/>
                <w:szCs w:val="20"/>
              </w:rPr>
            </w:pPr>
          </w:p>
        </w:tc>
        <w:tc>
          <w:tcPr>
            <w:tcW w:w="2414" w:type="dxa"/>
          </w:tcPr>
          <w:p w14:paraId="25A7C7F8">
            <w:pPr>
              <w:jc w:val="center"/>
              <w:rPr>
                <w:rFonts w:hint="default" w:ascii="Times New Roman" w:hAnsi="Times New Roman" w:eastAsia="宋体" w:cs="Times New Roman"/>
                <w:b/>
                <w:sz w:val="24"/>
                <w:szCs w:val="20"/>
              </w:rPr>
            </w:pPr>
          </w:p>
        </w:tc>
        <w:tc>
          <w:tcPr>
            <w:tcW w:w="1608" w:type="dxa"/>
          </w:tcPr>
          <w:p w14:paraId="6574B68E">
            <w:pPr>
              <w:jc w:val="center"/>
              <w:rPr>
                <w:rFonts w:hint="default" w:ascii="Times New Roman" w:hAnsi="Times New Roman" w:eastAsia="宋体" w:cs="Times New Roman"/>
                <w:b/>
                <w:sz w:val="24"/>
                <w:szCs w:val="20"/>
              </w:rPr>
            </w:pPr>
          </w:p>
        </w:tc>
      </w:tr>
      <w:tr w14:paraId="2EEF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5F9C3E4">
            <w:pPr>
              <w:jc w:val="center"/>
              <w:rPr>
                <w:rFonts w:hint="default" w:ascii="Times New Roman" w:hAnsi="Times New Roman" w:eastAsia="宋体" w:cs="Times New Roman"/>
                <w:b/>
                <w:sz w:val="24"/>
                <w:szCs w:val="20"/>
              </w:rPr>
            </w:pPr>
          </w:p>
        </w:tc>
        <w:tc>
          <w:tcPr>
            <w:tcW w:w="3449" w:type="dxa"/>
          </w:tcPr>
          <w:p w14:paraId="4639CE85">
            <w:pPr>
              <w:jc w:val="center"/>
              <w:rPr>
                <w:rFonts w:hint="default" w:ascii="Times New Roman" w:hAnsi="Times New Roman" w:eastAsia="宋体" w:cs="Times New Roman"/>
                <w:b/>
                <w:sz w:val="24"/>
                <w:szCs w:val="20"/>
              </w:rPr>
            </w:pPr>
          </w:p>
        </w:tc>
        <w:tc>
          <w:tcPr>
            <w:tcW w:w="2414" w:type="dxa"/>
          </w:tcPr>
          <w:p w14:paraId="6EAAD55E">
            <w:pPr>
              <w:jc w:val="center"/>
              <w:rPr>
                <w:rFonts w:hint="default" w:ascii="Times New Roman" w:hAnsi="Times New Roman" w:eastAsia="宋体" w:cs="Times New Roman"/>
                <w:b/>
                <w:sz w:val="24"/>
                <w:szCs w:val="20"/>
              </w:rPr>
            </w:pPr>
          </w:p>
        </w:tc>
        <w:tc>
          <w:tcPr>
            <w:tcW w:w="1608" w:type="dxa"/>
          </w:tcPr>
          <w:p w14:paraId="25E1F5FA">
            <w:pPr>
              <w:jc w:val="center"/>
              <w:rPr>
                <w:rFonts w:hint="default" w:ascii="Times New Roman" w:hAnsi="Times New Roman" w:eastAsia="宋体" w:cs="Times New Roman"/>
                <w:b/>
                <w:sz w:val="24"/>
                <w:szCs w:val="20"/>
              </w:rPr>
            </w:pPr>
          </w:p>
        </w:tc>
      </w:tr>
      <w:tr w14:paraId="6050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1178FA31">
            <w:pPr>
              <w:jc w:val="center"/>
              <w:rPr>
                <w:rFonts w:hint="default" w:ascii="Times New Roman" w:hAnsi="Times New Roman" w:eastAsia="宋体" w:cs="Times New Roman"/>
                <w:b/>
                <w:sz w:val="24"/>
                <w:szCs w:val="20"/>
              </w:rPr>
            </w:pPr>
          </w:p>
        </w:tc>
        <w:tc>
          <w:tcPr>
            <w:tcW w:w="3449" w:type="dxa"/>
          </w:tcPr>
          <w:p w14:paraId="57D83D27">
            <w:pPr>
              <w:jc w:val="center"/>
              <w:rPr>
                <w:rFonts w:hint="default" w:ascii="Times New Roman" w:hAnsi="Times New Roman" w:eastAsia="宋体" w:cs="Times New Roman"/>
                <w:b/>
                <w:sz w:val="24"/>
                <w:szCs w:val="20"/>
              </w:rPr>
            </w:pPr>
          </w:p>
        </w:tc>
        <w:tc>
          <w:tcPr>
            <w:tcW w:w="2414" w:type="dxa"/>
          </w:tcPr>
          <w:p w14:paraId="35F17D41">
            <w:pPr>
              <w:jc w:val="center"/>
              <w:rPr>
                <w:rFonts w:hint="default" w:ascii="Times New Roman" w:hAnsi="Times New Roman" w:eastAsia="宋体" w:cs="Times New Roman"/>
                <w:b/>
                <w:sz w:val="24"/>
                <w:szCs w:val="20"/>
              </w:rPr>
            </w:pPr>
          </w:p>
        </w:tc>
        <w:tc>
          <w:tcPr>
            <w:tcW w:w="1608" w:type="dxa"/>
          </w:tcPr>
          <w:p w14:paraId="209B692A">
            <w:pPr>
              <w:jc w:val="center"/>
              <w:rPr>
                <w:rFonts w:hint="default" w:ascii="Times New Roman" w:hAnsi="Times New Roman" w:eastAsia="宋体" w:cs="Times New Roman"/>
                <w:b/>
                <w:sz w:val="24"/>
                <w:szCs w:val="20"/>
              </w:rPr>
            </w:pPr>
          </w:p>
        </w:tc>
      </w:tr>
      <w:tr w14:paraId="3E24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7A854B4">
            <w:pPr>
              <w:jc w:val="center"/>
              <w:rPr>
                <w:rFonts w:hint="default" w:ascii="Times New Roman" w:hAnsi="Times New Roman" w:eastAsia="宋体" w:cs="Times New Roman"/>
                <w:b/>
                <w:sz w:val="24"/>
                <w:szCs w:val="20"/>
              </w:rPr>
            </w:pPr>
          </w:p>
        </w:tc>
        <w:tc>
          <w:tcPr>
            <w:tcW w:w="3449" w:type="dxa"/>
          </w:tcPr>
          <w:p w14:paraId="0BE3E0B4">
            <w:pPr>
              <w:jc w:val="center"/>
              <w:rPr>
                <w:rFonts w:hint="default" w:ascii="Times New Roman" w:hAnsi="Times New Roman" w:eastAsia="宋体" w:cs="Times New Roman"/>
                <w:b/>
                <w:sz w:val="24"/>
                <w:szCs w:val="20"/>
              </w:rPr>
            </w:pPr>
          </w:p>
        </w:tc>
        <w:tc>
          <w:tcPr>
            <w:tcW w:w="2414" w:type="dxa"/>
          </w:tcPr>
          <w:p w14:paraId="0E5062A3">
            <w:pPr>
              <w:jc w:val="center"/>
              <w:rPr>
                <w:rFonts w:hint="default" w:ascii="Times New Roman" w:hAnsi="Times New Roman" w:eastAsia="宋体" w:cs="Times New Roman"/>
                <w:b/>
                <w:sz w:val="24"/>
                <w:szCs w:val="20"/>
              </w:rPr>
            </w:pPr>
          </w:p>
        </w:tc>
        <w:tc>
          <w:tcPr>
            <w:tcW w:w="1608" w:type="dxa"/>
          </w:tcPr>
          <w:p w14:paraId="5B6D551C">
            <w:pPr>
              <w:jc w:val="center"/>
              <w:rPr>
                <w:rFonts w:hint="default" w:ascii="Times New Roman" w:hAnsi="Times New Roman" w:eastAsia="宋体" w:cs="Times New Roman"/>
                <w:b/>
                <w:sz w:val="24"/>
                <w:szCs w:val="20"/>
              </w:rPr>
            </w:pPr>
          </w:p>
        </w:tc>
      </w:tr>
      <w:tr w14:paraId="678C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3876ABA">
            <w:pPr>
              <w:jc w:val="center"/>
              <w:rPr>
                <w:rFonts w:hint="default" w:ascii="Times New Roman" w:hAnsi="Times New Roman" w:eastAsia="宋体" w:cs="Times New Roman"/>
                <w:b/>
                <w:sz w:val="24"/>
                <w:szCs w:val="20"/>
              </w:rPr>
            </w:pPr>
          </w:p>
        </w:tc>
        <w:tc>
          <w:tcPr>
            <w:tcW w:w="3449" w:type="dxa"/>
          </w:tcPr>
          <w:p w14:paraId="13DDF06A">
            <w:pPr>
              <w:jc w:val="center"/>
              <w:rPr>
                <w:rFonts w:hint="default" w:ascii="Times New Roman" w:hAnsi="Times New Roman" w:eastAsia="宋体" w:cs="Times New Roman"/>
                <w:b/>
                <w:sz w:val="24"/>
                <w:szCs w:val="20"/>
              </w:rPr>
            </w:pPr>
          </w:p>
        </w:tc>
        <w:tc>
          <w:tcPr>
            <w:tcW w:w="2414" w:type="dxa"/>
          </w:tcPr>
          <w:p w14:paraId="6AC288A7">
            <w:pPr>
              <w:jc w:val="center"/>
              <w:rPr>
                <w:rFonts w:hint="default" w:ascii="Times New Roman" w:hAnsi="Times New Roman" w:eastAsia="宋体" w:cs="Times New Roman"/>
                <w:b/>
                <w:sz w:val="24"/>
                <w:szCs w:val="20"/>
              </w:rPr>
            </w:pPr>
          </w:p>
        </w:tc>
        <w:tc>
          <w:tcPr>
            <w:tcW w:w="1608" w:type="dxa"/>
          </w:tcPr>
          <w:p w14:paraId="180C07E2">
            <w:pPr>
              <w:jc w:val="center"/>
              <w:rPr>
                <w:rFonts w:hint="default" w:ascii="Times New Roman" w:hAnsi="Times New Roman" w:eastAsia="宋体" w:cs="Times New Roman"/>
                <w:b/>
                <w:sz w:val="24"/>
                <w:szCs w:val="20"/>
              </w:rPr>
            </w:pPr>
          </w:p>
        </w:tc>
      </w:tr>
      <w:tr w14:paraId="6B26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5CF04D9">
            <w:pPr>
              <w:jc w:val="center"/>
              <w:rPr>
                <w:rFonts w:hint="default" w:ascii="Times New Roman" w:hAnsi="Times New Roman" w:eastAsia="宋体" w:cs="Times New Roman"/>
                <w:b/>
                <w:sz w:val="24"/>
                <w:szCs w:val="20"/>
              </w:rPr>
            </w:pPr>
          </w:p>
        </w:tc>
        <w:tc>
          <w:tcPr>
            <w:tcW w:w="3449" w:type="dxa"/>
          </w:tcPr>
          <w:p w14:paraId="5DAD32DE">
            <w:pPr>
              <w:jc w:val="center"/>
              <w:rPr>
                <w:rFonts w:hint="default" w:ascii="Times New Roman" w:hAnsi="Times New Roman" w:eastAsia="宋体" w:cs="Times New Roman"/>
                <w:b/>
                <w:sz w:val="24"/>
                <w:szCs w:val="20"/>
              </w:rPr>
            </w:pPr>
          </w:p>
        </w:tc>
        <w:tc>
          <w:tcPr>
            <w:tcW w:w="2414" w:type="dxa"/>
          </w:tcPr>
          <w:p w14:paraId="04BDBA83">
            <w:pPr>
              <w:jc w:val="center"/>
              <w:rPr>
                <w:rFonts w:hint="default" w:ascii="Times New Roman" w:hAnsi="Times New Roman" w:eastAsia="宋体" w:cs="Times New Roman"/>
                <w:b/>
                <w:sz w:val="24"/>
                <w:szCs w:val="20"/>
              </w:rPr>
            </w:pPr>
          </w:p>
        </w:tc>
        <w:tc>
          <w:tcPr>
            <w:tcW w:w="1608" w:type="dxa"/>
          </w:tcPr>
          <w:p w14:paraId="3ECB400D">
            <w:pPr>
              <w:jc w:val="center"/>
              <w:rPr>
                <w:rFonts w:hint="default" w:ascii="Times New Roman" w:hAnsi="Times New Roman" w:eastAsia="宋体" w:cs="Times New Roman"/>
                <w:b/>
                <w:sz w:val="24"/>
                <w:szCs w:val="20"/>
              </w:rPr>
            </w:pPr>
          </w:p>
        </w:tc>
      </w:tr>
      <w:tr w14:paraId="24B2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0086E05">
            <w:pPr>
              <w:jc w:val="center"/>
              <w:rPr>
                <w:rFonts w:hint="default" w:ascii="Times New Roman" w:hAnsi="Times New Roman" w:eastAsia="宋体" w:cs="Times New Roman"/>
                <w:b/>
                <w:sz w:val="24"/>
                <w:szCs w:val="20"/>
              </w:rPr>
            </w:pPr>
          </w:p>
        </w:tc>
        <w:tc>
          <w:tcPr>
            <w:tcW w:w="3449" w:type="dxa"/>
          </w:tcPr>
          <w:p w14:paraId="0A86612E">
            <w:pPr>
              <w:jc w:val="center"/>
              <w:rPr>
                <w:rFonts w:hint="default" w:ascii="Times New Roman" w:hAnsi="Times New Roman" w:eastAsia="宋体" w:cs="Times New Roman"/>
                <w:b/>
                <w:sz w:val="24"/>
                <w:szCs w:val="20"/>
              </w:rPr>
            </w:pPr>
          </w:p>
        </w:tc>
        <w:tc>
          <w:tcPr>
            <w:tcW w:w="2414" w:type="dxa"/>
          </w:tcPr>
          <w:p w14:paraId="45640FEE">
            <w:pPr>
              <w:jc w:val="center"/>
              <w:rPr>
                <w:rFonts w:hint="default" w:ascii="Times New Roman" w:hAnsi="Times New Roman" w:eastAsia="宋体" w:cs="Times New Roman"/>
                <w:b/>
                <w:sz w:val="24"/>
                <w:szCs w:val="20"/>
              </w:rPr>
            </w:pPr>
          </w:p>
        </w:tc>
        <w:tc>
          <w:tcPr>
            <w:tcW w:w="1608" w:type="dxa"/>
          </w:tcPr>
          <w:p w14:paraId="5E388AFF">
            <w:pPr>
              <w:jc w:val="center"/>
              <w:rPr>
                <w:rFonts w:hint="default" w:ascii="Times New Roman" w:hAnsi="Times New Roman" w:eastAsia="宋体" w:cs="Times New Roman"/>
                <w:b/>
                <w:sz w:val="24"/>
                <w:szCs w:val="20"/>
              </w:rPr>
            </w:pPr>
          </w:p>
        </w:tc>
      </w:tr>
      <w:tr w14:paraId="77AF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8BC574F">
            <w:pPr>
              <w:jc w:val="center"/>
              <w:rPr>
                <w:rFonts w:hint="default" w:ascii="Times New Roman" w:hAnsi="Times New Roman" w:eastAsia="宋体" w:cs="Times New Roman"/>
                <w:b/>
                <w:sz w:val="24"/>
                <w:szCs w:val="20"/>
              </w:rPr>
            </w:pPr>
          </w:p>
        </w:tc>
        <w:tc>
          <w:tcPr>
            <w:tcW w:w="3449" w:type="dxa"/>
          </w:tcPr>
          <w:p w14:paraId="37AA0029">
            <w:pPr>
              <w:jc w:val="center"/>
              <w:rPr>
                <w:rFonts w:hint="default" w:ascii="Times New Roman" w:hAnsi="Times New Roman" w:eastAsia="宋体" w:cs="Times New Roman"/>
                <w:b/>
                <w:sz w:val="24"/>
                <w:szCs w:val="20"/>
              </w:rPr>
            </w:pPr>
          </w:p>
        </w:tc>
        <w:tc>
          <w:tcPr>
            <w:tcW w:w="2414" w:type="dxa"/>
          </w:tcPr>
          <w:p w14:paraId="0A21848B">
            <w:pPr>
              <w:jc w:val="center"/>
              <w:rPr>
                <w:rFonts w:hint="default" w:ascii="Times New Roman" w:hAnsi="Times New Roman" w:eastAsia="宋体" w:cs="Times New Roman"/>
                <w:b/>
                <w:sz w:val="24"/>
                <w:szCs w:val="20"/>
              </w:rPr>
            </w:pPr>
          </w:p>
        </w:tc>
        <w:tc>
          <w:tcPr>
            <w:tcW w:w="1608" w:type="dxa"/>
          </w:tcPr>
          <w:p w14:paraId="096D2C67">
            <w:pPr>
              <w:jc w:val="center"/>
              <w:rPr>
                <w:rFonts w:hint="default" w:ascii="Times New Roman" w:hAnsi="Times New Roman" w:eastAsia="宋体" w:cs="Times New Roman"/>
                <w:b/>
                <w:sz w:val="24"/>
                <w:szCs w:val="20"/>
              </w:rPr>
            </w:pPr>
          </w:p>
        </w:tc>
      </w:tr>
      <w:tr w14:paraId="5902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5CC9090">
            <w:pPr>
              <w:jc w:val="center"/>
              <w:rPr>
                <w:rFonts w:hint="default" w:ascii="Times New Roman" w:hAnsi="Times New Roman" w:eastAsia="宋体" w:cs="Times New Roman"/>
                <w:b/>
                <w:sz w:val="24"/>
                <w:szCs w:val="20"/>
              </w:rPr>
            </w:pPr>
          </w:p>
        </w:tc>
        <w:tc>
          <w:tcPr>
            <w:tcW w:w="3449" w:type="dxa"/>
          </w:tcPr>
          <w:p w14:paraId="39A4611D">
            <w:pPr>
              <w:jc w:val="center"/>
              <w:rPr>
                <w:rFonts w:hint="default" w:ascii="Times New Roman" w:hAnsi="Times New Roman" w:eastAsia="宋体" w:cs="Times New Roman"/>
                <w:b/>
                <w:sz w:val="24"/>
                <w:szCs w:val="20"/>
              </w:rPr>
            </w:pPr>
          </w:p>
        </w:tc>
        <w:tc>
          <w:tcPr>
            <w:tcW w:w="2414" w:type="dxa"/>
          </w:tcPr>
          <w:p w14:paraId="652DCC21">
            <w:pPr>
              <w:jc w:val="center"/>
              <w:rPr>
                <w:rFonts w:hint="default" w:ascii="Times New Roman" w:hAnsi="Times New Roman" w:eastAsia="宋体" w:cs="Times New Roman"/>
                <w:b/>
                <w:sz w:val="24"/>
                <w:szCs w:val="20"/>
              </w:rPr>
            </w:pPr>
          </w:p>
        </w:tc>
        <w:tc>
          <w:tcPr>
            <w:tcW w:w="1608" w:type="dxa"/>
          </w:tcPr>
          <w:p w14:paraId="3527D037">
            <w:pPr>
              <w:jc w:val="center"/>
              <w:rPr>
                <w:rFonts w:hint="default" w:ascii="Times New Roman" w:hAnsi="Times New Roman" w:eastAsia="宋体" w:cs="Times New Roman"/>
                <w:b/>
                <w:sz w:val="24"/>
                <w:szCs w:val="20"/>
              </w:rPr>
            </w:pPr>
          </w:p>
        </w:tc>
      </w:tr>
      <w:tr w14:paraId="5EC8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18B84CE">
            <w:pPr>
              <w:jc w:val="center"/>
              <w:rPr>
                <w:rFonts w:hint="default" w:ascii="Times New Roman" w:hAnsi="Times New Roman" w:eastAsia="宋体" w:cs="Times New Roman"/>
                <w:b/>
                <w:sz w:val="24"/>
                <w:szCs w:val="20"/>
              </w:rPr>
            </w:pPr>
          </w:p>
        </w:tc>
        <w:tc>
          <w:tcPr>
            <w:tcW w:w="3449" w:type="dxa"/>
          </w:tcPr>
          <w:p w14:paraId="518A86A9">
            <w:pPr>
              <w:jc w:val="center"/>
              <w:rPr>
                <w:rFonts w:hint="default" w:ascii="Times New Roman" w:hAnsi="Times New Roman" w:eastAsia="宋体" w:cs="Times New Roman"/>
                <w:b/>
                <w:sz w:val="24"/>
                <w:szCs w:val="20"/>
              </w:rPr>
            </w:pPr>
          </w:p>
        </w:tc>
        <w:tc>
          <w:tcPr>
            <w:tcW w:w="2414" w:type="dxa"/>
          </w:tcPr>
          <w:p w14:paraId="49A8A0AA">
            <w:pPr>
              <w:jc w:val="center"/>
              <w:rPr>
                <w:rFonts w:hint="default" w:ascii="Times New Roman" w:hAnsi="Times New Roman" w:eastAsia="宋体" w:cs="Times New Roman"/>
                <w:b/>
                <w:sz w:val="24"/>
                <w:szCs w:val="20"/>
              </w:rPr>
            </w:pPr>
          </w:p>
        </w:tc>
        <w:tc>
          <w:tcPr>
            <w:tcW w:w="1608" w:type="dxa"/>
          </w:tcPr>
          <w:p w14:paraId="662B9A68">
            <w:pPr>
              <w:jc w:val="center"/>
              <w:rPr>
                <w:rFonts w:hint="default" w:ascii="Times New Roman" w:hAnsi="Times New Roman" w:eastAsia="宋体" w:cs="Times New Roman"/>
                <w:b/>
                <w:sz w:val="24"/>
                <w:szCs w:val="20"/>
              </w:rPr>
            </w:pPr>
          </w:p>
        </w:tc>
      </w:tr>
      <w:tr w14:paraId="5473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52E23B7">
            <w:pPr>
              <w:jc w:val="center"/>
              <w:rPr>
                <w:rFonts w:hint="default" w:ascii="Times New Roman" w:hAnsi="Times New Roman" w:eastAsia="宋体" w:cs="Times New Roman"/>
                <w:b/>
                <w:sz w:val="24"/>
                <w:szCs w:val="20"/>
              </w:rPr>
            </w:pPr>
          </w:p>
        </w:tc>
        <w:tc>
          <w:tcPr>
            <w:tcW w:w="3449" w:type="dxa"/>
          </w:tcPr>
          <w:p w14:paraId="4389B2DD">
            <w:pPr>
              <w:jc w:val="center"/>
              <w:rPr>
                <w:rFonts w:hint="default" w:ascii="Times New Roman" w:hAnsi="Times New Roman" w:eastAsia="宋体" w:cs="Times New Roman"/>
                <w:b/>
                <w:sz w:val="24"/>
                <w:szCs w:val="20"/>
              </w:rPr>
            </w:pPr>
          </w:p>
        </w:tc>
        <w:tc>
          <w:tcPr>
            <w:tcW w:w="2414" w:type="dxa"/>
          </w:tcPr>
          <w:p w14:paraId="056FD951">
            <w:pPr>
              <w:jc w:val="center"/>
              <w:rPr>
                <w:rFonts w:hint="default" w:ascii="Times New Roman" w:hAnsi="Times New Roman" w:eastAsia="宋体" w:cs="Times New Roman"/>
                <w:b/>
                <w:sz w:val="24"/>
                <w:szCs w:val="20"/>
              </w:rPr>
            </w:pPr>
          </w:p>
        </w:tc>
        <w:tc>
          <w:tcPr>
            <w:tcW w:w="1608" w:type="dxa"/>
          </w:tcPr>
          <w:p w14:paraId="161E3492">
            <w:pPr>
              <w:jc w:val="center"/>
              <w:rPr>
                <w:rFonts w:hint="default" w:ascii="Times New Roman" w:hAnsi="Times New Roman" w:eastAsia="宋体" w:cs="Times New Roman"/>
                <w:b/>
                <w:sz w:val="24"/>
                <w:szCs w:val="20"/>
              </w:rPr>
            </w:pPr>
          </w:p>
        </w:tc>
      </w:tr>
      <w:tr w14:paraId="7F34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DB87400">
            <w:pPr>
              <w:jc w:val="center"/>
              <w:rPr>
                <w:rFonts w:hint="default" w:ascii="Times New Roman" w:hAnsi="Times New Roman" w:eastAsia="宋体" w:cs="Times New Roman"/>
                <w:b/>
                <w:sz w:val="24"/>
                <w:szCs w:val="20"/>
              </w:rPr>
            </w:pPr>
          </w:p>
        </w:tc>
        <w:tc>
          <w:tcPr>
            <w:tcW w:w="3449" w:type="dxa"/>
          </w:tcPr>
          <w:p w14:paraId="29E010AB">
            <w:pPr>
              <w:jc w:val="center"/>
              <w:rPr>
                <w:rFonts w:hint="default" w:ascii="Times New Roman" w:hAnsi="Times New Roman" w:eastAsia="宋体" w:cs="Times New Roman"/>
                <w:b/>
                <w:sz w:val="24"/>
                <w:szCs w:val="20"/>
              </w:rPr>
            </w:pPr>
          </w:p>
        </w:tc>
        <w:tc>
          <w:tcPr>
            <w:tcW w:w="2414" w:type="dxa"/>
          </w:tcPr>
          <w:p w14:paraId="7694E54F">
            <w:pPr>
              <w:jc w:val="center"/>
              <w:rPr>
                <w:rFonts w:hint="default" w:ascii="Times New Roman" w:hAnsi="Times New Roman" w:eastAsia="宋体" w:cs="Times New Roman"/>
                <w:b/>
                <w:sz w:val="24"/>
                <w:szCs w:val="20"/>
              </w:rPr>
            </w:pPr>
          </w:p>
        </w:tc>
        <w:tc>
          <w:tcPr>
            <w:tcW w:w="1608" w:type="dxa"/>
          </w:tcPr>
          <w:p w14:paraId="7504602C">
            <w:pPr>
              <w:jc w:val="center"/>
              <w:rPr>
                <w:rFonts w:hint="default" w:ascii="Times New Roman" w:hAnsi="Times New Roman" w:eastAsia="宋体" w:cs="Times New Roman"/>
                <w:b/>
                <w:sz w:val="24"/>
                <w:szCs w:val="20"/>
              </w:rPr>
            </w:pPr>
          </w:p>
        </w:tc>
      </w:tr>
      <w:tr w14:paraId="351B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121203C">
            <w:pPr>
              <w:jc w:val="center"/>
              <w:rPr>
                <w:rFonts w:hint="default" w:ascii="Times New Roman" w:hAnsi="Times New Roman" w:eastAsia="宋体" w:cs="Times New Roman"/>
                <w:b/>
                <w:sz w:val="24"/>
                <w:szCs w:val="20"/>
              </w:rPr>
            </w:pPr>
          </w:p>
        </w:tc>
        <w:tc>
          <w:tcPr>
            <w:tcW w:w="3449" w:type="dxa"/>
          </w:tcPr>
          <w:p w14:paraId="6247B51F">
            <w:pPr>
              <w:jc w:val="center"/>
              <w:rPr>
                <w:rFonts w:hint="default" w:ascii="Times New Roman" w:hAnsi="Times New Roman" w:eastAsia="宋体" w:cs="Times New Roman"/>
                <w:b/>
                <w:sz w:val="24"/>
                <w:szCs w:val="20"/>
              </w:rPr>
            </w:pPr>
          </w:p>
        </w:tc>
        <w:tc>
          <w:tcPr>
            <w:tcW w:w="2414" w:type="dxa"/>
          </w:tcPr>
          <w:p w14:paraId="2F5B6174">
            <w:pPr>
              <w:jc w:val="center"/>
              <w:rPr>
                <w:rFonts w:hint="default" w:ascii="Times New Roman" w:hAnsi="Times New Roman" w:eastAsia="宋体" w:cs="Times New Roman"/>
                <w:b/>
                <w:sz w:val="24"/>
                <w:szCs w:val="20"/>
              </w:rPr>
            </w:pPr>
          </w:p>
        </w:tc>
        <w:tc>
          <w:tcPr>
            <w:tcW w:w="1608" w:type="dxa"/>
          </w:tcPr>
          <w:p w14:paraId="41235D2F">
            <w:pPr>
              <w:jc w:val="center"/>
              <w:rPr>
                <w:rFonts w:hint="default" w:ascii="Times New Roman" w:hAnsi="Times New Roman" w:eastAsia="宋体" w:cs="Times New Roman"/>
                <w:b/>
                <w:sz w:val="24"/>
                <w:szCs w:val="20"/>
              </w:rPr>
            </w:pPr>
          </w:p>
        </w:tc>
      </w:tr>
    </w:tbl>
    <w:p w14:paraId="238EE586">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21287310">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280E4A8A">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2073C1B6">
      <w:pPr>
        <w:pStyle w:val="24"/>
        <w:rPr>
          <w:rFonts w:hint="default" w:ascii="Times New Roman" w:hAnsi="Times New Roman" w:cs="Times New Roman"/>
        </w:rPr>
      </w:pPr>
    </w:p>
    <w:p w14:paraId="4DF33DBF">
      <w:pPr>
        <w:pStyle w:val="24"/>
        <w:rPr>
          <w:rFonts w:hint="default" w:ascii="Times New Roman" w:hAnsi="Times New Roman" w:cs="Times New Roman"/>
        </w:rPr>
      </w:pPr>
    </w:p>
    <w:p w14:paraId="3CC2073A">
      <w:pPr>
        <w:pStyle w:val="24"/>
        <w:rPr>
          <w:rFonts w:hint="default" w:ascii="Times New Roman" w:hAnsi="Times New Roman" w:cs="Times New Roman"/>
        </w:rPr>
      </w:pPr>
    </w:p>
    <w:p w14:paraId="12962797">
      <w:pPr>
        <w:pStyle w:val="24"/>
        <w:rPr>
          <w:rFonts w:hint="default" w:ascii="Times New Roman" w:hAnsi="Times New Roman" w:cs="Times New Roman"/>
        </w:rPr>
      </w:pPr>
    </w:p>
    <w:p w14:paraId="0F2AC935">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附件6 202</w:t>
      </w:r>
      <w:r>
        <w:rPr>
          <w:rFonts w:hint="eastAsia" w:cs="Times New Roman"/>
          <w:b/>
          <w:bCs/>
          <w:color w:val="000000"/>
          <w:sz w:val="24"/>
          <w:szCs w:val="24"/>
          <w:lang w:val="en-US" w:eastAsia="zh-CN"/>
        </w:rPr>
        <w:t>3</w:t>
      </w:r>
      <w:r>
        <w:rPr>
          <w:rFonts w:hint="default" w:ascii="Times New Roman" w:hAnsi="Times New Roman" w:eastAsia="宋体" w:cs="Times New Roman"/>
          <w:b/>
          <w:bCs/>
          <w:color w:val="000000"/>
          <w:sz w:val="24"/>
          <w:szCs w:val="24"/>
        </w:rPr>
        <w:t>年1月1日以来同类项目业绩一览表</w:t>
      </w:r>
    </w:p>
    <w:p w14:paraId="1D1DFD9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cs="Times New Roman"/>
          <w:b w:val="0"/>
          <w:bCs w:val="0"/>
          <w:color w:val="000000"/>
          <w:sz w:val="24"/>
          <w:szCs w:val="24"/>
          <w:u w:val="single"/>
          <w:lang w:val="en-US" w:eastAsia="zh-CN"/>
        </w:rPr>
        <w:t>济南成型厂110kV变电站通讯系统更新改造技改项目</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0A64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59AF74C3">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82" w:type="dxa"/>
            <w:vAlign w:val="center"/>
          </w:tcPr>
          <w:p w14:paraId="75094350">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采购单位</w:t>
            </w:r>
          </w:p>
        </w:tc>
        <w:tc>
          <w:tcPr>
            <w:tcW w:w="1355" w:type="dxa"/>
            <w:vAlign w:val="center"/>
          </w:tcPr>
          <w:p w14:paraId="2D3968FD">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项目名称</w:t>
            </w:r>
          </w:p>
          <w:p w14:paraId="6A9DA7A2">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（万元）</w:t>
            </w:r>
          </w:p>
        </w:tc>
        <w:tc>
          <w:tcPr>
            <w:tcW w:w="826" w:type="dxa"/>
            <w:vAlign w:val="center"/>
          </w:tcPr>
          <w:p w14:paraId="2C356557">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w:t>
            </w:r>
          </w:p>
        </w:tc>
        <w:tc>
          <w:tcPr>
            <w:tcW w:w="1320" w:type="dxa"/>
            <w:vAlign w:val="center"/>
          </w:tcPr>
          <w:p w14:paraId="1AC38199">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合同金额</w:t>
            </w:r>
          </w:p>
        </w:tc>
        <w:tc>
          <w:tcPr>
            <w:tcW w:w="1023" w:type="dxa"/>
            <w:vAlign w:val="center"/>
          </w:tcPr>
          <w:p w14:paraId="1EBCCD46">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合同签订时间</w:t>
            </w:r>
          </w:p>
        </w:tc>
        <w:tc>
          <w:tcPr>
            <w:tcW w:w="1590" w:type="dxa"/>
            <w:vAlign w:val="center"/>
          </w:tcPr>
          <w:p w14:paraId="5CC752F8">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联系人及</w:t>
            </w:r>
          </w:p>
          <w:p w14:paraId="6FD2A0D3">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联系电话</w:t>
            </w:r>
          </w:p>
        </w:tc>
      </w:tr>
      <w:tr w14:paraId="34D8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49619A7">
            <w:pPr>
              <w:ind w:left="420" w:hanging="420"/>
              <w:rPr>
                <w:rFonts w:hint="default" w:ascii="Times New Roman" w:hAnsi="Times New Roman" w:eastAsia="宋体" w:cs="Times New Roman"/>
                <w:b/>
                <w:szCs w:val="20"/>
              </w:rPr>
            </w:pPr>
          </w:p>
        </w:tc>
        <w:tc>
          <w:tcPr>
            <w:tcW w:w="2082" w:type="dxa"/>
          </w:tcPr>
          <w:p w14:paraId="4E6CA710">
            <w:pPr>
              <w:ind w:left="420" w:hanging="420"/>
              <w:rPr>
                <w:rFonts w:hint="default" w:ascii="Times New Roman" w:hAnsi="Times New Roman" w:eastAsia="宋体" w:cs="Times New Roman"/>
                <w:b/>
                <w:szCs w:val="20"/>
              </w:rPr>
            </w:pPr>
          </w:p>
        </w:tc>
        <w:tc>
          <w:tcPr>
            <w:tcW w:w="1355" w:type="dxa"/>
          </w:tcPr>
          <w:p w14:paraId="09812018">
            <w:pPr>
              <w:ind w:left="420" w:hanging="420"/>
              <w:rPr>
                <w:rFonts w:hint="default" w:ascii="Times New Roman" w:hAnsi="Times New Roman" w:eastAsia="宋体" w:cs="Times New Roman"/>
                <w:b/>
                <w:szCs w:val="20"/>
              </w:rPr>
            </w:pPr>
          </w:p>
        </w:tc>
        <w:tc>
          <w:tcPr>
            <w:tcW w:w="826" w:type="dxa"/>
          </w:tcPr>
          <w:p w14:paraId="3AADAAA2">
            <w:pPr>
              <w:ind w:left="420" w:hanging="420"/>
              <w:rPr>
                <w:rFonts w:hint="default" w:ascii="Times New Roman" w:hAnsi="Times New Roman" w:eastAsia="宋体" w:cs="Times New Roman"/>
                <w:b/>
                <w:szCs w:val="20"/>
              </w:rPr>
            </w:pPr>
          </w:p>
        </w:tc>
        <w:tc>
          <w:tcPr>
            <w:tcW w:w="1320" w:type="dxa"/>
          </w:tcPr>
          <w:p w14:paraId="2B651352">
            <w:pPr>
              <w:ind w:left="420" w:hanging="420"/>
              <w:rPr>
                <w:rFonts w:hint="default" w:ascii="Times New Roman" w:hAnsi="Times New Roman" w:eastAsia="宋体" w:cs="Times New Roman"/>
                <w:b/>
                <w:szCs w:val="20"/>
              </w:rPr>
            </w:pPr>
          </w:p>
        </w:tc>
        <w:tc>
          <w:tcPr>
            <w:tcW w:w="1023" w:type="dxa"/>
          </w:tcPr>
          <w:p w14:paraId="2A6DC3AC">
            <w:pPr>
              <w:ind w:left="420" w:hanging="420"/>
              <w:rPr>
                <w:rFonts w:hint="default" w:ascii="Times New Roman" w:hAnsi="Times New Roman" w:eastAsia="宋体" w:cs="Times New Roman"/>
                <w:b/>
                <w:szCs w:val="20"/>
              </w:rPr>
            </w:pPr>
          </w:p>
        </w:tc>
        <w:tc>
          <w:tcPr>
            <w:tcW w:w="1590" w:type="dxa"/>
          </w:tcPr>
          <w:p w14:paraId="45695992">
            <w:pPr>
              <w:ind w:left="420" w:hanging="420"/>
              <w:rPr>
                <w:rFonts w:hint="default" w:ascii="Times New Roman" w:hAnsi="Times New Roman" w:eastAsia="宋体" w:cs="Times New Roman"/>
                <w:b/>
                <w:szCs w:val="20"/>
              </w:rPr>
            </w:pPr>
          </w:p>
        </w:tc>
      </w:tr>
      <w:tr w14:paraId="7751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E925A3B">
            <w:pPr>
              <w:ind w:left="420" w:hanging="420"/>
              <w:rPr>
                <w:rFonts w:hint="default" w:ascii="Times New Roman" w:hAnsi="Times New Roman" w:eastAsia="宋体" w:cs="Times New Roman"/>
                <w:b/>
                <w:szCs w:val="20"/>
              </w:rPr>
            </w:pPr>
          </w:p>
        </w:tc>
        <w:tc>
          <w:tcPr>
            <w:tcW w:w="2082" w:type="dxa"/>
          </w:tcPr>
          <w:p w14:paraId="5832654B">
            <w:pPr>
              <w:ind w:left="420" w:hanging="420"/>
              <w:rPr>
                <w:rFonts w:hint="default" w:ascii="Times New Roman" w:hAnsi="Times New Roman" w:eastAsia="宋体" w:cs="Times New Roman"/>
                <w:b/>
                <w:szCs w:val="20"/>
              </w:rPr>
            </w:pPr>
          </w:p>
        </w:tc>
        <w:tc>
          <w:tcPr>
            <w:tcW w:w="1355" w:type="dxa"/>
          </w:tcPr>
          <w:p w14:paraId="4D8E5B6B">
            <w:pPr>
              <w:ind w:left="420" w:hanging="420"/>
              <w:rPr>
                <w:rFonts w:hint="default" w:ascii="Times New Roman" w:hAnsi="Times New Roman" w:eastAsia="宋体" w:cs="Times New Roman"/>
                <w:b/>
                <w:szCs w:val="20"/>
              </w:rPr>
            </w:pPr>
          </w:p>
        </w:tc>
        <w:tc>
          <w:tcPr>
            <w:tcW w:w="826" w:type="dxa"/>
          </w:tcPr>
          <w:p w14:paraId="12A17531">
            <w:pPr>
              <w:ind w:left="420" w:hanging="420"/>
              <w:rPr>
                <w:rFonts w:hint="default" w:ascii="Times New Roman" w:hAnsi="Times New Roman" w:eastAsia="宋体" w:cs="Times New Roman"/>
                <w:b/>
                <w:szCs w:val="20"/>
              </w:rPr>
            </w:pPr>
          </w:p>
        </w:tc>
        <w:tc>
          <w:tcPr>
            <w:tcW w:w="1320" w:type="dxa"/>
          </w:tcPr>
          <w:p w14:paraId="3535AF0B">
            <w:pPr>
              <w:ind w:left="420" w:hanging="420"/>
              <w:rPr>
                <w:rFonts w:hint="default" w:ascii="Times New Roman" w:hAnsi="Times New Roman" w:eastAsia="宋体" w:cs="Times New Roman"/>
                <w:b/>
                <w:szCs w:val="20"/>
              </w:rPr>
            </w:pPr>
          </w:p>
        </w:tc>
        <w:tc>
          <w:tcPr>
            <w:tcW w:w="1023" w:type="dxa"/>
          </w:tcPr>
          <w:p w14:paraId="2A74A118">
            <w:pPr>
              <w:ind w:left="420" w:hanging="420"/>
              <w:rPr>
                <w:rFonts w:hint="default" w:ascii="Times New Roman" w:hAnsi="Times New Roman" w:eastAsia="宋体" w:cs="Times New Roman"/>
                <w:b/>
                <w:szCs w:val="20"/>
              </w:rPr>
            </w:pPr>
          </w:p>
        </w:tc>
        <w:tc>
          <w:tcPr>
            <w:tcW w:w="1590" w:type="dxa"/>
          </w:tcPr>
          <w:p w14:paraId="51FD6679">
            <w:pPr>
              <w:ind w:left="420" w:hanging="420"/>
              <w:rPr>
                <w:rFonts w:hint="default" w:ascii="Times New Roman" w:hAnsi="Times New Roman" w:eastAsia="宋体" w:cs="Times New Roman"/>
                <w:b/>
                <w:szCs w:val="20"/>
              </w:rPr>
            </w:pPr>
          </w:p>
        </w:tc>
      </w:tr>
      <w:tr w14:paraId="3038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087C35F">
            <w:pPr>
              <w:ind w:left="420" w:hanging="420"/>
              <w:rPr>
                <w:rFonts w:hint="default" w:ascii="Times New Roman" w:hAnsi="Times New Roman" w:eastAsia="宋体" w:cs="Times New Roman"/>
                <w:b/>
                <w:szCs w:val="20"/>
              </w:rPr>
            </w:pPr>
          </w:p>
        </w:tc>
        <w:tc>
          <w:tcPr>
            <w:tcW w:w="2082" w:type="dxa"/>
          </w:tcPr>
          <w:p w14:paraId="65F86C31">
            <w:pPr>
              <w:ind w:left="420" w:hanging="420"/>
              <w:rPr>
                <w:rFonts w:hint="default" w:ascii="Times New Roman" w:hAnsi="Times New Roman" w:eastAsia="宋体" w:cs="Times New Roman"/>
                <w:b/>
                <w:szCs w:val="20"/>
              </w:rPr>
            </w:pPr>
          </w:p>
        </w:tc>
        <w:tc>
          <w:tcPr>
            <w:tcW w:w="1355" w:type="dxa"/>
          </w:tcPr>
          <w:p w14:paraId="14095C55">
            <w:pPr>
              <w:ind w:left="420" w:hanging="420"/>
              <w:rPr>
                <w:rFonts w:hint="default" w:ascii="Times New Roman" w:hAnsi="Times New Roman" w:eastAsia="宋体" w:cs="Times New Roman"/>
                <w:b/>
                <w:szCs w:val="20"/>
              </w:rPr>
            </w:pPr>
          </w:p>
        </w:tc>
        <w:tc>
          <w:tcPr>
            <w:tcW w:w="826" w:type="dxa"/>
          </w:tcPr>
          <w:p w14:paraId="4DE15404">
            <w:pPr>
              <w:ind w:left="420" w:hanging="420"/>
              <w:rPr>
                <w:rFonts w:hint="default" w:ascii="Times New Roman" w:hAnsi="Times New Roman" w:eastAsia="宋体" w:cs="Times New Roman"/>
                <w:b/>
                <w:szCs w:val="20"/>
              </w:rPr>
            </w:pPr>
          </w:p>
        </w:tc>
        <w:tc>
          <w:tcPr>
            <w:tcW w:w="1320" w:type="dxa"/>
          </w:tcPr>
          <w:p w14:paraId="3039A3BE">
            <w:pPr>
              <w:ind w:left="420" w:hanging="420"/>
              <w:rPr>
                <w:rFonts w:hint="default" w:ascii="Times New Roman" w:hAnsi="Times New Roman" w:eastAsia="宋体" w:cs="Times New Roman"/>
                <w:b/>
                <w:szCs w:val="20"/>
              </w:rPr>
            </w:pPr>
          </w:p>
        </w:tc>
        <w:tc>
          <w:tcPr>
            <w:tcW w:w="1023" w:type="dxa"/>
          </w:tcPr>
          <w:p w14:paraId="65B68FD7">
            <w:pPr>
              <w:ind w:left="420" w:hanging="420"/>
              <w:rPr>
                <w:rFonts w:hint="default" w:ascii="Times New Roman" w:hAnsi="Times New Roman" w:eastAsia="宋体" w:cs="Times New Roman"/>
                <w:b/>
                <w:szCs w:val="20"/>
              </w:rPr>
            </w:pPr>
          </w:p>
        </w:tc>
        <w:tc>
          <w:tcPr>
            <w:tcW w:w="1590" w:type="dxa"/>
          </w:tcPr>
          <w:p w14:paraId="06C93A22">
            <w:pPr>
              <w:ind w:left="420" w:hanging="420"/>
              <w:rPr>
                <w:rFonts w:hint="default" w:ascii="Times New Roman" w:hAnsi="Times New Roman" w:eastAsia="宋体" w:cs="Times New Roman"/>
                <w:b/>
                <w:szCs w:val="20"/>
              </w:rPr>
            </w:pPr>
          </w:p>
        </w:tc>
      </w:tr>
      <w:tr w14:paraId="662B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8AB69E7">
            <w:pPr>
              <w:ind w:left="420" w:hanging="420"/>
              <w:rPr>
                <w:rFonts w:hint="default" w:ascii="Times New Roman" w:hAnsi="Times New Roman" w:eastAsia="宋体" w:cs="Times New Roman"/>
                <w:b/>
                <w:szCs w:val="20"/>
              </w:rPr>
            </w:pPr>
          </w:p>
        </w:tc>
        <w:tc>
          <w:tcPr>
            <w:tcW w:w="2082" w:type="dxa"/>
          </w:tcPr>
          <w:p w14:paraId="587A84E1">
            <w:pPr>
              <w:ind w:left="420" w:hanging="420"/>
              <w:rPr>
                <w:rFonts w:hint="default" w:ascii="Times New Roman" w:hAnsi="Times New Roman" w:eastAsia="宋体" w:cs="Times New Roman"/>
                <w:b/>
                <w:szCs w:val="20"/>
              </w:rPr>
            </w:pPr>
          </w:p>
        </w:tc>
        <w:tc>
          <w:tcPr>
            <w:tcW w:w="1355" w:type="dxa"/>
          </w:tcPr>
          <w:p w14:paraId="6DF97D93">
            <w:pPr>
              <w:ind w:left="420" w:hanging="420"/>
              <w:rPr>
                <w:rFonts w:hint="default" w:ascii="Times New Roman" w:hAnsi="Times New Roman" w:eastAsia="宋体" w:cs="Times New Roman"/>
                <w:b/>
                <w:szCs w:val="20"/>
              </w:rPr>
            </w:pPr>
          </w:p>
        </w:tc>
        <w:tc>
          <w:tcPr>
            <w:tcW w:w="826" w:type="dxa"/>
          </w:tcPr>
          <w:p w14:paraId="3170D950">
            <w:pPr>
              <w:ind w:left="420" w:hanging="420"/>
              <w:rPr>
                <w:rFonts w:hint="default" w:ascii="Times New Roman" w:hAnsi="Times New Roman" w:eastAsia="宋体" w:cs="Times New Roman"/>
                <w:b/>
                <w:szCs w:val="20"/>
              </w:rPr>
            </w:pPr>
          </w:p>
        </w:tc>
        <w:tc>
          <w:tcPr>
            <w:tcW w:w="1320" w:type="dxa"/>
          </w:tcPr>
          <w:p w14:paraId="56297506">
            <w:pPr>
              <w:ind w:left="420" w:hanging="420"/>
              <w:rPr>
                <w:rFonts w:hint="default" w:ascii="Times New Roman" w:hAnsi="Times New Roman" w:eastAsia="宋体" w:cs="Times New Roman"/>
                <w:b/>
                <w:szCs w:val="20"/>
              </w:rPr>
            </w:pPr>
          </w:p>
        </w:tc>
        <w:tc>
          <w:tcPr>
            <w:tcW w:w="1023" w:type="dxa"/>
          </w:tcPr>
          <w:p w14:paraId="3EA5741F">
            <w:pPr>
              <w:ind w:left="420" w:hanging="420"/>
              <w:rPr>
                <w:rFonts w:hint="default" w:ascii="Times New Roman" w:hAnsi="Times New Roman" w:eastAsia="宋体" w:cs="Times New Roman"/>
                <w:b/>
                <w:szCs w:val="20"/>
              </w:rPr>
            </w:pPr>
          </w:p>
        </w:tc>
        <w:tc>
          <w:tcPr>
            <w:tcW w:w="1590" w:type="dxa"/>
          </w:tcPr>
          <w:p w14:paraId="698E88F1">
            <w:pPr>
              <w:ind w:left="420" w:hanging="420"/>
              <w:rPr>
                <w:rFonts w:hint="default" w:ascii="Times New Roman" w:hAnsi="Times New Roman" w:eastAsia="宋体" w:cs="Times New Roman"/>
                <w:b/>
                <w:szCs w:val="20"/>
              </w:rPr>
            </w:pPr>
          </w:p>
        </w:tc>
      </w:tr>
      <w:tr w14:paraId="439D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C7F8A78">
            <w:pPr>
              <w:ind w:left="420" w:hanging="420"/>
              <w:rPr>
                <w:rFonts w:hint="default" w:ascii="Times New Roman" w:hAnsi="Times New Roman" w:eastAsia="宋体" w:cs="Times New Roman"/>
                <w:b/>
                <w:szCs w:val="20"/>
              </w:rPr>
            </w:pPr>
          </w:p>
        </w:tc>
        <w:tc>
          <w:tcPr>
            <w:tcW w:w="2082" w:type="dxa"/>
          </w:tcPr>
          <w:p w14:paraId="62A01CC0">
            <w:pPr>
              <w:ind w:left="420" w:hanging="420"/>
              <w:rPr>
                <w:rFonts w:hint="default" w:ascii="Times New Roman" w:hAnsi="Times New Roman" w:eastAsia="宋体" w:cs="Times New Roman"/>
                <w:b/>
                <w:szCs w:val="20"/>
              </w:rPr>
            </w:pPr>
          </w:p>
        </w:tc>
        <w:tc>
          <w:tcPr>
            <w:tcW w:w="1355" w:type="dxa"/>
          </w:tcPr>
          <w:p w14:paraId="4EF4A80B">
            <w:pPr>
              <w:ind w:left="420" w:hanging="420"/>
              <w:rPr>
                <w:rFonts w:hint="default" w:ascii="Times New Roman" w:hAnsi="Times New Roman" w:eastAsia="宋体" w:cs="Times New Roman"/>
                <w:b/>
                <w:szCs w:val="20"/>
              </w:rPr>
            </w:pPr>
          </w:p>
        </w:tc>
        <w:tc>
          <w:tcPr>
            <w:tcW w:w="826" w:type="dxa"/>
          </w:tcPr>
          <w:p w14:paraId="6406864A">
            <w:pPr>
              <w:ind w:left="420" w:hanging="420"/>
              <w:rPr>
                <w:rFonts w:hint="default" w:ascii="Times New Roman" w:hAnsi="Times New Roman" w:eastAsia="宋体" w:cs="Times New Roman"/>
                <w:b/>
                <w:szCs w:val="20"/>
              </w:rPr>
            </w:pPr>
          </w:p>
        </w:tc>
        <w:tc>
          <w:tcPr>
            <w:tcW w:w="1320" w:type="dxa"/>
          </w:tcPr>
          <w:p w14:paraId="57EEE262">
            <w:pPr>
              <w:ind w:left="420" w:hanging="420"/>
              <w:rPr>
                <w:rFonts w:hint="default" w:ascii="Times New Roman" w:hAnsi="Times New Roman" w:eastAsia="宋体" w:cs="Times New Roman"/>
                <w:b/>
                <w:szCs w:val="20"/>
              </w:rPr>
            </w:pPr>
          </w:p>
        </w:tc>
        <w:tc>
          <w:tcPr>
            <w:tcW w:w="1023" w:type="dxa"/>
          </w:tcPr>
          <w:p w14:paraId="4A4F2393">
            <w:pPr>
              <w:ind w:left="420" w:hanging="420"/>
              <w:rPr>
                <w:rFonts w:hint="default" w:ascii="Times New Roman" w:hAnsi="Times New Roman" w:eastAsia="宋体" w:cs="Times New Roman"/>
                <w:b/>
                <w:szCs w:val="20"/>
              </w:rPr>
            </w:pPr>
          </w:p>
        </w:tc>
        <w:tc>
          <w:tcPr>
            <w:tcW w:w="1590" w:type="dxa"/>
          </w:tcPr>
          <w:p w14:paraId="3A5D4E39">
            <w:pPr>
              <w:ind w:left="420" w:hanging="420"/>
              <w:rPr>
                <w:rFonts w:hint="default" w:ascii="Times New Roman" w:hAnsi="Times New Roman" w:eastAsia="宋体" w:cs="Times New Roman"/>
                <w:b/>
                <w:szCs w:val="20"/>
              </w:rPr>
            </w:pPr>
          </w:p>
        </w:tc>
      </w:tr>
      <w:tr w14:paraId="2612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02B5BD7">
            <w:pPr>
              <w:ind w:left="420" w:hanging="420"/>
              <w:rPr>
                <w:rFonts w:hint="default" w:ascii="Times New Roman" w:hAnsi="Times New Roman" w:eastAsia="宋体" w:cs="Times New Roman"/>
                <w:b/>
                <w:szCs w:val="20"/>
              </w:rPr>
            </w:pPr>
          </w:p>
        </w:tc>
        <w:tc>
          <w:tcPr>
            <w:tcW w:w="2082" w:type="dxa"/>
          </w:tcPr>
          <w:p w14:paraId="40D6F9F7">
            <w:pPr>
              <w:ind w:left="420" w:hanging="420"/>
              <w:rPr>
                <w:rFonts w:hint="default" w:ascii="Times New Roman" w:hAnsi="Times New Roman" w:eastAsia="宋体" w:cs="Times New Roman"/>
                <w:b/>
                <w:szCs w:val="20"/>
              </w:rPr>
            </w:pPr>
          </w:p>
        </w:tc>
        <w:tc>
          <w:tcPr>
            <w:tcW w:w="1355" w:type="dxa"/>
          </w:tcPr>
          <w:p w14:paraId="6B812B26">
            <w:pPr>
              <w:ind w:left="420" w:hanging="420"/>
              <w:rPr>
                <w:rFonts w:hint="default" w:ascii="Times New Roman" w:hAnsi="Times New Roman" w:eastAsia="宋体" w:cs="Times New Roman"/>
                <w:b/>
                <w:szCs w:val="20"/>
              </w:rPr>
            </w:pPr>
          </w:p>
        </w:tc>
        <w:tc>
          <w:tcPr>
            <w:tcW w:w="826" w:type="dxa"/>
          </w:tcPr>
          <w:p w14:paraId="5E9255B3">
            <w:pPr>
              <w:ind w:left="420" w:hanging="420"/>
              <w:rPr>
                <w:rFonts w:hint="default" w:ascii="Times New Roman" w:hAnsi="Times New Roman" w:eastAsia="宋体" w:cs="Times New Roman"/>
                <w:b/>
                <w:szCs w:val="20"/>
              </w:rPr>
            </w:pPr>
          </w:p>
        </w:tc>
        <w:tc>
          <w:tcPr>
            <w:tcW w:w="1320" w:type="dxa"/>
          </w:tcPr>
          <w:p w14:paraId="7FA32916">
            <w:pPr>
              <w:ind w:left="420" w:hanging="420"/>
              <w:rPr>
                <w:rFonts w:hint="default" w:ascii="Times New Roman" w:hAnsi="Times New Roman" w:eastAsia="宋体" w:cs="Times New Roman"/>
                <w:b/>
                <w:szCs w:val="20"/>
              </w:rPr>
            </w:pPr>
          </w:p>
        </w:tc>
        <w:tc>
          <w:tcPr>
            <w:tcW w:w="1023" w:type="dxa"/>
          </w:tcPr>
          <w:p w14:paraId="1E2CB71A">
            <w:pPr>
              <w:ind w:left="420" w:hanging="420"/>
              <w:rPr>
                <w:rFonts w:hint="default" w:ascii="Times New Roman" w:hAnsi="Times New Roman" w:eastAsia="宋体" w:cs="Times New Roman"/>
                <w:b/>
                <w:szCs w:val="20"/>
              </w:rPr>
            </w:pPr>
          </w:p>
        </w:tc>
        <w:tc>
          <w:tcPr>
            <w:tcW w:w="1590" w:type="dxa"/>
          </w:tcPr>
          <w:p w14:paraId="230AC52B">
            <w:pPr>
              <w:ind w:left="420" w:hanging="420"/>
              <w:rPr>
                <w:rFonts w:hint="default" w:ascii="Times New Roman" w:hAnsi="Times New Roman" w:eastAsia="宋体" w:cs="Times New Roman"/>
                <w:b/>
                <w:szCs w:val="20"/>
              </w:rPr>
            </w:pPr>
          </w:p>
        </w:tc>
      </w:tr>
      <w:tr w14:paraId="2C9A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860" w:type="dxa"/>
          </w:tcPr>
          <w:p w14:paraId="4A023C27">
            <w:pPr>
              <w:ind w:left="420" w:hanging="420"/>
              <w:rPr>
                <w:rFonts w:hint="default" w:ascii="Times New Roman" w:hAnsi="Times New Roman" w:eastAsia="宋体" w:cs="Times New Roman"/>
                <w:b/>
                <w:szCs w:val="20"/>
              </w:rPr>
            </w:pPr>
          </w:p>
        </w:tc>
        <w:tc>
          <w:tcPr>
            <w:tcW w:w="2082" w:type="dxa"/>
          </w:tcPr>
          <w:p w14:paraId="43EC3A8D">
            <w:pPr>
              <w:ind w:left="420" w:hanging="420"/>
              <w:rPr>
                <w:rFonts w:hint="default" w:ascii="Times New Roman" w:hAnsi="Times New Roman" w:eastAsia="宋体" w:cs="Times New Roman"/>
                <w:b/>
                <w:szCs w:val="20"/>
              </w:rPr>
            </w:pPr>
          </w:p>
        </w:tc>
        <w:tc>
          <w:tcPr>
            <w:tcW w:w="1355" w:type="dxa"/>
          </w:tcPr>
          <w:p w14:paraId="55CF7D3B">
            <w:pPr>
              <w:ind w:left="420" w:hanging="420"/>
              <w:rPr>
                <w:rFonts w:hint="default" w:ascii="Times New Roman" w:hAnsi="Times New Roman" w:eastAsia="宋体" w:cs="Times New Roman"/>
                <w:b/>
                <w:szCs w:val="20"/>
              </w:rPr>
            </w:pPr>
          </w:p>
        </w:tc>
        <w:tc>
          <w:tcPr>
            <w:tcW w:w="826" w:type="dxa"/>
          </w:tcPr>
          <w:p w14:paraId="41A3A592">
            <w:pPr>
              <w:ind w:left="420" w:hanging="420"/>
              <w:rPr>
                <w:rFonts w:hint="default" w:ascii="Times New Roman" w:hAnsi="Times New Roman" w:eastAsia="宋体" w:cs="Times New Roman"/>
                <w:b/>
                <w:szCs w:val="20"/>
              </w:rPr>
            </w:pPr>
          </w:p>
        </w:tc>
        <w:tc>
          <w:tcPr>
            <w:tcW w:w="1320" w:type="dxa"/>
          </w:tcPr>
          <w:p w14:paraId="6D448547">
            <w:pPr>
              <w:ind w:left="420" w:hanging="420"/>
              <w:rPr>
                <w:rFonts w:hint="default" w:ascii="Times New Roman" w:hAnsi="Times New Roman" w:eastAsia="宋体" w:cs="Times New Roman"/>
                <w:b/>
                <w:szCs w:val="20"/>
              </w:rPr>
            </w:pPr>
          </w:p>
        </w:tc>
        <w:tc>
          <w:tcPr>
            <w:tcW w:w="1023" w:type="dxa"/>
          </w:tcPr>
          <w:p w14:paraId="001FF902">
            <w:pPr>
              <w:ind w:left="420" w:hanging="420"/>
              <w:rPr>
                <w:rFonts w:hint="default" w:ascii="Times New Roman" w:hAnsi="Times New Roman" w:eastAsia="宋体" w:cs="Times New Roman"/>
                <w:b/>
                <w:szCs w:val="20"/>
              </w:rPr>
            </w:pPr>
          </w:p>
        </w:tc>
        <w:tc>
          <w:tcPr>
            <w:tcW w:w="1590" w:type="dxa"/>
          </w:tcPr>
          <w:p w14:paraId="59D089E9">
            <w:pPr>
              <w:ind w:left="420" w:hanging="420"/>
              <w:rPr>
                <w:rFonts w:hint="default" w:ascii="Times New Roman" w:hAnsi="Times New Roman" w:eastAsia="宋体" w:cs="Times New Roman"/>
                <w:b/>
                <w:szCs w:val="20"/>
              </w:rPr>
            </w:pPr>
          </w:p>
        </w:tc>
      </w:tr>
      <w:tr w14:paraId="2337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88C518A">
            <w:pPr>
              <w:ind w:left="420" w:hanging="420"/>
              <w:rPr>
                <w:rFonts w:hint="default" w:ascii="Times New Roman" w:hAnsi="Times New Roman" w:eastAsia="宋体" w:cs="Times New Roman"/>
                <w:b/>
                <w:szCs w:val="20"/>
              </w:rPr>
            </w:pPr>
          </w:p>
        </w:tc>
        <w:tc>
          <w:tcPr>
            <w:tcW w:w="2082" w:type="dxa"/>
          </w:tcPr>
          <w:p w14:paraId="438D49E3">
            <w:pPr>
              <w:ind w:left="420" w:hanging="420"/>
              <w:rPr>
                <w:rFonts w:hint="default" w:ascii="Times New Roman" w:hAnsi="Times New Roman" w:eastAsia="宋体" w:cs="Times New Roman"/>
                <w:b/>
                <w:szCs w:val="20"/>
              </w:rPr>
            </w:pPr>
          </w:p>
        </w:tc>
        <w:tc>
          <w:tcPr>
            <w:tcW w:w="1355" w:type="dxa"/>
          </w:tcPr>
          <w:p w14:paraId="4E63C8D0">
            <w:pPr>
              <w:ind w:left="420" w:hanging="420"/>
              <w:rPr>
                <w:rFonts w:hint="default" w:ascii="Times New Roman" w:hAnsi="Times New Roman" w:eastAsia="宋体" w:cs="Times New Roman"/>
                <w:b/>
                <w:szCs w:val="20"/>
              </w:rPr>
            </w:pPr>
          </w:p>
        </w:tc>
        <w:tc>
          <w:tcPr>
            <w:tcW w:w="826" w:type="dxa"/>
          </w:tcPr>
          <w:p w14:paraId="14B89A21">
            <w:pPr>
              <w:ind w:left="420" w:hanging="420"/>
              <w:rPr>
                <w:rFonts w:hint="default" w:ascii="Times New Roman" w:hAnsi="Times New Roman" w:eastAsia="宋体" w:cs="Times New Roman"/>
                <w:b/>
                <w:szCs w:val="20"/>
              </w:rPr>
            </w:pPr>
          </w:p>
        </w:tc>
        <w:tc>
          <w:tcPr>
            <w:tcW w:w="1320" w:type="dxa"/>
          </w:tcPr>
          <w:p w14:paraId="167BB493">
            <w:pPr>
              <w:ind w:left="420" w:hanging="420"/>
              <w:rPr>
                <w:rFonts w:hint="default" w:ascii="Times New Roman" w:hAnsi="Times New Roman" w:eastAsia="宋体" w:cs="Times New Roman"/>
                <w:b/>
                <w:szCs w:val="20"/>
              </w:rPr>
            </w:pPr>
          </w:p>
        </w:tc>
        <w:tc>
          <w:tcPr>
            <w:tcW w:w="1023" w:type="dxa"/>
          </w:tcPr>
          <w:p w14:paraId="37154F80">
            <w:pPr>
              <w:ind w:left="420" w:hanging="420"/>
              <w:rPr>
                <w:rFonts w:hint="default" w:ascii="Times New Roman" w:hAnsi="Times New Roman" w:eastAsia="宋体" w:cs="Times New Roman"/>
                <w:b/>
                <w:szCs w:val="20"/>
              </w:rPr>
            </w:pPr>
          </w:p>
        </w:tc>
        <w:tc>
          <w:tcPr>
            <w:tcW w:w="1590" w:type="dxa"/>
          </w:tcPr>
          <w:p w14:paraId="0F4BCF09">
            <w:pPr>
              <w:ind w:left="420" w:hanging="420"/>
              <w:rPr>
                <w:rFonts w:hint="default" w:ascii="Times New Roman" w:hAnsi="Times New Roman" w:eastAsia="宋体" w:cs="Times New Roman"/>
                <w:b/>
                <w:szCs w:val="20"/>
              </w:rPr>
            </w:pPr>
          </w:p>
        </w:tc>
      </w:tr>
      <w:tr w14:paraId="2F2A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D295DD7">
            <w:pPr>
              <w:ind w:left="420" w:hanging="420"/>
              <w:rPr>
                <w:rFonts w:hint="default" w:ascii="Times New Roman" w:hAnsi="Times New Roman" w:eastAsia="宋体" w:cs="Times New Roman"/>
                <w:b/>
                <w:szCs w:val="20"/>
              </w:rPr>
            </w:pPr>
          </w:p>
        </w:tc>
        <w:tc>
          <w:tcPr>
            <w:tcW w:w="2082" w:type="dxa"/>
          </w:tcPr>
          <w:p w14:paraId="69FB1AE0">
            <w:pPr>
              <w:ind w:left="420" w:hanging="420"/>
              <w:rPr>
                <w:rFonts w:hint="default" w:ascii="Times New Roman" w:hAnsi="Times New Roman" w:eastAsia="宋体" w:cs="Times New Roman"/>
                <w:b/>
                <w:szCs w:val="20"/>
              </w:rPr>
            </w:pPr>
          </w:p>
        </w:tc>
        <w:tc>
          <w:tcPr>
            <w:tcW w:w="1355" w:type="dxa"/>
          </w:tcPr>
          <w:p w14:paraId="08AE2A4C">
            <w:pPr>
              <w:ind w:left="420" w:hanging="420"/>
              <w:rPr>
                <w:rFonts w:hint="default" w:ascii="Times New Roman" w:hAnsi="Times New Roman" w:eastAsia="宋体" w:cs="Times New Roman"/>
                <w:b/>
                <w:szCs w:val="20"/>
              </w:rPr>
            </w:pPr>
          </w:p>
        </w:tc>
        <w:tc>
          <w:tcPr>
            <w:tcW w:w="826" w:type="dxa"/>
          </w:tcPr>
          <w:p w14:paraId="0CE867B0">
            <w:pPr>
              <w:ind w:left="420" w:hanging="420"/>
              <w:rPr>
                <w:rFonts w:hint="default" w:ascii="Times New Roman" w:hAnsi="Times New Roman" w:eastAsia="宋体" w:cs="Times New Roman"/>
                <w:b/>
                <w:szCs w:val="20"/>
              </w:rPr>
            </w:pPr>
          </w:p>
        </w:tc>
        <w:tc>
          <w:tcPr>
            <w:tcW w:w="1320" w:type="dxa"/>
          </w:tcPr>
          <w:p w14:paraId="473E0401">
            <w:pPr>
              <w:ind w:left="420" w:hanging="420"/>
              <w:rPr>
                <w:rFonts w:hint="default" w:ascii="Times New Roman" w:hAnsi="Times New Roman" w:eastAsia="宋体" w:cs="Times New Roman"/>
                <w:b/>
                <w:szCs w:val="20"/>
              </w:rPr>
            </w:pPr>
          </w:p>
        </w:tc>
        <w:tc>
          <w:tcPr>
            <w:tcW w:w="1023" w:type="dxa"/>
          </w:tcPr>
          <w:p w14:paraId="00445EE1">
            <w:pPr>
              <w:ind w:left="420" w:hanging="420"/>
              <w:rPr>
                <w:rFonts w:hint="default" w:ascii="Times New Roman" w:hAnsi="Times New Roman" w:eastAsia="宋体" w:cs="Times New Roman"/>
                <w:b/>
                <w:szCs w:val="20"/>
              </w:rPr>
            </w:pPr>
          </w:p>
        </w:tc>
        <w:tc>
          <w:tcPr>
            <w:tcW w:w="1590" w:type="dxa"/>
          </w:tcPr>
          <w:p w14:paraId="409EC51C">
            <w:pPr>
              <w:ind w:left="420" w:hanging="420"/>
              <w:rPr>
                <w:rFonts w:hint="default" w:ascii="Times New Roman" w:hAnsi="Times New Roman" w:eastAsia="宋体" w:cs="Times New Roman"/>
                <w:b/>
                <w:szCs w:val="20"/>
              </w:rPr>
            </w:pPr>
          </w:p>
        </w:tc>
      </w:tr>
      <w:tr w14:paraId="36F1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438D0B">
            <w:pPr>
              <w:ind w:left="420" w:hanging="420"/>
              <w:rPr>
                <w:rFonts w:hint="default" w:ascii="Times New Roman" w:hAnsi="Times New Roman" w:eastAsia="宋体" w:cs="Times New Roman"/>
                <w:b/>
                <w:szCs w:val="20"/>
              </w:rPr>
            </w:pPr>
          </w:p>
        </w:tc>
        <w:tc>
          <w:tcPr>
            <w:tcW w:w="2082" w:type="dxa"/>
          </w:tcPr>
          <w:p w14:paraId="3EC3CB1C">
            <w:pPr>
              <w:ind w:left="420" w:hanging="420"/>
              <w:rPr>
                <w:rFonts w:hint="default" w:ascii="Times New Roman" w:hAnsi="Times New Roman" w:eastAsia="宋体" w:cs="Times New Roman"/>
                <w:b/>
                <w:szCs w:val="20"/>
              </w:rPr>
            </w:pPr>
          </w:p>
        </w:tc>
        <w:tc>
          <w:tcPr>
            <w:tcW w:w="1355" w:type="dxa"/>
          </w:tcPr>
          <w:p w14:paraId="4170224D">
            <w:pPr>
              <w:ind w:left="420" w:hanging="420"/>
              <w:rPr>
                <w:rFonts w:hint="default" w:ascii="Times New Roman" w:hAnsi="Times New Roman" w:eastAsia="宋体" w:cs="Times New Roman"/>
                <w:b/>
                <w:szCs w:val="20"/>
              </w:rPr>
            </w:pPr>
          </w:p>
        </w:tc>
        <w:tc>
          <w:tcPr>
            <w:tcW w:w="826" w:type="dxa"/>
          </w:tcPr>
          <w:p w14:paraId="539BA68D">
            <w:pPr>
              <w:ind w:left="420" w:hanging="420"/>
              <w:rPr>
                <w:rFonts w:hint="default" w:ascii="Times New Roman" w:hAnsi="Times New Roman" w:eastAsia="宋体" w:cs="Times New Roman"/>
                <w:b/>
                <w:szCs w:val="20"/>
              </w:rPr>
            </w:pPr>
          </w:p>
        </w:tc>
        <w:tc>
          <w:tcPr>
            <w:tcW w:w="1320" w:type="dxa"/>
          </w:tcPr>
          <w:p w14:paraId="301557DB">
            <w:pPr>
              <w:ind w:left="420" w:hanging="420"/>
              <w:rPr>
                <w:rFonts w:hint="default" w:ascii="Times New Roman" w:hAnsi="Times New Roman" w:eastAsia="宋体" w:cs="Times New Roman"/>
                <w:b/>
                <w:szCs w:val="20"/>
              </w:rPr>
            </w:pPr>
          </w:p>
        </w:tc>
        <w:tc>
          <w:tcPr>
            <w:tcW w:w="1023" w:type="dxa"/>
          </w:tcPr>
          <w:p w14:paraId="77869795">
            <w:pPr>
              <w:ind w:left="420" w:hanging="420"/>
              <w:rPr>
                <w:rFonts w:hint="default" w:ascii="Times New Roman" w:hAnsi="Times New Roman" w:eastAsia="宋体" w:cs="Times New Roman"/>
                <w:b/>
                <w:szCs w:val="20"/>
              </w:rPr>
            </w:pPr>
          </w:p>
        </w:tc>
        <w:tc>
          <w:tcPr>
            <w:tcW w:w="1590" w:type="dxa"/>
          </w:tcPr>
          <w:p w14:paraId="30D89ED6">
            <w:pPr>
              <w:ind w:left="420" w:hanging="420"/>
              <w:rPr>
                <w:rFonts w:hint="default" w:ascii="Times New Roman" w:hAnsi="Times New Roman" w:eastAsia="宋体" w:cs="Times New Roman"/>
                <w:b/>
                <w:szCs w:val="20"/>
              </w:rPr>
            </w:pPr>
          </w:p>
        </w:tc>
      </w:tr>
      <w:tr w14:paraId="51DA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AC55DEF">
            <w:pPr>
              <w:ind w:left="420" w:hanging="420"/>
              <w:rPr>
                <w:rFonts w:hint="default" w:ascii="Times New Roman" w:hAnsi="Times New Roman" w:eastAsia="宋体" w:cs="Times New Roman"/>
                <w:b/>
                <w:szCs w:val="20"/>
              </w:rPr>
            </w:pPr>
          </w:p>
        </w:tc>
        <w:tc>
          <w:tcPr>
            <w:tcW w:w="2082" w:type="dxa"/>
          </w:tcPr>
          <w:p w14:paraId="6233024D">
            <w:pPr>
              <w:ind w:left="420" w:hanging="420"/>
              <w:rPr>
                <w:rFonts w:hint="default" w:ascii="Times New Roman" w:hAnsi="Times New Roman" w:eastAsia="宋体" w:cs="Times New Roman"/>
                <w:b/>
                <w:szCs w:val="20"/>
              </w:rPr>
            </w:pPr>
          </w:p>
        </w:tc>
        <w:tc>
          <w:tcPr>
            <w:tcW w:w="1355" w:type="dxa"/>
          </w:tcPr>
          <w:p w14:paraId="08C08D2C">
            <w:pPr>
              <w:ind w:left="420" w:hanging="420"/>
              <w:rPr>
                <w:rFonts w:hint="default" w:ascii="Times New Roman" w:hAnsi="Times New Roman" w:eastAsia="宋体" w:cs="Times New Roman"/>
                <w:b/>
                <w:szCs w:val="20"/>
              </w:rPr>
            </w:pPr>
          </w:p>
        </w:tc>
        <w:tc>
          <w:tcPr>
            <w:tcW w:w="826" w:type="dxa"/>
          </w:tcPr>
          <w:p w14:paraId="659E7B7F">
            <w:pPr>
              <w:ind w:left="420" w:hanging="420"/>
              <w:rPr>
                <w:rFonts w:hint="default" w:ascii="Times New Roman" w:hAnsi="Times New Roman" w:eastAsia="宋体" w:cs="Times New Roman"/>
                <w:b/>
                <w:szCs w:val="20"/>
              </w:rPr>
            </w:pPr>
          </w:p>
        </w:tc>
        <w:tc>
          <w:tcPr>
            <w:tcW w:w="1320" w:type="dxa"/>
          </w:tcPr>
          <w:p w14:paraId="74B878BF">
            <w:pPr>
              <w:ind w:left="420" w:hanging="420"/>
              <w:rPr>
                <w:rFonts w:hint="default" w:ascii="Times New Roman" w:hAnsi="Times New Roman" w:eastAsia="宋体" w:cs="Times New Roman"/>
                <w:b/>
                <w:szCs w:val="20"/>
              </w:rPr>
            </w:pPr>
          </w:p>
        </w:tc>
        <w:tc>
          <w:tcPr>
            <w:tcW w:w="1023" w:type="dxa"/>
          </w:tcPr>
          <w:p w14:paraId="534C8952">
            <w:pPr>
              <w:ind w:left="420" w:hanging="420"/>
              <w:rPr>
                <w:rFonts w:hint="default" w:ascii="Times New Roman" w:hAnsi="Times New Roman" w:eastAsia="宋体" w:cs="Times New Roman"/>
                <w:b/>
                <w:szCs w:val="20"/>
              </w:rPr>
            </w:pPr>
          </w:p>
        </w:tc>
        <w:tc>
          <w:tcPr>
            <w:tcW w:w="1590" w:type="dxa"/>
          </w:tcPr>
          <w:p w14:paraId="71FDCF38">
            <w:pPr>
              <w:ind w:left="420" w:hanging="420"/>
              <w:rPr>
                <w:rFonts w:hint="default" w:ascii="Times New Roman" w:hAnsi="Times New Roman" w:eastAsia="宋体" w:cs="Times New Roman"/>
                <w:b/>
                <w:szCs w:val="20"/>
              </w:rPr>
            </w:pPr>
          </w:p>
        </w:tc>
      </w:tr>
      <w:tr w14:paraId="5996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7AEB6216">
            <w:pPr>
              <w:ind w:left="420" w:hanging="420"/>
              <w:rPr>
                <w:rFonts w:hint="default" w:ascii="Times New Roman" w:hAnsi="Times New Roman" w:eastAsia="宋体" w:cs="Times New Roman"/>
                <w:b/>
                <w:szCs w:val="20"/>
              </w:rPr>
            </w:pPr>
            <w:r>
              <w:rPr>
                <w:rFonts w:hint="default" w:ascii="Times New Roman" w:hAnsi="Times New Roman" w:eastAsia="宋体" w:cs="Times New Roman"/>
                <w:b/>
                <w:szCs w:val="20"/>
              </w:rPr>
              <w:t>202</w:t>
            </w:r>
            <w:r>
              <w:rPr>
                <w:rFonts w:hint="eastAsia" w:cs="Times New Roman"/>
                <w:b/>
                <w:szCs w:val="20"/>
                <w:lang w:val="en-US" w:eastAsia="zh-CN"/>
              </w:rPr>
              <w:t>3</w:t>
            </w:r>
            <w:r>
              <w:rPr>
                <w:rFonts w:hint="default" w:ascii="Times New Roman" w:hAnsi="Times New Roman" w:eastAsia="宋体" w:cs="Times New Roman"/>
                <w:b/>
                <w:szCs w:val="20"/>
              </w:rPr>
              <w:t>年1月1日至今所有业绩合同总额汇总（必填）</w:t>
            </w:r>
          </w:p>
        </w:tc>
        <w:tc>
          <w:tcPr>
            <w:tcW w:w="826" w:type="dxa"/>
          </w:tcPr>
          <w:p w14:paraId="6F01196E">
            <w:pPr>
              <w:ind w:left="420" w:hanging="420"/>
              <w:rPr>
                <w:rFonts w:hint="default" w:ascii="Times New Roman" w:hAnsi="Times New Roman" w:eastAsia="宋体" w:cs="Times New Roman"/>
                <w:b/>
                <w:szCs w:val="20"/>
              </w:rPr>
            </w:pPr>
          </w:p>
        </w:tc>
        <w:tc>
          <w:tcPr>
            <w:tcW w:w="1320" w:type="dxa"/>
          </w:tcPr>
          <w:p w14:paraId="17910261">
            <w:pPr>
              <w:ind w:left="420" w:hanging="420"/>
              <w:rPr>
                <w:rFonts w:hint="default" w:ascii="Times New Roman" w:hAnsi="Times New Roman" w:eastAsia="宋体" w:cs="Times New Roman"/>
                <w:b/>
                <w:szCs w:val="20"/>
              </w:rPr>
            </w:pPr>
          </w:p>
        </w:tc>
        <w:tc>
          <w:tcPr>
            <w:tcW w:w="1023" w:type="dxa"/>
          </w:tcPr>
          <w:p w14:paraId="78B61991">
            <w:pPr>
              <w:ind w:left="420" w:hanging="420"/>
              <w:rPr>
                <w:rFonts w:hint="default" w:ascii="Times New Roman" w:hAnsi="Times New Roman" w:eastAsia="宋体" w:cs="Times New Roman"/>
                <w:b/>
                <w:szCs w:val="20"/>
              </w:rPr>
            </w:pPr>
          </w:p>
        </w:tc>
        <w:tc>
          <w:tcPr>
            <w:tcW w:w="1590" w:type="dxa"/>
          </w:tcPr>
          <w:p w14:paraId="36683666">
            <w:pPr>
              <w:ind w:left="420" w:hanging="420"/>
              <w:rPr>
                <w:rFonts w:hint="default" w:ascii="Times New Roman" w:hAnsi="Times New Roman" w:eastAsia="宋体" w:cs="Times New Roman"/>
                <w:b/>
                <w:szCs w:val="20"/>
              </w:rPr>
            </w:pPr>
          </w:p>
        </w:tc>
      </w:tr>
    </w:tbl>
    <w:p w14:paraId="32C6DDCA">
      <w:pPr>
        <w:spacing w:line="240" w:lineRule="atLeas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注：</w:t>
      </w:r>
      <w:r>
        <w:rPr>
          <w:rFonts w:hint="default" w:ascii="Times New Roman" w:hAnsi="Times New Roman" w:eastAsia="宋体" w:cs="Times New Roman"/>
          <w:kern w:val="0"/>
          <w:sz w:val="24"/>
          <w:szCs w:val="20"/>
        </w:rPr>
        <w:t>提供202</w:t>
      </w:r>
      <w:r>
        <w:rPr>
          <w:rFonts w:hint="eastAsia" w:cs="Times New Roman"/>
          <w:kern w:val="0"/>
          <w:sz w:val="24"/>
          <w:szCs w:val="20"/>
          <w:lang w:val="en-US" w:eastAsia="zh-CN"/>
        </w:rPr>
        <w:t>3</w:t>
      </w:r>
      <w:r>
        <w:rPr>
          <w:rFonts w:hint="default" w:ascii="Times New Roman" w:hAnsi="Times New Roman" w:eastAsia="宋体" w:cs="Times New Roman"/>
          <w:kern w:val="0"/>
          <w:sz w:val="24"/>
          <w:szCs w:val="20"/>
        </w:rPr>
        <w:t>年1月1日以来同类产品的制造销售业绩（用户名单、联系方式）</w:t>
      </w:r>
      <w:r>
        <w:rPr>
          <w:rFonts w:hint="default" w:ascii="Times New Roman" w:hAnsi="Times New Roman" w:eastAsia="宋体" w:cs="Times New Roman"/>
          <w:sz w:val="24"/>
          <w:szCs w:val="20"/>
        </w:rPr>
        <w:t>，并附合同复印件。</w:t>
      </w:r>
      <w:r>
        <w:rPr>
          <w:rFonts w:hint="default" w:ascii="Times New Roman" w:hAnsi="Times New Roman" w:eastAsia="宋体" w:cs="Times New Roman"/>
          <w:kern w:val="0"/>
          <w:sz w:val="24"/>
          <w:szCs w:val="20"/>
        </w:rPr>
        <w:t>该同类项目业绩一览表</w:t>
      </w:r>
      <w:r>
        <w:rPr>
          <w:rFonts w:hint="default" w:ascii="Times New Roman" w:hAnsi="Times New Roman" w:eastAsia="宋体" w:cs="Times New Roman"/>
          <w:b/>
          <w:bCs/>
          <w:kern w:val="0"/>
          <w:sz w:val="24"/>
          <w:szCs w:val="20"/>
        </w:rPr>
        <w:t>必须如实填写，应全尽全</w:t>
      </w:r>
      <w:r>
        <w:rPr>
          <w:rFonts w:hint="default" w:ascii="Times New Roman" w:hAnsi="Times New Roman" w:eastAsia="宋体" w:cs="Times New Roman"/>
          <w:kern w:val="0"/>
          <w:sz w:val="24"/>
          <w:szCs w:val="20"/>
        </w:rPr>
        <w:t>；一览表最终的所有业绩</w:t>
      </w:r>
      <w:r>
        <w:rPr>
          <w:rFonts w:hint="default" w:ascii="Times New Roman" w:hAnsi="Times New Roman" w:eastAsia="宋体" w:cs="Times New Roman"/>
          <w:b/>
          <w:bCs/>
          <w:kern w:val="0"/>
          <w:sz w:val="24"/>
          <w:szCs w:val="20"/>
        </w:rPr>
        <w:t>合同总额汇总必填</w:t>
      </w:r>
      <w:r>
        <w:rPr>
          <w:rFonts w:hint="default" w:ascii="Times New Roman" w:hAnsi="Times New Roman" w:eastAsia="宋体" w:cs="Times New Roman"/>
          <w:kern w:val="0"/>
          <w:sz w:val="24"/>
          <w:szCs w:val="20"/>
        </w:rPr>
        <w:t>，此项很重要，数据将影响现场评标专家组对投标单位的业绩考评。若未提供相应业绩证明，根据技术标评分规则，将影响现场评标专家组对投标单位业绩判定打分</w:t>
      </w:r>
      <w:r>
        <w:rPr>
          <w:rFonts w:hint="default" w:ascii="Times New Roman" w:hAnsi="Times New Roman" w:eastAsia="宋体" w:cs="Times New Roman"/>
          <w:sz w:val="24"/>
          <w:szCs w:val="20"/>
        </w:rPr>
        <w:t>。</w:t>
      </w:r>
    </w:p>
    <w:p w14:paraId="6CDB0B02">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65BC160B">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618AB9E8">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0893615">
      <w:pPr>
        <w:rPr>
          <w:rFonts w:hint="default" w:ascii="Times New Roman" w:hAnsi="Times New Roman" w:eastAsia="宋体" w:cs="Times New Roman"/>
          <w:sz w:val="24"/>
          <w:szCs w:val="20"/>
        </w:rPr>
      </w:pPr>
      <w:r>
        <w:rPr>
          <w:rFonts w:hint="default" w:ascii="Times New Roman" w:hAnsi="Times New Roman" w:eastAsia="宋体" w:cs="Times New Roman"/>
          <w:sz w:val="24"/>
          <w:szCs w:val="20"/>
        </w:rPr>
        <w:br w:type="page"/>
      </w:r>
    </w:p>
    <w:p w14:paraId="0F9E929E">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附件7 设备质量承诺函</w:t>
      </w:r>
    </w:p>
    <w:p w14:paraId="2BFFA69E">
      <w:pPr>
        <w:spacing w:line="240" w:lineRule="exact"/>
        <w:rPr>
          <w:rFonts w:hint="default" w:ascii="Times New Roman" w:hAnsi="Times New Roman" w:eastAsia="宋体" w:cs="Times New Roman"/>
          <w:szCs w:val="20"/>
        </w:rPr>
      </w:pPr>
      <w:r>
        <w:rPr>
          <w:rFonts w:hint="default" w:ascii="Times New Roman" w:hAnsi="Times New Roman" w:eastAsia="宋体" w:cs="Times New Roman"/>
          <w:szCs w:val="20"/>
        </w:rPr>
        <w:t xml:space="preserve">                                               </w:t>
      </w:r>
    </w:p>
    <w:p w14:paraId="3501A1CD">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 xml:space="preserve">项目名称: </w:t>
      </w:r>
      <w:r>
        <w:rPr>
          <w:rFonts w:hint="default" w:ascii="Times New Roman" w:hAnsi="Times New Roman" w:eastAsia="宋体" w:cs="Times New Roman"/>
          <w:b w:val="0"/>
          <w:bCs w:val="0"/>
          <w:sz w:val="24"/>
          <w:szCs w:val="20"/>
          <w:u w:val="single"/>
        </w:rPr>
        <w:t xml:space="preserve"> </w:t>
      </w:r>
      <w:r>
        <w:rPr>
          <w:rFonts w:hint="eastAsia" w:cs="Times New Roman"/>
          <w:b w:val="0"/>
          <w:bCs w:val="0"/>
          <w:color w:val="000000"/>
          <w:sz w:val="24"/>
          <w:szCs w:val="24"/>
          <w:u w:val="single"/>
          <w:lang w:val="en-US" w:eastAsia="zh-CN"/>
        </w:rPr>
        <w:t>济南成型厂110kV变电站通讯系统更新改造技改项目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336553BA">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610AF471">
      <w:pPr>
        <w:spacing w:line="360" w:lineRule="auto"/>
        <w:ind w:firstLine="480" w:firstLineChars="2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我代表(投标单位名称)为保证中标产品的质量特作如下承诺：</w:t>
      </w:r>
    </w:p>
    <w:p w14:paraId="174735A9">
      <w:pPr>
        <w:spacing w:line="360" w:lineRule="auto"/>
        <w:ind w:firstLine="480" w:firstLineChars="200"/>
        <w:rPr>
          <w:rFonts w:hint="default" w:ascii="Times New Roman" w:hAnsi="Times New Roman" w:eastAsia="宋体" w:cs="Times New Roman"/>
          <w:sz w:val="24"/>
          <w:szCs w:val="20"/>
          <w:u w:val="none"/>
        </w:rPr>
      </w:pPr>
    </w:p>
    <w:p w14:paraId="043264A8">
      <w:pPr>
        <w:spacing w:line="360" w:lineRule="auto"/>
        <w:ind w:firstLine="480" w:firstLineChars="200"/>
        <w:rPr>
          <w:rFonts w:hint="default" w:ascii="Times New Roman" w:hAnsi="Times New Roman" w:eastAsia="宋体" w:cs="Times New Roman"/>
          <w:sz w:val="24"/>
          <w:szCs w:val="20"/>
          <w:u w:val="none"/>
        </w:rPr>
      </w:pPr>
    </w:p>
    <w:p w14:paraId="23E276FD">
      <w:pPr>
        <w:spacing w:line="360" w:lineRule="auto"/>
        <w:ind w:firstLine="480" w:firstLineChars="200"/>
        <w:rPr>
          <w:rFonts w:hint="default" w:ascii="Times New Roman" w:hAnsi="Times New Roman" w:eastAsia="宋体" w:cs="Times New Roman"/>
          <w:sz w:val="24"/>
          <w:szCs w:val="20"/>
          <w:u w:val="none"/>
        </w:rPr>
      </w:pPr>
    </w:p>
    <w:p w14:paraId="73169CF0">
      <w:pPr>
        <w:spacing w:line="360" w:lineRule="auto"/>
        <w:ind w:firstLine="480" w:firstLineChars="200"/>
        <w:rPr>
          <w:rFonts w:hint="default" w:ascii="Times New Roman" w:hAnsi="Times New Roman" w:eastAsia="宋体" w:cs="Times New Roman"/>
          <w:sz w:val="24"/>
          <w:szCs w:val="20"/>
          <w:u w:val="none"/>
        </w:rPr>
      </w:pPr>
    </w:p>
    <w:p w14:paraId="18A945DF">
      <w:pPr>
        <w:spacing w:line="360" w:lineRule="auto"/>
        <w:ind w:firstLine="480" w:firstLineChars="200"/>
        <w:rPr>
          <w:rFonts w:hint="default" w:ascii="Times New Roman" w:hAnsi="Times New Roman" w:eastAsia="宋体" w:cs="Times New Roman"/>
          <w:sz w:val="24"/>
          <w:szCs w:val="20"/>
          <w:u w:val="none"/>
        </w:rPr>
      </w:pPr>
    </w:p>
    <w:p w14:paraId="72107B8F">
      <w:pPr>
        <w:spacing w:line="360" w:lineRule="auto"/>
        <w:ind w:firstLine="480" w:firstLineChars="200"/>
        <w:rPr>
          <w:rFonts w:hint="default" w:ascii="Times New Roman" w:hAnsi="Times New Roman" w:eastAsia="宋体" w:cs="Times New Roman"/>
          <w:sz w:val="24"/>
          <w:szCs w:val="20"/>
          <w:u w:val="none"/>
        </w:rPr>
      </w:pPr>
    </w:p>
    <w:p w14:paraId="09B1AA45">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1346C3BB">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752B0D39">
      <w:pPr>
        <w:rPr>
          <w:rFonts w:hint="default" w:ascii="Times New Roman" w:hAnsi="Times New Roman" w:eastAsia="宋体" w:cs="Times New Roman"/>
          <w:b/>
          <w:bCs/>
          <w:color w:val="000000"/>
          <w:sz w:val="28"/>
          <w:szCs w:val="20"/>
        </w:rPr>
      </w:pPr>
    </w:p>
    <w:p w14:paraId="3FD6D284">
      <w:pPr>
        <w:rPr>
          <w:rFonts w:hint="default" w:ascii="Times New Roman" w:hAnsi="Times New Roman" w:cs="Times New Roman"/>
        </w:rPr>
        <w:sectPr>
          <w:footerReference r:id="rId11" w:type="first"/>
          <w:footerReference r:id="rId10"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6C9A584">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384B6503">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0523C92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highlight w:val="none"/>
        </w:rPr>
        <w:t>项目名称：</w:t>
      </w:r>
      <w:r>
        <w:rPr>
          <w:rFonts w:hint="eastAsia" w:cs="Times New Roman"/>
          <w:b w:val="0"/>
          <w:bCs w:val="0"/>
          <w:color w:val="000000"/>
          <w:sz w:val="24"/>
          <w:szCs w:val="24"/>
          <w:u w:val="single"/>
          <w:lang w:val="en-US" w:eastAsia="zh-CN"/>
        </w:rPr>
        <w:t>济南成型厂110kV变电站通讯系统更新改造技改项目</w:t>
      </w:r>
      <w:r>
        <w:rPr>
          <w:rFonts w:ascii="宋体" w:hAnsi="宋体" w:eastAsia="宋体" w:cs="Times New Roman"/>
          <w:color w:val="000000"/>
          <w:sz w:val="24"/>
          <w:szCs w:val="24"/>
          <w:highlight w:val="none"/>
        </w:rPr>
        <w:t xml:space="preserve">  </w:t>
      </w:r>
      <w:r>
        <w:rPr>
          <w:rFonts w:ascii="宋体" w:hAnsi="宋体" w:eastAsia="宋体" w:cs="Times New Roman"/>
          <w:color w:val="000000"/>
          <w:sz w:val="24"/>
          <w:szCs w:val="24"/>
        </w:rPr>
        <w:t xml:space="preserve">                                                </w:t>
      </w:r>
    </w:p>
    <w:tbl>
      <w:tblPr>
        <w:tblStyle w:val="4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635E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AC10DD">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583125A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11A77C9">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A435BAE">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304174B1">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667E1D83">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0B2817CD">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73F8CB93">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14:paraId="10322922">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14:paraId="4A73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7B8537DF">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20C3B2E0">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eastAsia="zh-CN"/>
              </w:rPr>
              <w:t>济南成型厂110kV变电站通讯系统更新改造技改项目</w:t>
            </w:r>
          </w:p>
        </w:tc>
        <w:tc>
          <w:tcPr>
            <w:tcW w:w="848" w:type="dxa"/>
            <w:vAlign w:val="center"/>
          </w:tcPr>
          <w:p w14:paraId="73B557A8">
            <w:pPr>
              <w:jc w:val="center"/>
              <w:rPr>
                <w:rFonts w:hint="eastAsia" w:ascii="Times New Roman" w:hAnsi="Times New Roman" w:eastAsia="宋体" w:cs="Times New Roman"/>
                <w:b/>
                <w:szCs w:val="20"/>
                <w:highlight w:val="none"/>
                <w:lang w:eastAsia="zh-CN"/>
              </w:rPr>
            </w:pPr>
            <w:r>
              <w:rPr>
                <w:rFonts w:hint="eastAsia" w:cs="Times New Roman"/>
                <w:b/>
                <w:szCs w:val="20"/>
                <w:highlight w:val="none"/>
                <w:lang w:val="en-US" w:eastAsia="zh-CN"/>
              </w:rPr>
              <w:t>2</w:t>
            </w:r>
          </w:p>
        </w:tc>
        <w:tc>
          <w:tcPr>
            <w:tcW w:w="2270" w:type="dxa"/>
            <w:vAlign w:val="center"/>
          </w:tcPr>
          <w:p w14:paraId="2DF76E64">
            <w:pPr>
              <w:jc w:val="center"/>
              <w:rPr>
                <w:rFonts w:ascii="等线" w:hAnsi="等线" w:eastAsia="等线" w:cs="Times New Roman"/>
                <w:b/>
                <w:szCs w:val="20"/>
              </w:rPr>
            </w:pPr>
            <w:r>
              <w:rPr>
                <w:rFonts w:hint="eastAsia" w:ascii="等线" w:hAnsi="等线" w:eastAsia="等线" w:cs="Times New Roman"/>
                <w:b/>
                <w:szCs w:val="20"/>
              </w:rPr>
              <w:t>不含税价：</w:t>
            </w:r>
          </w:p>
          <w:p w14:paraId="497C7670">
            <w:pPr>
              <w:jc w:val="center"/>
              <w:rPr>
                <w:rFonts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229B43BF">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7FC1840E">
            <w:pPr>
              <w:jc w:val="center"/>
              <w:rPr>
                <w:rFonts w:ascii="Times New Roman" w:hAnsi="Times New Roman" w:eastAsia="宋体" w:cs="Times New Roman"/>
                <w:b/>
                <w:szCs w:val="20"/>
              </w:rPr>
            </w:pPr>
          </w:p>
        </w:tc>
        <w:tc>
          <w:tcPr>
            <w:tcW w:w="1243" w:type="dxa"/>
            <w:vAlign w:val="center"/>
          </w:tcPr>
          <w:p w14:paraId="09B0322D">
            <w:pPr>
              <w:jc w:val="center"/>
              <w:rPr>
                <w:rFonts w:ascii="Times New Roman" w:hAnsi="Times New Roman" w:eastAsia="宋体" w:cs="Times New Roman"/>
                <w:b/>
                <w:szCs w:val="20"/>
              </w:rPr>
            </w:pPr>
          </w:p>
        </w:tc>
        <w:tc>
          <w:tcPr>
            <w:tcW w:w="705" w:type="dxa"/>
            <w:vAlign w:val="center"/>
          </w:tcPr>
          <w:p w14:paraId="1BB7458D">
            <w:pPr>
              <w:jc w:val="center"/>
              <w:rPr>
                <w:rFonts w:ascii="Times New Roman" w:hAnsi="Times New Roman" w:eastAsia="宋体" w:cs="Times New Roman"/>
                <w:b/>
                <w:szCs w:val="20"/>
              </w:rPr>
            </w:pPr>
          </w:p>
        </w:tc>
        <w:tc>
          <w:tcPr>
            <w:tcW w:w="699" w:type="dxa"/>
            <w:vAlign w:val="center"/>
          </w:tcPr>
          <w:p w14:paraId="33DDFA5C">
            <w:pPr>
              <w:jc w:val="center"/>
              <w:rPr>
                <w:rFonts w:ascii="Times New Roman" w:hAnsi="Times New Roman" w:eastAsia="宋体" w:cs="Times New Roman"/>
                <w:b/>
                <w:szCs w:val="20"/>
              </w:rPr>
            </w:pPr>
          </w:p>
        </w:tc>
      </w:tr>
    </w:tbl>
    <w:p w14:paraId="6981D4FB">
      <w:pPr>
        <w:rPr>
          <w:rFonts w:ascii="宋体" w:hAnsi="Arial" w:eastAsia="宋体" w:cs="Times New Roman"/>
          <w:sz w:val="24"/>
          <w:szCs w:val="24"/>
        </w:rPr>
      </w:pPr>
    </w:p>
    <w:p w14:paraId="2FCDF5E5">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54C944DD">
      <w:pPr>
        <w:numPr>
          <w:ilvl w:val="0"/>
          <w:numId w:val="14"/>
        </w:numPr>
        <w:spacing w:line="520" w:lineRule="exact"/>
        <w:rPr>
          <w:rFonts w:hint="eastAsia" w:ascii="宋体" w:hAnsi="宋体" w:eastAsia="宋体" w:cs="Times New Roman"/>
          <w:b/>
          <w:bCs/>
          <w:szCs w:val="21"/>
        </w:rPr>
      </w:pPr>
      <w:r>
        <w:rPr>
          <w:rFonts w:hint="eastAsia" w:ascii="宋体" w:hAnsi="宋体" w:eastAsia="宋体" w:cs="Times New Roman"/>
          <w:b/>
          <w:bCs/>
          <w:szCs w:val="21"/>
        </w:rPr>
        <w:t>此表中的报价必须与相应的报价明细表中的报价一致。</w:t>
      </w:r>
    </w:p>
    <w:p w14:paraId="5065E721">
      <w:pPr>
        <w:numPr>
          <w:ilvl w:val="0"/>
          <w:numId w:val="14"/>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rPr>
        <w:t>需写明含税价、不含税价格、税率。</w:t>
      </w:r>
    </w:p>
    <w:p w14:paraId="17C22711">
      <w:pPr>
        <w:numPr>
          <w:ilvl w:val="0"/>
          <w:numId w:val="14"/>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投标总价大写为必填项，如发生大小写不一致，以大写为准。</w:t>
      </w:r>
    </w:p>
    <w:p w14:paraId="76A353FD">
      <w:pPr>
        <w:numPr>
          <w:ilvl w:val="0"/>
          <w:numId w:val="14"/>
        </w:num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投标总价包括全部（全新）产品价、表面处理费用、运杂费（包括现场卸车费）、设计、制造、安装、调试（含现场调试）、包装运输费、验收、技术及售后服务费、技术资料费、备品备件费等所有费用的总和。</w:t>
      </w:r>
    </w:p>
    <w:p w14:paraId="224AB3C7">
      <w:pPr>
        <w:pStyle w:val="24"/>
        <w:rPr>
          <w:rFonts w:hAnsi="宋体" w:eastAsia="宋体" w:cs="Times New Roman"/>
          <w:b/>
          <w:bCs/>
          <w:szCs w:val="21"/>
        </w:rPr>
      </w:pPr>
    </w:p>
    <w:p w14:paraId="75B06B6F">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14E1422C">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39167BE">
      <w:pPr>
        <w:spacing w:line="660" w:lineRule="exact"/>
        <w:rPr>
          <w:rFonts w:hint="eastAsia" w:ascii="宋体" w:hAnsi="宋体"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036DDC8">
      <w:pPr>
        <w:pStyle w:val="24"/>
        <w:rPr>
          <w:rFonts w:hint="eastAsia" w:ascii="宋体" w:hAnsi="宋体" w:eastAsia="宋体" w:cs="Times New Roman"/>
          <w:sz w:val="24"/>
          <w:szCs w:val="20"/>
        </w:rPr>
        <w:sectPr>
          <w:pgSz w:w="11906" w:h="16838"/>
          <w:pgMar w:top="1588" w:right="1418" w:bottom="1134" w:left="1418" w:header="851" w:footer="992" w:gutter="0"/>
          <w:cols w:space="720" w:num="1"/>
          <w:titlePg/>
          <w:docGrid w:type="lines" w:linePitch="312" w:charSpace="0"/>
        </w:sectPr>
      </w:pPr>
    </w:p>
    <w:p w14:paraId="7823C364">
      <w:pPr>
        <w:pStyle w:val="5"/>
        <w:spacing w:after="0" w:line="240" w:lineRule="auto"/>
        <w:jc w:val="left"/>
        <w:rPr>
          <w:rFonts w:hint="eastAsia" w:ascii="宋体" w:hAnsi="宋体" w:eastAsia="宋体" w:cs="宋体"/>
          <w:spacing w:val="8"/>
          <w:sz w:val="24"/>
          <w:szCs w:val="24"/>
          <w:lang w:eastAsia="zh-CN"/>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4DD9131F">
      <w:pPr>
        <w:pStyle w:val="24"/>
        <w:jc w:val="center"/>
        <w:rPr>
          <w:rFonts w:hint="eastAsia" w:ascii="宋体" w:hAnsi="宋体" w:eastAsia="宋体" w:cs="Times New Roman"/>
          <w:sz w:val="24"/>
          <w:szCs w:val="20"/>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tbl>
      <w:tblPr>
        <w:tblStyle w:val="48"/>
        <w:tblW w:w="53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400"/>
        <w:gridCol w:w="1443"/>
        <w:gridCol w:w="823"/>
        <w:gridCol w:w="811"/>
        <w:gridCol w:w="1488"/>
        <w:gridCol w:w="1936"/>
      </w:tblGrid>
      <w:tr w14:paraId="42D6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486" w:type="pct"/>
            <w:vAlign w:val="center"/>
          </w:tcPr>
          <w:p w14:paraId="6E6BAE3F">
            <w:pPr>
              <w:pStyle w:val="20"/>
              <w:bidi w:val="0"/>
              <w:jc w:val="center"/>
              <w:rPr>
                <w:rFonts w:hint="eastAsia"/>
                <w:highlight w:val="none"/>
              </w:rPr>
            </w:pPr>
            <w:r>
              <w:rPr>
                <w:rFonts w:hint="eastAsia"/>
                <w:highlight w:val="none"/>
              </w:rPr>
              <w:t>序号</w:t>
            </w:r>
          </w:p>
        </w:tc>
        <w:tc>
          <w:tcPr>
            <w:tcW w:w="1217" w:type="pct"/>
            <w:vAlign w:val="center"/>
          </w:tcPr>
          <w:p w14:paraId="073EFC87">
            <w:pPr>
              <w:pStyle w:val="20"/>
              <w:bidi w:val="0"/>
              <w:jc w:val="center"/>
              <w:rPr>
                <w:rFonts w:hint="eastAsia"/>
                <w:highlight w:val="none"/>
              </w:rPr>
            </w:pPr>
            <w:r>
              <w:rPr>
                <w:rFonts w:hint="eastAsia"/>
                <w:highlight w:val="none"/>
              </w:rPr>
              <w:t>名称</w:t>
            </w:r>
          </w:p>
        </w:tc>
        <w:tc>
          <w:tcPr>
            <w:tcW w:w="731" w:type="pct"/>
            <w:vAlign w:val="center"/>
          </w:tcPr>
          <w:p w14:paraId="54876B8A">
            <w:pPr>
              <w:pStyle w:val="20"/>
              <w:bidi w:val="0"/>
              <w:jc w:val="center"/>
              <w:rPr>
                <w:rFonts w:hint="default"/>
                <w:highlight w:val="none"/>
                <w:lang w:val="en-US" w:eastAsia="zh-CN"/>
              </w:rPr>
            </w:pPr>
            <w:r>
              <w:rPr>
                <w:rFonts w:hint="eastAsia"/>
                <w:highlight w:val="none"/>
                <w:lang w:val="en-US" w:eastAsia="zh-CN"/>
              </w:rPr>
              <w:t>未税单价（元）</w:t>
            </w:r>
          </w:p>
        </w:tc>
        <w:tc>
          <w:tcPr>
            <w:tcW w:w="417" w:type="pct"/>
            <w:vAlign w:val="center"/>
          </w:tcPr>
          <w:p w14:paraId="1726F5DA">
            <w:pPr>
              <w:pStyle w:val="20"/>
              <w:bidi w:val="0"/>
              <w:jc w:val="center"/>
              <w:rPr>
                <w:rFonts w:hint="eastAsia"/>
                <w:highlight w:val="none"/>
              </w:rPr>
            </w:pPr>
            <w:r>
              <w:rPr>
                <w:rFonts w:hint="eastAsia"/>
                <w:highlight w:val="none"/>
              </w:rPr>
              <w:t>单位</w:t>
            </w:r>
          </w:p>
        </w:tc>
        <w:tc>
          <w:tcPr>
            <w:tcW w:w="411" w:type="pct"/>
            <w:vAlign w:val="center"/>
          </w:tcPr>
          <w:p w14:paraId="13943F65">
            <w:pPr>
              <w:pStyle w:val="20"/>
              <w:bidi w:val="0"/>
              <w:jc w:val="center"/>
              <w:rPr>
                <w:rFonts w:hint="eastAsia"/>
                <w:highlight w:val="none"/>
              </w:rPr>
            </w:pPr>
            <w:r>
              <w:rPr>
                <w:rFonts w:hint="eastAsia"/>
                <w:highlight w:val="none"/>
              </w:rPr>
              <w:t>数量</w:t>
            </w:r>
          </w:p>
        </w:tc>
        <w:tc>
          <w:tcPr>
            <w:tcW w:w="754" w:type="pct"/>
            <w:vAlign w:val="center"/>
          </w:tcPr>
          <w:p w14:paraId="79D8A4C3">
            <w:pPr>
              <w:pStyle w:val="20"/>
              <w:bidi w:val="0"/>
              <w:jc w:val="center"/>
              <w:rPr>
                <w:rFonts w:hint="eastAsia"/>
                <w:highlight w:val="none"/>
              </w:rPr>
            </w:pPr>
            <w:r>
              <w:rPr>
                <w:rFonts w:hint="eastAsia"/>
                <w:highlight w:val="none"/>
                <w:lang w:val="en-US" w:eastAsia="zh-CN"/>
              </w:rPr>
              <w:t>未税总价（元）</w:t>
            </w:r>
          </w:p>
        </w:tc>
        <w:tc>
          <w:tcPr>
            <w:tcW w:w="981" w:type="pct"/>
            <w:vAlign w:val="center"/>
          </w:tcPr>
          <w:p w14:paraId="6E2C171B">
            <w:pPr>
              <w:pStyle w:val="20"/>
              <w:bidi w:val="0"/>
              <w:jc w:val="center"/>
              <w:rPr>
                <w:rFonts w:hint="eastAsia"/>
                <w:highlight w:val="none"/>
              </w:rPr>
            </w:pPr>
            <w:r>
              <w:rPr>
                <w:rFonts w:hint="eastAsia"/>
                <w:highlight w:val="none"/>
              </w:rPr>
              <w:t>备注</w:t>
            </w:r>
          </w:p>
        </w:tc>
      </w:tr>
      <w:tr w14:paraId="1828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0C2994BC">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4369586A">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236187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4677E7A4">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4C101F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31A9BFD5">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7A88A767">
            <w:pPr>
              <w:spacing w:line="360" w:lineRule="exact"/>
              <w:jc w:val="left"/>
              <w:rPr>
                <w:rFonts w:hint="eastAsia" w:asciiTheme="minorEastAsia" w:hAnsiTheme="minorEastAsia" w:eastAsiaTheme="minorEastAsia" w:cstheme="minorEastAsia"/>
                <w:sz w:val="24"/>
                <w:szCs w:val="24"/>
                <w:highlight w:val="none"/>
              </w:rPr>
            </w:pPr>
          </w:p>
        </w:tc>
      </w:tr>
      <w:tr w14:paraId="343C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4D6967BA">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6C5A532A">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698F677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0FB9604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E83CD96">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14234385">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4C6E66CA">
            <w:pPr>
              <w:spacing w:line="360" w:lineRule="exact"/>
              <w:jc w:val="left"/>
              <w:rPr>
                <w:rFonts w:hint="eastAsia" w:asciiTheme="minorEastAsia" w:hAnsiTheme="minorEastAsia" w:eastAsiaTheme="minorEastAsia" w:cstheme="minorEastAsia"/>
                <w:sz w:val="24"/>
                <w:szCs w:val="24"/>
                <w:highlight w:val="none"/>
              </w:rPr>
            </w:pPr>
          </w:p>
        </w:tc>
      </w:tr>
      <w:tr w14:paraId="25F1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188C257">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6D064DC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38998F59">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20D1550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5AA6B93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5F6FF0F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1881E145">
            <w:pPr>
              <w:spacing w:line="360" w:lineRule="exact"/>
              <w:jc w:val="left"/>
              <w:rPr>
                <w:rFonts w:hint="eastAsia" w:asciiTheme="minorEastAsia" w:hAnsiTheme="minorEastAsia" w:eastAsiaTheme="minorEastAsia" w:cstheme="minorEastAsia"/>
                <w:sz w:val="24"/>
                <w:szCs w:val="24"/>
                <w:highlight w:val="none"/>
                <w:lang w:val="en-US" w:eastAsia="zh-CN"/>
              </w:rPr>
            </w:pPr>
          </w:p>
        </w:tc>
      </w:tr>
      <w:tr w14:paraId="1AD7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18E4859F">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36A0C4D8">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67D6FC2">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51BEA73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8B5DB1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5737E97D">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0C385F49">
            <w:pPr>
              <w:spacing w:line="360" w:lineRule="exact"/>
              <w:jc w:val="left"/>
              <w:rPr>
                <w:rFonts w:hint="eastAsia" w:asciiTheme="minorEastAsia" w:hAnsiTheme="minorEastAsia" w:eastAsiaTheme="minorEastAsia" w:cstheme="minorEastAsia"/>
                <w:sz w:val="24"/>
                <w:szCs w:val="24"/>
                <w:highlight w:val="none"/>
                <w:lang w:val="en-US" w:eastAsia="zh-CN"/>
              </w:rPr>
            </w:pPr>
          </w:p>
        </w:tc>
      </w:tr>
      <w:tr w14:paraId="30E7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0D380C9A">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728CAF15">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6815ABBF">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1A5D103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1A1F274C">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1E249AF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0E785BA4">
            <w:pPr>
              <w:spacing w:line="360" w:lineRule="exact"/>
              <w:jc w:val="left"/>
              <w:rPr>
                <w:rFonts w:hint="eastAsia" w:asciiTheme="minorEastAsia" w:hAnsiTheme="minorEastAsia" w:eastAsiaTheme="minorEastAsia" w:cstheme="minorEastAsia"/>
                <w:sz w:val="24"/>
                <w:szCs w:val="24"/>
                <w:highlight w:val="none"/>
              </w:rPr>
            </w:pPr>
          </w:p>
        </w:tc>
      </w:tr>
      <w:tr w14:paraId="41C5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4E3AFA8F">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550F9AA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5CC2062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3E287AF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3BF4C854">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1567F21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497B66AB">
            <w:pPr>
              <w:spacing w:line="360" w:lineRule="exact"/>
              <w:jc w:val="left"/>
              <w:rPr>
                <w:rFonts w:hint="eastAsia" w:asciiTheme="minorEastAsia" w:hAnsiTheme="minorEastAsia" w:eastAsiaTheme="minorEastAsia" w:cstheme="minorEastAsia"/>
                <w:sz w:val="24"/>
                <w:szCs w:val="24"/>
                <w:highlight w:val="none"/>
              </w:rPr>
            </w:pPr>
          </w:p>
        </w:tc>
      </w:tr>
      <w:tr w14:paraId="5C54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66BD6AE">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23D2908E">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E3CE2E4">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29DD914E">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BA57BE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5AA23E78">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2689EF9B">
            <w:pPr>
              <w:spacing w:line="360" w:lineRule="exact"/>
              <w:jc w:val="left"/>
              <w:rPr>
                <w:rFonts w:hint="eastAsia" w:asciiTheme="minorEastAsia" w:hAnsiTheme="minorEastAsia" w:eastAsiaTheme="minorEastAsia" w:cstheme="minorEastAsia"/>
                <w:sz w:val="24"/>
                <w:szCs w:val="24"/>
                <w:highlight w:val="none"/>
              </w:rPr>
            </w:pPr>
          </w:p>
        </w:tc>
      </w:tr>
      <w:tr w14:paraId="40EB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420BE31">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7B30C53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C8F2DB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412D19F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6E127DC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412DB90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0F3DD507">
            <w:pPr>
              <w:spacing w:line="360" w:lineRule="exact"/>
              <w:jc w:val="left"/>
              <w:rPr>
                <w:rFonts w:hint="eastAsia" w:asciiTheme="minorEastAsia" w:hAnsiTheme="minorEastAsia" w:eastAsiaTheme="minorEastAsia" w:cstheme="minorEastAsia"/>
                <w:sz w:val="24"/>
                <w:szCs w:val="24"/>
                <w:highlight w:val="none"/>
              </w:rPr>
            </w:pPr>
          </w:p>
        </w:tc>
      </w:tr>
      <w:tr w14:paraId="2350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2E423DC">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2E5A163F">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623ABB9B">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7298B6EB">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0A6C233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0B7220A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5DCBB4F3">
            <w:pPr>
              <w:spacing w:line="360" w:lineRule="exact"/>
              <w:jc w:val="left"/>
              <w:rPr>
                <w:rFonts w:hint="eastAsia" w:asciiTheme="minorEastAsia" w:hAnsiTheme="minorEastAsia" w:eastAsiaTheme="minorEastAsia" w:cstheme="minorEastAsia"/>
                <w:sz w:val="24"/>
                <w:szCs w:val="24"/>
                <w:highlight w:val="none"/>
              </w:rPr>
            </w:pPr>
          </w:p>
        </w:tc>
      </w:tr>
      <w:tr w14:paraId="0C4D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1D5FD3D3">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77878985">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748A50D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04174EFE">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4DF57C6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0DD274B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2D43C979">
            <w:pPr>
              <w:spacing w:line="360" w:lineRule="exact"/>
              <w:jc w:val="left"/>
              <w:rPr>
                <w:rFonts w:hint="eastAsia" w:asciiTheme="minorEastAsia" w:hAnsiTheme="minorEastAsia" w:eastAsiaTheme="minorEastAsia" w:cstheme="minorEastAsia"/>
                <w:sz w:val="24"/>
                <w:szCs w:val="24"/>
                <w:highlight w:val="none"/>
              </w:rPr>
            </w:pPr>
          </w:p>
        </w:tc>
      </w:tr>
      <w:tr w14:paraId="0618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28B199A0">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289C1641">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3AF3DECF">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3CE30D85">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5E73C2F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2956B97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6FE37B48">
            <w:pPr>
              <w:spacing w:line="360" w:lineRule="exact"/>
              <w:jc w:val="left"/>
              <w:rPr>
                <w:rFonts w:hint="eastAsia" w:asciiTheme="minorEastAsia" w:hAnsiTheme="minorEastAsia" w:eastAsiaTheme="minorEastAsia" w:cstheme="minorEastAsia"/>
                <w:sz w:val="24"/>
                <w:szCs w:val="24"/>
                <w:highlight w:val="none"/>
              </w:rPr>
            </w:pPr>
          </w:p>
        </w:tc>
      </w:tr>
      <w:tr w14:paraId="5F28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6E292EA6">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6D6BC7D2">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投标方认为必须配备的其他内容</w:t>
            </w:r>
          </w:p>
        </w:tc>
        <w:tc>
          <w:tcPr>
            <w:tcW w:w="731" w:type="pct"/>
            <w:tcBorders>
              <w:top w:val="single" w:color="auto" w:sz="4" w:space="0"/>
              <w:bottom w:val="single" w:color="auto" w:sz="4" w:space="0"/>
            </w:tcBorders>
            <w:vAlign w:val="center"/>
          </w:tcPr>
          <w:p w14:paraId="08934C48">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233DE44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19228086">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2C8B277C">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435A309E">
            <w:pPr>
              <w:spacing w:line="360" w:lineRule="exact"/>
              <w:jc w:val="left"/>
              <w:rPr>
                <w:rFonts w:hint="eastAsia" w:asciiTheme="minorEastAsia" w:hAnsiTheme="minorEastAsia" w:eastAsiaTheme="minorEastAsia" w:cstheme="minorEastAsia"/>
                <w:sz w:val="24"/>
                <w:szCs w:val="24"/>
                <w:highlight w:val="none"/>
              </w:rPr>
            </w:pPr>
          </w:p>
        </w:tc>
      </w:tr>
      <w:tr w14:paraId="3969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0" w:hRule="atLeast"/>
          <w:jc w:val="center"/>
        </w:trPr>
        <w:tc>
          <w:tcPr>
            <w:tcW w:w="2435" w:type="pct"/>
            <w:gridSpan w:val="3"/>
            <w:vAlign w:val="center"/>
          </w:tcPr>
          <w:p w14:paraId="471CD6DD">
            <w:pPr>
              <w:widowControl/>
              <w:spacing w:line="0" w:lineRule="atLeast"/>
              <w:jc w:val="center"/>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未税合计</w:t>
            </w:r>
          </w:p>
        </w:tc>
        <w:tc>
          <w:tcPr>
            <w:tcW w:w="2564" w:type="pct"/>
            <w:gridSpan w:val="4"/>
            <w:tcBorders>
              <w:top w:val="single" w:color="auto" w:sz="4" w:space="0"/>
            </w:tcBorders>
            <w:vAlign w:val="center"/>
          </w:tcPr>
          <w:p w14:paraId="78838036">
            <w:pPr>
              <w:spacing w:line="360" w:lineRule="exact"/>
              <w:jc w:val="center"/>
              <w:rPr>
                <w:rFonts w:hint="eastAsia" w:asciiTheme="minorEastAsia" w:hAnsiTheme="minorEastAsia" w:eastAsiaTheme="minorEastAsia" w:cstheme="minorEastAsia"/>
                <w:sz w:val="24"/>
                <w:szCs w:val="24"/>
                <w:highlight w:val="none"/>
              </w:rPr>
            </w:pPr>
          </w:p>
        </w:tc>
      </w:tr>
      <w:tr w14:paraId="2C5D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35" w:type="pct"/>
            <w:gridSpan w:val="3"/>
            <w:vAlign w:val="center"/>
          </w:tcPr>
          <w:p w14:paraId="38ACB10A">
            <w:pPr>
              <w:widowControl/>
              <w:spacing w:line="0" w:lineRule="atLeast"/>
              <w:jc w:val="center"/>
              <w:textAlignment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含税合计（税率</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w:t>
            </w:r>
          </w:p>
        </w:tc>
        <w:tc>
          <w:tcPr>
            <w:tcW w:w="2564" w:type="pct"/>
            <w:gridSpan w:val="4"/>
            <w:tcBorders>
              <w:top w:val="single" w:color="auto" w:sz="4" w:space="0"/>
            </w:tcBorders>
            <w:vAlign w:val="center"/>
          </w:tcPr>
          <w:p w14:paraId="459AE4DF">
            <w:pPr>
              <w:spacing w:line="360" w:lineRule="exact"/>
              <w:jc w:val="center"/>
              <w:rPr>
                <w:rFonts w:hint="eastAsia" w:asciiTheme="minorEastAsia" w:hAnsiTheme="minorEastAsia" w:eastAsiaTheme="minorEastAsia" w:cstheme="minorEastAsia"/>
                <w:sz w:val="24"/>
                <w:szCs w:val="24"/>
                <w:highlight w:val="none"/>
              </w:rPr>
            </w:pPr>
          </w:p>
        </w:tc>
      </w:tr>
    </w:tbl>
    <w:p w14:paraId="29BF92C6">
      <w:pPr>
        <w:spacing w:before="58" w:line="219" w:lineRule="auto"/>
        <w:ind w:left="8"/>
        <w:rPr>
          <w:rFonts w:ascii="宋体" w:hAnsi="宋体" w:eastAsia="宋体" w:cs="宋体"/>
          <w:spacing w:val="-8"/>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1.以上是各单体设备分项报价应包括的内容， 但不限于此，表中“总价合计”构成主机价格的一部分。</w:t>
      </w:r>
    </w:p>
    <w:p w14:paraId="28D269DA">
      <w:pPr>
        <w:spacing w:before="58" w:line="219" w:lineRule="auto"/>
        <w:ind w:left="8"/>
        <w:rPr>
          <w:rFonts w:ascii="宋体" w:hAnsi="宋体" w:eastAsia="宋体" w:cs="宋体"/>
          <w:spacing w:val="-8"/>
          <w:szCs w:val="21"/>
        </w:rPr>
      </w:pPr>
      <w:r>
        <w:rPr>
          <w:rFonts w:ascii="宋体" w:hAnsi="宋体" w:eastAsia="宋体" w:cs="宋体"/>
          <w:spacing w:val="-8"/>
          <w:szCs w:val="21"/>
        </w:rPr>
        <w:t>2.如果按单价计算的结果与总价不一致，以单价为准修正总价。</w:t>
      </w:r>
    </w:p>
    <w:p w14:paraId="104BAB75">
      <w:pPr>
        <w:spacing w:before="58" w:line="219" w:lineRule="auto"/>
        <w:ind w:left="8"/>
        <w:rPr>
          <w:rFonts w:ascii="宋体" w:hAnsi="宋体" w:eastAsia="宋体" w:cs="宋体"/>
          <w:spacing w:val="-8"/>
          <w:szCs w:val="21"/>
        </w:rPr>
      </w:pPr>
      <w:r>
        <w:rPr>
          <w:rFonts w:ascii="宋体" w:hAnsi="宋体" w:eastAsia="宋体" w:cs="宋体"/>
          <w:spacing w:val="-8"/>
          <w:szCs w:val="21"/>
        </w:rPr>
        <w:t>3.此分项报价，仅是为了方便招标人对投标文件进行分析比较，不作为限制订立合同的条件。</w:t>
      </w:r>
    </w:p>
    <w:p w14:paraId="58DA9124">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4.如上表中的有关费用投标人免费提供，请注明“免费”字样。</w:t>
      </w:r>
    </w:p>
    <w:p w14:paraId="240D8EB0">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5.该明细表所有信息均为必填项，不得删减，价格部分不得合并，可细化可增加。</w:t>
      </w:r>
    </w:p>
    <w:p w14:paraId="2F7C4B17">
      <w:pPr>
        <w:spacing w:before="58" w:line="219" w:lineRule="auto"/>
        <w:ind w:left="8"/>
        <w:rPr>
          <w:rFonts w:hint="eastAsia" w:ascii="宋体" w:hAnsi="宋体" w:eastAsia="宋体" w:cs="宋体"/>
          <w:spacing w:val="-8"/>
          <w:szCs w:val="21"/>
        </w:rPr>
      </w:pPr>
      <w:r>
        <w:rPr>
          <w:rFonts w:hint="eastAsia" w:ascii="宋体" w:hAnsi="宋体" w:eastAsia="宋体" w:cs="宋体"/>
          <w:spacing w:val="-8"/>
          <w:szCs w:val="21"/>
        </w:rPr>
        <w:t>6.因填写不规范造成废标及终止招标的，责任由投标人自负。</w:t>
      </w:r>
    </w:p>
    <w:p w14:paraId="0420016C">
      <w:pPr>
        <w:pStyle w:val="24"/>
        <w:rPr>
          <w:rFonts w:hint="eastAsia" w:ascii="宋体" w:hAnsi="宋体" w:eastAsia="宋体" w:cs="宋体"/>
          <w:spacing w:val="-6"/>
          <w:szCs w:val="21"/>
        </w:rPr>
      </w:pPr>
    </w:p>
    <w:p w14:paraId="29DFC832">
      <w:pPr>
        <w:pStyle w:val="24"/>
        <w:rPr>
          <w:rFonts w:hint="eastAsia" w:ascii="宋体" w:hAnsi="宋体" w:eastAsia="宋体" w:cs="宋体"/>
          <w:spacing w:val="-6"/>
          <w:szCs w:val="21"/>
        </w:rPr>
      </w:pPr>
    </w:p>
    <w:p w14:paraId="70327352">
      <w:pPr>
        <w:pStyle w:val="24"/>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spacing w:val="-4"/>
          <w:sz w:val="24"/>
          <w:szCs w:val="24"/>
        </w:rPr>
        <w:t xml:space="preserve">投标人(章)：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年   </w:t>
      </w:r>
      <w:r>
        <w:rPr>
          <w:rFonts w:hint="eastAsia" w:ascii="宋体" w:hAnsi="宋体" w:eastAsia="宋体" w:cs="宋体"/>
          <w:spacing w:val="-2"/>
          <w:sz w:val="24"/>
          <w:szCs w:val="24"/>
          <w:lang w:val="en-US" w:eastAsia="zh-CN"/>
        </w:rPr>
        <w:t>月   日</w:t>
      </w:r>
      <w:r>
        <w:rPr>
          <w:rFonts w:hint="eastAsia" w:ascii="宋体" w:hAnsi="宋体" w:eastAsia="宋体" w:cs="宋体"/>
          <w:spacing w:val="-2"/>
          <w:sz w:val="24"/>
          <w:szCs w:val="24"/>
        </w:rPr>
        <w:t xml:space="preserve"> </w:t>
      </w:r>
    </w:p>
    <w:p w14:paraId="00511A10">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附件10 商务条款偏离表</w:t>
      </w:r>
    </w:p>
    <w:p w14:paraId="73DAACAA">
      <w:pPr>
        <w:rPr>
          <w:rFonts w:hint="default" w:ascii="Times New Roman" w:hAnsi="Times New Roman" w:eastAsia="宋体" w:cs="Times New Roman"/>
          <w:szCs w:val="20"/>
        </w:rPr>
      </w:pPr>
    </w:p>
    <w:tbl>
      <w:tblPr>
        <w:tblStyle w:val="48"/>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2B02D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7E8F16">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62EA849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B8AC8A9">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45" w:type="dxa"/>
            <w:tcBorders>
              <w:top w:val="single" w:color="auto" w:sz="4" w:space="0"/>
              <w:left w:val="single" w:color="auto" w:sz="4" w:space="0"/>
              <w:bottom w:val="single" w:color="auto" w:sz="4" w:space="0"/>
            </w:tcBorders>
            <w:vAlign w:val="center"/>
          </w:tcPr>
          <w:p w14:paraId="4D0F3A1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p w14:paraId="1C69FC03">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（提供说明）</w:t>
            </w:r>
          </w:p>
        </w:tc>
      </w:tr>
      <w:tr w14:paraId="5919D0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037B9E5">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62AFBC9A">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9436A43">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5EFA62E9">
            <w:pPr>
              <w:jc w:val="center"/>
              <w:rPr>
                <w:rFonts w:hint="default" w:ascii="Times New Roman" w:hAnsi="Times New Roman" w:eastAsia="宋体" w:cs="Times New Roman"/>
                <w:b/>
                <w:szCs w:val="20"/>
              </w:rPr>
            </w:pPr>
          </w:p>
        </w:tc>
      </w:tr>
      <w:tr w14:paraId="1DBDE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5534B5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588154ED">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CCE84E7">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EC52036">
            <w:pPr>
              <w:jc w:val="center"/>
              <w:rPr>
                <w:rFonts w:hint="default" w:ascii="Times New Roman" w:hAnsi="Times New Roman" w:eastAsia="宋体" w:cs="Times New Roman"/>
                <w:b/>
                <w:szCs w:val="21"/>
              </w:rPr>
            </w:pPr>
          </w:p>
        </w:tc>
      </w:tr>
      <w:tr w14:paraId="0AE4E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371D61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26C08242">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07D5FD5E">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3B899C45">
            <w:pPr>
              <w:jc w:val="center"/>
              <w:rPr>
                <w:rFonts w:hint="default" w:ascii="Times New Roman" w:hAnsi="Times New Roman" w:eastAsia="宋体" w:cs="Times New Roman"/>
                <w:b/>
                <w:szCs w:val="20"/>
              </w:rPr>
            </w:pPr>
          </w:p>
        </w:tc>
      </w:tr>
      <w:tr w14:paraId="7A9E50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7DAB7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65A930E2">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EE332CE">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590B78D">
            <w:pPr>
              <w:jc w:val="center"/>
              <w:rPr>
                <w:rFonts w:hint="default" w:ascii="Times New Roman" w:hAnsi="Times New Roman" w:eastAsia="宋体" w:cs="Times New Roman"/>
                <w:b/>
                <w:szCs w:val="21"/>
              </w:rPr>
            </w:pPr>
          </w:p>
          <w:p w14:paraId="08283A06">
            <w:pPr>
              <w:jc w:val="center"/>
              <w:rPr>
                <w:rFonts w:hint="default" w:ascii="Times New Roman" w:hAnsi="Times New Roman" w:eastAsia="宋体" w:cs="Times New Roman"/>
                <w:b/>
                <w:szCs w:val="21"/>
              </w:rPr>
            </w:pPr>
          </w:p>
          <w:p w14:paraId="5342A488">
            <w:pPr>
              <w:jc w:val="center"/>
              <w:rPr>
                <w:rFonts w:hint="default" w:ascii="Times New Roman" w:hAnsi="Times New Roman" w:eastAsia="宋体" w:cs="Times New Roman"/>
                <w:b/>
                <w:szCs w:val="21"/>
              </w:rPr>
            </w:pPr>
          </w:p>
          <w:p w14:paraId="281D2331">
            <w:pPr>
              <w:jc w:val="center"/>
              <w:rPr>
                <w:rFonts w:hint="default" w:ascii="Times New Roman" w:hAnsi="Times New Roman" w:eastAsia="宋体" w:cs="Times New Roman"/>
                <w:b/>
                <w:szCs w:val="21"/>
              </w:rPr>
            </w:pPr>
          </w:p>
          <w:p w14:paraId="46375FF8">
            <w:pPr>
              <w:jc w:val="center"/>
              <w:rPr>
                <w:rFonts w:hint="default" w:ascii="Times New Roman" w:hAnsi="Times New Roman" w:eastAsia="宋体" w:cs="Times New Roman"/>
                <w:b/>
                <w:szCs w:val="21"/>
              </w:rPr>
            </w:pPr>
          </w:p>
          <w:p w14:paraId="50D1E5E0">
            <w:pPr>
              <w:jc w:val="center"/>
              <w:rPr>
                <w:rFonts w:hint="default" w:ascii="Times New Roman" w:hAnsi="Times New Roman" w:eastAsia="宋体" w:cs="Times New Roman"/>
                <w:b/>
                <w:szCs w:val="21"/>
              </w:rPr>
            </w:pPr>
          </w:p>
          <w:p w14:paraId="4A71473E">
            <w:pPr>
              <w:jc w:val="center"/>
              <w:rPr>
                <w:rFonts w:hint="default" w:ascii="Times New Roman" w:hAnsi="Times New Roman" w:eastAsia="宋体" w:cs="Times New Roman"/>
                <w:b/>
                <w:szCs w:val="21"/>
              </w:rPr>
            </w:pPr>
          </w:p>
          <w:p w14:paraId="45B1E147">
            <w:pPr>
              <w:jc w:val="center"/>
              <w:rPr>
                <w:rFonts w:hint="default" w:ascii="Times New Roman" w:hAnsi="Times New Roman" w:eastAsia="宋体" w:cs="Times New Roman"/>
                <w:b/>
                <w:szCs w:val="21"/>
              </w:rPr>
            </w:pPr>
          </w:p>
          <w:p w14:paraId="25895171">
            <w:pPr>
              <w:jc w:val="center"/>
              <w:rPr>
                <w:rFonts w:hint="default" w:ascii="Times New Roman" w:hAnsi="Times New Roman" w:eastAsia="宋体" w:cs="Times New Roman"/>
                <w:b/>
                <w:szCs w:val="21"/>
              </w:rPr>
            </w:pPr>
          </w:p>
          <w:p w14:paraId="5568D721">
            <w:pPr>
              <w:jc w:val="center"/>
              <w:rPr>
                <w:rFonts w:hint="default" w:ascii="Times New Roman" w:hAnsi="Times New Roman" w:eastAsia="宋体" w:cs="Times New Roman"/>
                <w:b/>
                <w:szCs w:val="21"/>
              </w:rPr>
            </w:pPr>
          </w:p>
          <w:p w14:paraId="08C635C2">
            <w:pPr>
              <w:jc w:val="center"/>
              <w:rPr>
                <w:rFonts w:hint="default" w:ascii="Times New Roman" w:hAnsi="Times New Roman" w:eastAsia="宋体" w:cs="Times New Roman"/>
                <w:b/>
                <w:szCs w:val="21"/>
              </w:rPr>
            </w:pPr>
          </w:p>
          <w:p w14:paraId="5FCECE06">
            <w:pPr>
              <w:jc w:val="center"/>
              <w:rPr>
                <w:rFonts w:hint="default" w:ascii="Times New Roman" w:hAnsi="Times New Roman" w:eastAsia="宋体" w:cs="Times New Roman"/>
                <w:b/>
                <w:szCs w:val="21"/>
              </w:rPr>
            </w:pPr>
          </w:p>
          <w:p w14:paraId="1987AA87">
            <w:pPr>
              <w:jc w:val="center"/>
              <w:rPr>
                <w:rFonts w:hint="default" w:ascii="Times New Roman" w:hAnsi="Times New Roman" w:eastAsia="宋体" w:cs="Times New Roman"/>
                <w:b/>
                <w:szCs w:val="21"/>
              </w:rPr>
            </w:pPr>
          </w:p>
          <w:p w14:paraId="755A2C90">
            <w:pPr>
              <w:jc w:val="center"/>
              <w:rPr>
                <w:rFonts w:hint="default" w:ascii="Times New Roman" w:hAnsi="Times New Roman" w:eastAsia="宋体" w:cs="Times New Roman"/>
                <w:b/>
                <w:szCs w:val="21"/>
              </w:rPr>
            </w:pPr>
          </w:p>
          <w:p w14:paraId="2CFB7890">
            <w:pPr>
              <w:jc w:val="center"/>
              <w:rPr>
                <w:rFonts w:hint="default" w:ascii="Times New Roman" w:hAnsi="Times New Roman" w:eastAsia="宋体" w:cs="Times New Roman"/>
                <w:b/>
                <w:szCs w:val="21"/>
              </w:rPr>
            </w:pPr>
          </w:p>
          <w:p w14:paraId="15EB2B19">
            <w:pPr>
              <w:jc w:val="center"/>
              <w:rPr>
                <w:rFonts w:hint="default" w:ascii="Times New Roman" w:hAnsi="Times New Roman" w:eastAsia="宋体" w:cs="Times New Roman"/>
                <w:b/>
                <w:szCs w:val="21"/>
              </w:rPr>
            </w:pPr>
          </w:p>
          <w:p w14:paraId="222393FD">
            <w:pPr>
              <w:jc w:val="center"/>
              <w:rPr>
                <w:rFonts w:hint="default" w:ascii="Times New Roman" w:hAnsi="Times New Roman" w:eastAsia="宋体" w:cs="Times New Roman"/>
                <w:b/>
                <w:szCs w:val="20"/>
              </w:rPr>
            </w:pPr>
          </w:p>
        </w:tc>
      </w:tr>
      <w:tr w14:paraId="63078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6C77E98">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7FD9D7EB">
            <w:pPr>
              <w:jc w:val="center"/>
              <w:rPr>
                <w:rFonts w:hint="default"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70CD2919">
            <w:pPr>
              <w:jc w:val="center"/>
              <w:rPr>
                <w:rFonts w:hint="default"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46F1896C">
            <w:pPr>
              <w:jc w:val="center"/>
              <w:rPr>
                <w:rFonts w:hint="default" w:ascii="Times New Roman" w:hAnsi="Times New Roman" w:eastAsia="宋体" w:cs="Times New Roman"/>
                <w:b/>
                <w:szCs w:val="20"/>
              </w:rPr>
            </w:pPr>
          </w:p>
        </w:tc>
      </w:tr>
    </w:tbl>
    <w:p w14:paraId="512D089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0A54986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注：为避免歧义，无偏离也应要提报该表，并注明“无”字。如无该表则即使在其它部分已反映，将也被视为“无偏离”。</w:t>
      </w:r>
    </w:p>
    <w:p w14:paraId="7308C01C">
      <w:pPr>
        <w:rPr>
          <w:rFonts w:hint="default" w:ascii="Times New Roman" w:hAnsi="Times New Roman" w:eastAsia="宋体" w:cs="Times New Roman"/>
          <w:szCs w:val="20"/>
        </w:rPr>
      </w:pPr>
    </w:p>
    <w:p w14:paraId="09568302">
      <w:pPr>
        <w:rPr>
          <w:rFonts w:hint="default" w:ascii="Times New Roman" w:hAnsi="Times New Roman" w:eastAsia="宋体" w:cs="Times New Roman"/>
          <w:b/>
          <w:bCs/>
          <w:color w:val="000000"/>
          <w:sz w:val="28"/>
          <w:szCs w:val="20"/>
        </w:rPr>
      </w:pPr>
    </w:p>
    <w:p w14:paraId="03FE498B">
      <w:pPr>
        <w:rPr>
          <w:rFonts w:hint="default" w:ascii="Times New Roman" w:hAnsi="Times New Roman" w:cs="Times New Roman"/>
        </w:rPr>
        <w:sectPr>
          <w:headerReference r:id="rId12" w:type="default"/>
          <w:footerReference r:id="rId13"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342F53EB">
      <w:pPr>
        <w:spacing w:before="110" w:line="227" w:lineRule="auto"/>
        <w:ind w:left="29"/>
        <w:outlineLvl w:val="1"/>
        <w:rPr>
          <w:rFonts w:hint="default" w:ascii="Times New Roman" w:hAnsi="Times New Roman" w:eastAsia="宋体" w:cs="Times New Roman"/>
          <w:sz w:val="24"/>
          <w:szCs w:val="24"/>
        </w:rPr>
      </w:pPr>
      <w:r>
        <w:rPr>
          <w:rFonts w:hint="default" w:ascii="Times New Roman" w:hAnsi="Times New Roman" w:eastAsia="宋体" w:cs="Times New Roman"/>
          <w:b/>
          <w:bCs/>
          <w:color w:val="000000"/>
          <w:sz w:val="24"/>
          <w:szCs w:val="24"/>
        </w:rPr>
        <w:t>附件11 投标人承诺</w:t>
      </w:r>
    </w:p>
    <w:p w14:paraId="5EB54C23">
      <w:pPr>
        <w:spacing w:line="272" w:lineRule="auto"/>
        <w:rPr>
          <w:rFonts w:hint="default" w:ascii="Times New Roman" w:hAnsi="Times New Roman" w:cs="Times New Roman"/>
        </w:rPr>
      </w:pPr>
    </w:p>
    <w:p w14:paraId="74703FD2">
      <w:pPr>
        <w:spacing w:before="75" w:line="228" w:lineRule="auto"/>
        <w:ind w:left="134"/>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项</w:t>
      </w:r>
      <w:r>
        <w:rPr>
          <w:rFonts w:hint="default" w:ascii="Times New Roman" w:hAnsi="Times New Roman" w:eastAsia="宋体" w:cs="Times New Roman"/>
          <w:spacing w:val="-9"/>
          <w:sz w:val="24"/>
          <w:szCs w:val="24"/>
        </w:rPr>
        <w:t>目</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5"/>
          <w:sz w:val="24"/>
          <w:szCs w:val="24"/>
          <w:u w:val="single"/>
        </w:rPr>
        <w:t xml:space="preserve"> </w:t>
      </w:r>
      <w:r>
        <w:rPr>
          <w:rFonts w:hint="eastAsia" w:cs="Times New Roman"/>
          <w:b w:val="0"/>
          <w:bCs w:val="0"/>
          <w:color w:val="000000"/>
          <w:sz w:val="24"/>
          <w:szCs w:val="24"/>
          <w:u w:val="single"/>
          <w:lang w:val="en-US" w:eastAsia="zh-CN"/>
        </w:rPr>
        <w:t>济南成型厂110kV变电站通讯系统更新改造技改项目</w:t>
      </w:r>
      <w:r>
        <w:rPr>
          <w:rFonts w:hint="default" w:ascii="Times New Roman" w:hAnsi="Times New Roman" w:eastAsia="宋体" w:cs="Times New Roman"/>
          <w:b w:val="0"/>
          <w:bCs w:val="0"/>
          <w:spacing w:val="-5"/>
          <w:sz w:val="24"/>
          <w:szCs w:val="24"/>
          <w:u w:val="single"/>
        </w:rPr>
        <w:t xml:space="preserve">  </w:t>
      </w:r>
    </w:p>
    <w:p w14:paraId="646C06C0">
      <w:pPr>
        <w:spacing w:before="306" w:line="227" w:lineRule="auto"/>
        <w:ind w:left="205"/>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日期： </w:t>
      </w:r>
      <w:r>
        <w:rPr>
          <w:rFonts w:hint="default" w:ascii="Times New Roman" w:hAnsi="Times New Roman" w:eastAsia="宋体" w:cs="Times New Roman"/>
          <w:spacing w:val="-2"/>
          <w:sz w:val="24"/>
          <w:szCs w:val="24"/>
        </w:rPr>
        <w:t xml:space="preserve">   年   月   日</w:t>
      </w:r>
    </w:p>
    <w:p w14:paraId="662F72D3">
      <w:pPr>
        <w:rPr>
          <w:rFonts w:hint="default" w:ascii="Times New Roman" w:hAnsi="Times New Roman" w:cs="Times New Roman"/>
        </w:rPr>
      </w:pPr>
    </w:p>
    <w:p w14:paraId="0D89522E">
      <w:pPr>
        <w:spacing w:line="109" w:lineRule="exact"/>
        <w:rPr>
          <w:rFonts w:hint="default" w:ascii="Times New Roman" w:hAnsi="Times New Roman" w:cs="Times New Roman"/>
        </w:rPr>
      </w:pPr>
    </w:p>
    <w:tbl>
      <w:tblPr>
        <w:tblStyle w:val="232"/>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4B4F9C5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5DC5E8B5">
            <w:pPr>
              <w:spacing w:before="52" w:line="227" w:lineRule="auto"/>
              <w:ind w:left="128"/>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投</w:t>
            </w:r>
            <w:r>
              <w:rPr>
                <w:rFonts w:hint="default" w:ascii="Times New Roman" w:hAnsi="Times New Roman" w:eastAsia="宋体" w:cs="Times New Roman"/>
                <w:spacing w:val="3"/>
                <w:sz w:val="24"/>
                <w:szCs w:val="24"/>
              </w:rPr>
              <w:t>标人承诺：</w:t>
            </w:r>
          </w:p>
          <w:p w14:paraId="4E13FB30">
            <w:pPr>
              <w:spacing w:before="48" w:line="391" w:lineRule="auto"/>
              <w:ind w:left="125" w:right="115" w:firstLine="491"/>
              <w:rPr>
                <w:rFonts w:hint="default" w:ascii="Times New Roman" w:hAnsi="Times New Roman" w:eastAsia="宋体" w:cs="Times New Roman"/>
                <w:sz w:val="23"/>
                <w:szCs w:val="23"/>
              </w:rPr>
            </w:pPr>
            <w:r>
              <w:rPr>
                <w:rFonts w:hint="default" w:ascii="Times New Roman" w:hAnsi="Times New Roman" w:eastAsia="宋体" w:cs="Times New Roman"/>
                <w:spacing w:val="38"/>
                <w:sz w:val="24"/>
                <w:szCs w:val="24"/>
              </w:rPr>
              <w:t>我</w:t>
            </w:r>
            <w:r>
              <w:rPr>
                <w:rFonts w:hint="default" w:ascii="Times New Roman" w:hAnsi="Times New Roman" w:eastAsia="宋体" w:cs="Times New Roman"/>
                <w:spacing w:val="21"/>
                <w:sz w:val="24"/>
                <w:szCs w:val="24"/>
              </w:rPr>
              <w:t>公司承诺遵守贵公司由于招标人公司政策变化引起的随时终止项目的要求并</w:t>
            </w:r>
            <w:r>
              <w:rPr>
                <w:rFonts w:hint="default" w:ascii="Times New Roman" w:hAnsi="Times New Roman" w:eastAsia="宋体" w:cs="Times New Roman"/>
                <w:spacing w:val="12"/>
                <w:sz w:val="24"/>
                <w:szCs w:val="24"/>
              </w:rPr>
              <w:t>承</w:t>
            </w:r>
            <w:r>
              <w:rPr>
                <w:rFonts w:hint="default" w:ascii="Times New Roman" w:hAnsi="Times New Roman" w:eastAsia="宋体" w:cs="Times New Roman"/>
                <w:spacing w:val="6"/>
                <w:sz w:val="24"/>
                <w:szCs w:val="24"/>
              </w:rPr>
              <w:t>担由此带来的一切损失</w:t>
            </w:r>
            <w:r>
              <w:rPr>
                <w:rFonts w:hint="default" w:ascii="Times New Roman" w:hAnsi="Times New Roman" w:eastAsia="宋体" w:cs="Times New Roman"/>
                <w:spacing w:val="6"/>
                <w:sz w:val="23"/>
                <w:szCs w:val="23"/>
              </w:rPr>
              <w:t>。</w:t>
            </w:r>
          </w:p>
        </w:tc>
      </w:tr>
    </w:tbl>
    <w:p w14:paraId="62B5C0B1">
      <w:pPr>
        <w:keepNext/>
        <w:keepLines/>
        <w:rPr>
          <w:rFonts w:hint="default" w:ascii="Times New Roman" w:hAnsi="Times New Roman" w:eastAsia="宋体" w:cs="Times New Roman"/>
          <w:b/>
          <w:bCs/>
          <w:color w:val="000000"/>
          <w:sz w:val="24"/>
          <w:szCs w:val="24"/>
        </w:rPr>
      </w:pPr>
    </w:p>
    <w:p w14:paraId="73B3743E">
      <w:pPr>
        <w:spacing w:before="75" w:line="227" w:lineRule="auto"/>
        <w:ind w:left="135"/>
        <w:rPr>
          <w:rFonts w:hint="default" w:ascii="Times New Roman" w:hAnsi="Times New Roman" w:eastAsia="宋体" w:cs="Times New Roman"/>
          <w:spacing w:val="-2"/>
          <w:sz w:val="24"/>
          <w:szCs w:val="24"/>
        </w:rPr>
      </w:pPr>
    </w:p>
    <w:p w14:paraId="334574C3">
      <w:pPr>
        <w:spacing w:before="75" w:line="227" w:lineRule="auto"/>
        <w:ind w:left="135"/>
        <w:rPr>
          <w:rFonts w:hint="default" w:ascii="Times New Roman" w:hAnsi="Times New Roman" w:eastAsia="宋体" w:cs="Times New Roman"/>
          <w:spacing w:val="-2"/>
          <w:sz w:val="24"/>
          <w:szCs w:val="24"/>
        </w:rPr>
      </w:pPr>
    </w:p>
    <w:p w14:paraId="5EF28436">
      <w:pPr>
        <w:spacing w:before="75" w:line="227" w:lineRule="auto"/>
        <w:ind w:left="135"/>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投标人名称 (盖章)：                法定代表人或授权代表(签字</w:t>
      </w:r>
      <w:r>
        <w:rPr>
          <w:rFonts w:hint="default" w:ascii="Times New Roman" w:hAnsi="Times New Roman" w:eastAsia="宋体" w:cs="Times New Roman"/>
          <w:sz w:val="24"/>
          <w:szCs w:val="24"/>
        </w:rPr>
        <w:t>)：</w:t>
      </w:r>
    </w:p>
    <w:p w14:paraId="44F37C9A">
      <w:pPr>
        <w:rPr>
          <w:rFonts w:hint="default" w:ascii="Times New Roman" w:hAnsi="Times New Roman" w:cs="Times New Roman"/>
        </w:rPr>
        <w:sectPr>
          <w:footerReference r:id="rId14" w:type="default"/>
          <w:pgSz w:w="11906" w:h="16839"/>
          <w:pgMar w:top="1431" w:right="1417" w:bottom="1179" w:left="1304" w:header="850" w:footer="992" w:gutter="0"/>
          <w:pgBorders>
            <w:top w:val="none" w:sz="0" w:space="0"/>
            <w:left w:val="none" w:sz="0" w:space="0"/>
            <w:bottom w:val="none" w:sz="0" w:space="0"/>
            <w:right w:val="none" w:sz="0" w:space="0"/>
          </w:pgBorders>
          <w:cols w:space="720" w:num="1"/>
        </w:sectPr>
      </w:pPr>
    </w:p>
    <w:p w14:paraId="06946303">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附件12 服务承诺函</w:t>
      </w:r>
    </w:p>
    <w:p w14:paraId="01E8B21C">
      <w:pPr>
        <w:spacing w:line="240" w:lineRule="exact"/>
        <w:jc w:val="center"/>
        <w:rPr>
          <w:rFonts w:hint="default" w:ascii="Times New Roman" w:hAnsi="Times New Roman" w:eastAsia="宋体" w:cs="Times New Roman"/>
          <w:b/>
          <w:bCs/>
          <w:sz w:val="36"/>
          <w:szCs w:val="20"/>
        </w:rPr>
      </w:pPr>
    </w:p>
    <w:p w14:paraId="169C5D7B">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cs="Times New Roman"/>
          <w:b w:val="0"/>
          <w:bCs w:val="0"/>
          <w:color w:val="000000"/>
          <w:sz w:val="24"/>
          <w:szCs w:val="24"/>
          <w:u w:val="single"/>
          <w:lang w:val="en-US" w:eastAsia="zh-CN"/>
        </w:rPr>
        <w:t>济南成型厂110kV变电站通讯系统更新改造技改项目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43CAA125">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67B88DA6">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我代表（投标单位名称）对中标合同产品的服务作如下承诺：</w:t>
      </w:r>
    </w:p>
    <w:p w14:paraId="1A95425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8912D1A">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439A5E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2331BF0">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4B37F4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78CF4A0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1D4D54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8E08A4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6908BD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5C77CAB">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48B7DF16">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EC43483">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56C82F6">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2DBB8B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2DFADE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60DA52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C68B5B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4001F2FC">
      <w:pPr>
        <w:spacing w:line="360" w:lineRule="auto"/>
        <w:ind w:firstLine="480" w:firstLineChars="200"/>
        <w:rPr>
          <w:rFonts w:hint="default" w:ascii="Times New Roman" w:hAnsi="Times New Roman" w:eastAsia="宋体" w:cs="Times New Roman"/>
          <w:sz w:val="24"/>
          <w:szCs w:val="20"/>
          <w:u w:val="single"/>
        </w:rPr>
      </w:pPr>
    </w:p>
    <w:p w14:paraId="6F72106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6B43ED9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4B49FC3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757FE3A0">
      <w:pPr>
        <w:rPr>
          <w:rFonts w:hint="default" w:ascii="Times New Roman" w:hAnsi="Times New Roman" w:eastAsia="宋体" w:cs="Times New Roman"/>
          <w:b/>
          <w:bCs/>
          <w:color w:val="000000"/>
          <w:sz w:val="28"/>
          <w:szCs w:val="20"/>
        </w:rPr>
      </w:pPr>
    </w:p>
    <w:p w14:paraId="587DAE93">
      <w:pPr>
        <w:pStyle w:val="24"/>
        <w:rPr>
          <w:rFonts w:hint="default" w:ascii="Times New Roman" w:hAnsi="Times New Roman" w:eastAsia="宋体" w:cs="Times New Roman"/>
          <w:b/>
          <w:bCs/>
          <w:color w:val="000000"/>
          <w:sz w:val="28"/>
          <w:szCs w:val="20"/>
        </w:rPr>
      </w:pPr>
    </w:p>
    <w:p w14:paraId="4295C694">
      <w:pPr>
        <w:rPr>
          <w:rFonts w:hint="default" w:ascii="Times New Roman" w:hAnsi="Times New Roman" w:eastAsia="宋体" w:cs="Times New Roman"/>
          <w:b/>
          <w:bCs/>
          <w:color w:val="000000"/>
          <w:sz w:val="28"/>
          <w:szCs w:val="20"/>
        </w:rPr>
      </w:pPr>
    </w:p>
    <w:p w14:paraId="36236AC6">
      <w:pPr>
        <w:outlineLvl w:val="1"/>
        <w:rPr>
          <w:rFonts w:hint="default" w:ascii="Times New Roman" w:hAnsi="Times New Roman" w:eastAsia="宋体" w:cs="Times New Roman"/>
          <w:szCs w:val="20"/>
        </w:rPr>
      </w:pPr>
      <w:r>
        <w:rPr>
          <w:rFonts w:hint="default" w:ascii="Times New Roman" w:hAnsi="Times New Roman" w:eastAsia="宋体" w:cs="Times New Roman"/>
          <w:szCs w:val="20"/>
        </w:rPr>
        <w:br w:type="page"/>
      </w:r>
      <w:r>
        <w:rPr>
          <w:rFonts w:hint="default" w:ascii="Times New Roman" w:hAnsi="Times New Roman" w:eastAsia="宋体" w:cs="Times New Roman"/>
          <w:b/>
          <w:bCs/>
          <w:color w:val="000000"/>
          <w:sz w:val="24"/>
          <w:szCs w:val="24"/>
        </w:rPr>
        <w:t>附件13 投标文件封面及封口格式</w:t>
      </w:r>
    </w:p>
    <w:p w14:paraId="15BB2E1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封面格式：</w:t>
      </w:r>
    </w:p>
    <w:tbl>
      <w:tblPr>
        <w:tblStyle w:val="4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51B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A2A7FEB">
            <w:pPr>
              <w:jc w:val="center"/>
              <w:rPr>
                <w:rFonts w:hint="default" w:ascii="Times New Roman" w:hAnsi="Times New Roman" w:eastAsia="宋体" w:cs="Times New Roman"/>
                <w:b/>
                <w:szCs w:val="20"/>
              </w:rPr>
            </w:pPr>
          </w:p>
          <w:p w14:paraId="25634B2C">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技术/资质/商务文件</w:t>
            </w:r>
          </w:p>
          <w:p w14:paraId="6403B715">
            <w:pPr>
              <w:rPr>
                <w:rFonts w:hint="default" w:ascii="Times New Roman" w:hAnsi="Times New Roman" w:eastAsia="等线" w:cs="Times New Roman"/>
                <w:b/>
                <w:sz w:val="30"/>
                <w:szCs w:val="30"/>
              </w:rPr>
            </w:pPr>
          </w:p>
          <w:p w14:paraId="0080F965">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w:t>
            </w:r>
            <w:r>
              <w:rPr>
                <w:rFonts w:hint="default" w:ascii="Times New Roman" w:hAnsi="Times New Roman" w:eastAsia="等线" w:cs="Times New Roman"/>
                <w:b/>
                <w:sz w:val="30"/>
                <w:szCs w:val="30"/>
              </w:rPr>
              <w:t>1</w:t>
            </w:r>
            <w:r>
              <w:rPr>
                <w:rFonts w:hint="default" w:ascii="Times New Roman" w:hAnsi="Times New Roman" w:eastAsia="宋体" w:cs="Times New Roman"/>
                <w:b/>
                <w:sz w:val="30"/>
                <w:szCs w:val="30"/>
              </w:rPr>
              <w:t>正本）</w:t>
            </w:r>
          </w:p>
          <w:p w14:paraId="676B0574">
            <w:pPr>
              <w:jc w:val="center"/>
              <w:rPr>
                <w:rFonts w:hint="default" w:ascii="Times New Roman" w:hAnsi="Times New Roman" w:eastAsia="宋体" w:cs="Times New Roman"/>
                <w:b/>
                <w:szCs w:val="20"/>
              </w:rPr>
            </w:pPr>
          </w:p>
          <w:p w14:paraId="304404A0">
            <w:pPr>
              <w:jc w:val="center"/>
              <w:rPr>
                <w:rFonts w:hint="default" w:ascii="Times New Roman" w:hAnsi="Times New Roman" w:eastAsia="宋体" w:cs="Times New Roman"/>
                <w:b/>
                <w:szCs w:val="20"/>
              </w:rPr>
            </w:pPr>
          </w:p>
          <w:p w14:paraId="465B6EA1">
            <w:pPr>
              <w:jc w:val="center"/>
              <w:rPr>
                <w:rFonts w:hint="eastAsia" w:ascii="Times New Roman" w:hAnsi="Times New Roman" w:eastAsia="宋体" w:cs="Times New Roman"/>
                <w:b/>
                <w:szCs w:val="20"/>
                <w:lang w:eastAsia="zh-CN"/>
              </w:rPr>
            </w:pPr>
            <w:r>
              <w:rPr>
                <w:rFonts w:hint="default" w:ascii="Times New Roman" w:hAnsi="Times New Roman" w:eastAsia="宋体" w:cs="Times New Roman"/>
                <w:b/>
                <w:szCs w:val="20"/>
              </w:rPr>
              <w:t>项目名称：济南成型厂</w:t>
            </w:r>
            <w:r>
              <w:rPr>
                <w:rFonts w:hint="eastAsia" w:cs="Times New Roman"/>
                <w:b/>
                <w:szCs w:val="20"/>
                <w:lang w:eastAsia="zh-CN"/>
              </w:rPr>
              <w:t>110kV变电站通讯系统更新改造技改项目</w:t>
            </w:r>
          </w:p>
          <w:p w14:paraId="5470FF0D">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投标人名称（公章）：</w:t>
            </w:r>
          </w:p>
          <w:p w14:paraId="04D2B1F0">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地址：</w:t>
            </w:r>
          </w:p>
          <w:p w14:paraId="3E2192E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授权代表电话：</w:t>
            </w:r>
          </w:p>
          <w:p w14:paraId="6700AB6B">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传真：</w:t>
            </w:r>
          </w:p>
          <w:p w14:paraId="40BB1D96">
            <w:pPr>
              <w:jc w:val="center"/>
              <w:rPr>
                <w:rFonts w:hint="default" w:ascii="Times New Roman" w:hAnsi="Times New Roman" w:eastAsia="宋体" w:cs="Times New Roman"/>
                <w:b/>
                <w:szCs w:val="20"/>
              </w:rPr>
            </w:pPr>
          </w:p>
          <w:p w14:paraId="0E44FA4D">
            <w:pPr>
              <w:jc w:val="center"/>
              <w:rPr>
                <w:rFonts w:hint="default" w:ascii="Times New Roman" w:hAnsi="Times New Roman" w:eastAsia="宋体" w:cs="Times New Roman"/>
                <w:b/>
                <w:szCs w:val="20"/>
              </w:rPr>
            </w:pPr>
          </w:p>
        </w:tc>
      </w:tr>
    </w:tbl>
    <w:p w14:paraId="5BFAE6F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373D8577">
      <w:pPr>
        <w:rPr>
          <w:rFonts w:hint="default" w:ascii="Times New Roman" w:hAnsi="Times New Roman" w:cs="Times New Roman"/>
          <w:sz w:val="20"/>
          <w:szCs w:val="20"/>
        </w:rPr>
      </w:pPr>
      <w:r>
        <w:rPr>
          <w:rFonts w:hint="default" w:ascii="Times New Roman" w:hAnsi="Times New Roman" w:eastAsia="宋体" w:cs="Times New Roman"/>
          <w:color w:val="000000"/>
          <w:sz w:val="24"/>
          <w:szCs w:val="24"/>
        </w:rPr>
        <w:br w:type="page"/>
      </w:r>
    </w:p>
    <w:p w14:paraId="1DD7E1B8">
      <w:pPr>
        <w:outlineLvl w:val="2"/>
        <w:rPr>
          <w:rFonts w:ascii="Times New Roman" w:hAnsi="Times New Roman" w:eastAsia="宋体" w:cs="Times New Roman"/>
          <w:b/>
          <w:bCs/>
          <w:color w:val="000000"/>
          <w:sz w:val="24"/>
          <w:highlight w:val="none"/>
        </w:rPr>
      </w:pPr>
      <w:r>
        <w:rPr>
          <w:rFonts w:hint="eastAsia" w:ascii="Times New Roman" w:hAnsi="Times New Roman" w:eastAsia="宋体" w:cs="Times New Roman"/>
          <w:b/>
          <w:bCs/>
          <w:color w:val="000000"/>
          <w:sz w:val="24"/>
          <w:highlight w:val="none"/>
        </w:rPr>
        <w:t>附件14技术标评分标准</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546"/>
        <w:gridCol w:w="548"/>
        <w:gridCol w:w="2516"/>
        <w:gridCol w:w="526"/>
        <w:gridCol w:w="4492"/>
      </w:tblGrid>
      <w:tr w14:paraId="2993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351" w:type="pct"/>
            <w:vAlign w:val="center"/>
          </w:tcPr>
          <w:p w14:paraId="07E838D5">
            <w:pPr>
              <w:tabs>
                <w:tab w:val="left" w:pos="13965"/>
              </w:tabs>
              <w:jc w:val="center"/>
              <w:rPr>
                <w:rFonts w:ascii="宋体" w:hAnsi="宋体"/>
                <w:b/>
                <w:sz w:val="18"/>
                <w:szCs w:val="18"/>
              </w:rPr>
            </w:pPr>
            <w:r>
              <w:rPr>
                <w:rFonts w:hint="eastAsia" w:ascii="宋体" w:hAnsi="宋体"/>
                <w:b/>
                <w:sz w:val="18"/>
                <w:szCs w:val="18"/>
              </w:rPr>
              <w:t>评价类型</w:t>
            </w:r>
          </w:p>
        </w:tc>
        <w:tc>
          <w:tcPr>
            <w:tcW w:w="294" w:type="pct"/>
            <w:vAlign w:val="center"/>
          </w:tcPr>
          <w:p w14:paraId="7AA10631">
            <w:pPr>
              <w:tabs>
                <w:tab w:val="left" w:pos="13965"/>
              </w:tabs>
              <w:jc w:val="center"/>
              <w:rPr>
                <w:rFonts w:ascii="宋体" w:hAnsi="宋体"/>
                <w:b/>
                <w:sz w:val="18"/>
                <w:szCs w:val="18"/>
              </w:rPr>
            </w:pPr>
            <w:r>
              <w:rPr>
                <w:rFonts w:hint="eastAsia" w:ascii="宋体" w:hAnsi="宋体"/>
                <w:b/>
                <w:sz w:val="18"/>
                <w:szCs w:val="18"/>
              </w:rPr>
              <w:t>评审内容</w:t>
            </w:r>
          </w:p>
        </w:tc>
        <w:tc>
          <w:tcPr>
            <w:tcW w:w="295" w:type="pct"/>
            <w:vAlign w:val="center"/>
          </w:tcPr>
          <w:p w14:paraId="01831E0B">
            <w:pPr>
              <w:tabs>
                <w:tab w:val="left" w:pos="13965"/>
              </w:tabs>
              <w:jc w:val="center"/>
              <w:rPr>
                <w:rFonts w:ascii="宋体" w:hAnsi="宋体"/>
                <w:b/>
                <w:sz w:val="18"/>
                <w:szCs w:val="18"/>
              </w:rPr>
            </w:pPr>
            <w:r>
              <w:rPr>
                <w:rFonts w:hint="eastAsia" w:ascii="宋体" w:hAnsi="宋体"/>
                <w:b/>
                <w:sz w:val="18"/>
                <w:szCs w:val="18"/>
              </w:rPr>
              <w:t>序号</w:t>
            </w:r>
          </w:p>
        </w:tc>
        <w:tc>
          <w:tcPr>
            <w:tcW w:w="1355" w:type="pct"/>
            <w:vAlign w:val="center"/>
          </w:tcPr>
          <w:p w14:paraId="2C754910">
            <w:pPr>
              <w:tabs>
                <w:tab w:val="left" w:pos="13965"/>
              </w:tabs>
              <w:jc w:val="center"/>
              <w:rPr>
                <w:rFonts w:ascii="宋体" w:hAnsi="宋体"/>
                <w:b/>
                <w:sz w:val="18"/>
                <w:szCs w:val="18"/>
              </w:rPr>
            </w:pPr>
            <w:r>
              <w:rPr>
                <w:rFonts w:hint="eastAsia" w:ascii="宋体" w:hAnsi="宋体"/>
                <w:b/>
                <w:sz w:val="18"/>
                <w:szCs w:val="18"/>
              </w:rPr>
              <w:t>内</w:t>
            </w:r>
            <w:r>
              <w:rPr>
                <w:rFonts w:ascii="宋体" w:hAnsi="宋体"/>
                <w:b/>
                <w:sz w:val="18"/>
                <w:szCs w:val="18"/>
              </w:rPr>
              <w:t xml:space="preserve">   </w:t>
            </w:r>
            <w:r>
              <w:rPr>
                <w:rFonts w:hint="eastAsia" w:ascii="宋体" w:hAnsi="宋体"/>
                <w:b/>
                <w:sz w:val="18"/>
                <w:szCs w:val="18"/>
              </w:rPr>
              <w:t>容</w:t>
            </w:r>
          </w:p>
        </w:tc>
        <w:tc>
          <w:tcPr>
            <w:tcW w:w="283" w:type="pct"/>
            <w:vAlign w:val="center"/>
          </w:tcPr>
          <w:p w14:paraId="30154F10">
            <w:pPr>
              <w:tabs>
                <w:tab w:val="left" w:pos="13965"/>
              </w:tabs>
              <w:jc w:val="center"/>
              <w:rPr>
                <w:rFonts w:ascii="宋体" w:hAnsi="宋体"/>
                <w:b/>
                <w:sz w:val="18"/>
                <w:szCs w:val="18"/>
              </w:rPr>
            </w:pPr>
            <w:r>
              <w:rPr>
                <w:rFonts w:hint="eastAsia" w:ascii="宋体" w:hAnsi="宋体"/>
                <w:b/>
                <w:sz w:val="18"/>
                <w:szCs w:val="18"/>
              </w:rPr>
              <w:t>标准分</w:t>
            </w:r>
          </w:p>
        </w:tc>
        <w:tc>
          <w:tcPr>
            <w:tcW w:w="2419" w:type="pct"/>
            <w:vAlign w:val="center"/>
          </w:tcPr>
          <w:p w14:paraId="449BD2BB">
            <w:pPr>
              <w:tabs>
                <w:tab w:val="left" w:pos="13965"/>
              </w:tabs>
              <w:jc w:val="center"/>
              <w:rPr>
                <w:rFonts w:ascii="宋体" w:hAnsi="宋体"/>
                <w:b/>
                <w:sz w:val="18"/>
                <w:szCs w:val="18"/>
              </w:rPr>
            </w:pPr>
            <w:r>
              <w:rPr>
                <w:rFonts w:hint="eastAsia" w:ascii="宋体" w:hAnsi="宋体"/>
                <w:b/>
                <w:sz w:val="18"/>
                <w:szCs w:val="18"/>
              </w:rPr>
              <w:t>评分标准</w:t>
            </w:r>
          </w:p>
        </w:tc>
      </w:tr>
      <w:tr w14:paraId="7E7F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restart"/>
            <w:vAlign w:val="center"/>
          </w:tcPr>
          <w:p w14:paraId="6B4BB51A">
            <w:pPr>
              <w:tabs>
                <w:tab w:val="left" w:pos="13965"/>
              </w:tabs>
              <w:jc w:val="center"/>
              <w:rPr>
                <w:rFonts w:ascii="宋体" w:hAnsi="宋体" w:eastAsia="等线"/>
                <w:b/>
                <w:bCs/>
                <w:sz w:val="18"/>
                <w:szCs w:val="18"/>
              </w:rPr>
            </w:pPr>
            <w:r>
              <w:rPr>
                <w:rFonts w:hint="eastAsia" w:ascii="宋体" w:hAnsi="宋体"/>
                <w:b/>
                <w:bCs/>
                <w:sz w:val="18"/>
                <w:szCs w:val="18"/>
              </w:rPr>
              <w:t>技术标</w:t>
            </w:r>
          </w:p>
          <w:p w14:paraId="6EF03BD9">
            <w:pPr>
              <w:tabs>
                <w:tab w:val="left" w:pos="13965"/>
              </w:tabs>
              <w:rPr>
                <w:rFonts w:hint="eastAsia" w:ascii="宋体" w:hAnsi="宋体"/>
                <w:sz w:val="18"/>
                <w:szCs w:val="18"/>
              </w:rPr>
            </w:pPr>
            <w:r>
              <w:rPr>
                <w:rFonts w:ascii="宋体" w:hAnsi="宋体"/>
                <w:sz w:val="18"/>
                <w:szCs w:val="18"/>
              </w:rPr>
              <w:t>100</w:t>
            </w:r>
            <w:r>
              <w:rPr>
                <w:rFonts w:hint="eastAsia" w:ascii="宋体" w:hAnsi="宋体"/>
                <w:sz w:val="18"/>
                <w:szCs w:val="18"/>
              </w:rPr>
              <w:t>分</w:t>
            </w:r>
          </w:p>
          <w:p w14:paraId="0352031A">
            <w:pPr>
              <w:tabs>
                <w:tab w:val="left" w:pos="13965"/>
              </w:tabs>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技术标低于70分淘汰</w:t>
            </w:r>
            <w:r>
              <w:rPr>
                <w:rFonts w:hint="eastAsia" w:ascii="宋体" w:hAnsi="宋体"/>
                <w:sz w:val="18"/>
                <w:szCs w:val="18"/>
                <w:lang w:eastAsia="zh-CN"/>
              </w:rPr>
              <w:t>）</w:t>
            </w:r>
          </w:p>
        </w:tc>
        <w:tc>
          <w:tcPr>
            <w:tcW w:w="294" w:type="pct"/>
            <w:vAlign w:val="center"/>
          </w:tcPr>
          <w:p w14:paraId="69A079DF">
            <w:pPr>
              <w:tabs>
                <w:tab w:val="left" w:pos="13965"/>
              </w:tabs>
              <w:jc w:val="center"/>
              <w:rPr>
                <w:rFonts w:ascii="宋体" w:hAnsi="宋体"/>
                <w:sz w:val="18"/>
                <w:szCs w:val="18"/>
              </w:rPr>
            </w:pPr>
            <w:r>
              <w:rPr>
                <w:rFonts w:hint="eastAsia" w:ascii="宋体" w:hAnsi="宋体"/>
                <w:sz w:val="18"/>
                <w:szCs w:val="18"/>
              </w:rPr>
              <w:t>业绩</w:t>
            </w:r>
          </w:p>
        </w:tc>
        <w:tc>
          <w:tcPr>
            <w:tcW w:w="295" w:type="pct"/>
            <w:vAlign w:val="center"/>
          </w:tcPr>
          <w:p w14:paraId="1199DC19">
            <w:pPr>
              <w:tabs>
                <w:tab w:val="left" w:pos="13965"/>
              </w:tabs>
              <w:jc w:val="center"/>
              <w:rPr>
                <w:rFonts w:ascii="宋体" w:hAnsi="宋体"/>
                <w:sz w:val="18"/>
                <w:szCs w:val="18"/>
              </w:rPr>
            </w:pPr>
            <w:r>
              <w:rPr>
                <w:rFonts w:ascii="宋体" w:hAnsi="宋体"/>
                <w:sz w:val="18"/>
                <w:szCs w:val="18"/>
              </w:rPr>
              <w:t>1</w:t>
            </w:r>
          </w:p>
        </w:tc>
        <w:tc>
          <w:tcPr>
            <w:tcW w:w="1355" w:type="pct"/>
            <w:vAlign w:val="center"/>
          </w:tcPr>
          <w:p w14:paraId="1990EB96">
            <w:pPr>
              <w:rPr>
                <w:rFonts w:ascii="宋体" w:hAnsi="宋体"/>
                <w:sz w:val="18"/>
                <w:szCs w:val="18"/>
              </w:rPr>
            </w:pPr>
            <w:r>
              <w:rPr>
                <w:rFonts w:hint="eastAsia" w:ascii="宋体" w:hAnsi="宋体"/>
                <w:sz w:val="18"/>
                <w:szCs w:val="18"/>
              </w:rPr>
              <w:t>设备制造商同类型项目业绩</w:t>
            </w:r>
          </w:p>
        </w:tc>
        <w:tc>
          <w:tcPr>
            <w:tcW w:w="283" w:type="pct"/>
            <w:vAlign w:val="center"/>
          </w:tcPr>
          <w:p w14:paraId="2BDFCCA4">
            <w:pPr>
              <w:tabs>
                <w:tab w:val="left" w:pos="13965"/>
              </w:tabs>
              <w:jc w:val="center"/>
              <w:rPr>
                <w:rFonts w:ascii="宋体" w:hAnsi="宋体"/>
                <w:sz w:val="18"/>
                <w:szCs w:val="18"/>
              </w:rPr>
            </w:pPr>
            <w:r>
              <w:rPr>
                <w:rFonts w:ascii="宋体" w:hAnsi="宋体"/>
                <w:sz w:val="18"/>
                <w:szCs w:val="18"/>
              </w:rPr>
              <w:t>10</w:t>
            </w:r>
          </w:p>
        </w:tc>
        <w:tc>
          <w:tcPr>
            <w:tcW w:w="2419" w:type="pct"/>
            <w:vAlign w:val="center"/>
          </w:tcPr>
          <w:p w14:paraId="3DD8370C">
            <w:pPr>
              <w:rPr>
                <w:rFonts w:ascii="宋体" w:hAnsi="宋体"/>
                <w:bCs/>
                <w:sz w:val="18"/>
                <w:szCs w:val="18"/>
              </w:rPr>
            </w:pPr>
            <w:r>
              <w:rPr>
                <w:rFonts w:hint="eastAsia" w:ascii="宋体" w:hAnsi="宋体"/>
                <w:bCs/>
                <w:sz w:val="18"/>
                <w:szCs w:val="18"/>
              </w:rPr>
              <w:t>由评标委员会成员独立进行客观、公正的评价，按照优、良、一般进行赋分，最高</w:t>
            </w:r>
            <w:r>
              <w:rPr>
                <w:rFonts w:ascii="宋体" w:hAnsi="宋体"/>
                <w:bCs/>
                <w:sz w:val="18"/>
                <w:szCs w:val="18"/>
              </w:rPr>
              <w:t>10</w:t>
            </w:r>
            <w:r>
              <w:rPr>
                <w:rFonts w:hint="eastAsia" w:ascii="宋体" w:hAnsi="宋体"/>
                <w:bCs/>
                <w:sz w:val="18"/>
                <w:szCs w:val="18"/>
              </w:rPr>
              <w:t>分（时间以签订日期为准）。</w:t>
            </w:r>
          </w:p>
          <w:p w14:paraId="79F8486F">
            <w:pPr>
              <w:rPr>
                <w:rFonts w:ascii="宋体" w:hAnsi="宋体"/>
                <w:sz w:val="18"/>
                <w:szCs w:val="18"/>
              </w:rPr>
            </w:pPr>
            <w:r>
              <w:rPr>
                <w:rFonts w:hint="eastAsia" w:ascii="宋体" w:hAnsi="宋体"/>
                <w:bCs/>
                <w:sz w:val="18"/>
                <w:szCs w:val="18"/>
              </w:rPr>
              <w:t>投标人在20</w:t>
            </w:r>
            <w:r>
              <w:rPr>
                <w:rFonts w:ascii="宋体" w:hAnsi="宋体"/>
                <w:bCs/>
                <w:sz w:val="18"/>
                <w:szCs w:val="18"/>
              </w:rPr>
              <w:t>2</w:t>
            </w:r>
            <w:r>
              <w:rPr>
                <w:rFonts w:hint="eastAsia" w:ascii="宋体" w:hAnsi="宋体"/>
                <w:bCs/>
                <w:sz w:val="18"/>
                <w:szCs w:val="18"/>
              </w:rPr>
              <w:t>3年1月1日以来在中国与本标同类规格产品的业绩，以合同复印件加盖公章为准（须有客户联系方式及联系人以供招标人核实确认）。</w:t>
            </w:r>
          </w:p>
        </w:tc>
      </w:tr>
      <w:tr w14:paraId="2416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351" w:type="pct"/>
            <w:vMerge w:val="continue"/>
            <w:vAlign w:val="center"/>
          </w:tcPr>
          <w:p w14:paraId="56159508">
            <w:pPr>
              <w:jc w:val="center"/>
              <w:rPr>
                <w:rFonts w:ascii="宋体" w:hAnsi="宋体"/>
                <w:sz w:val="18"/>
                <w:szCs w:val="18"/>
              </w:rPr>
            </w:pPr>
          </w:p>
        </w:tc>
        <w:tc>
          <w:tcPr>
            <w:tcW w:w="294" w:type="pct"/>
            <w:vMerge w:val="restart"/>
            <w:vAlign w:val="center"/>
          </w:tcPr>
          <w:p w14:paraId="527E21AA">
            <w:pPr>
              <w:jc w:val="center"/>
              <w:rPr>
                <w:rFonts w:ascii="宋体" w:hAnsi="宋体"/>
                <w:sz w:val="18"/>
                <w:szCs w:val="18"/>
              </w:rPr>
            </w:pPr>
            <w:r>
              <w:rPr>
                <w:rFonts w:hint="eastAsia" w:ascii="宋体" w:hAnsi="宋体"/>
                <w:sz w:val="18"/>
                <w:szCs w:val="18"/>
              </w:rPr>
              <w:t>产品技术</w:t>
            </w:r>
          </w:p>
        </w:tc>
        <w:tc>
          <w:tcPr>
            <w:tcW w:w="295" w:type="pct"/>
            <w:vAlign w:val="center"/>
          </w:tcPr>
          <w:p w14:paraId="27AE5660">
            <w:pPr>
              <w:jc w:val="center"/>
              <w:rPr>
                <w:rFonts w:ascii="宋体" w:hAnsi="宋体"/>
                <w:sz w:val="18"/>
                <w:szCs w:val="18"/>
              </w:rPr>
            </w:pPr>
            <w:r>
              <w:rPr>
                <w:rFonts w:ascii="宋体" w:hAnsi="宋体"/>
                <w:sz w:val="18"/>
                <w:szCs w:val="18"/>
              </w:rPr>
              <w:t>2</w:t>
            </w:r>
          </w:p>
        </w:tc>
        <w:tc>
          <w:tcPr>
            <w:tcW w:w="1355" w:type="pct"/>
            <w:vAlign w:val="center"/>
          </w:tcPr>
          <w:p w14:paraId="611A60B5">
            <w:pPr>
              <w:rPr>
                <w:rFonts w:ascii="宋体" w:hAnsi="宋体"/>
                <w:bCs/>
                <w:sz w:val="18"/>
                <w:szCs w:val="18"/>
              </w:rPr>
            </w:pPr>
            <w:r>
              <w:rPr>
                <w:rFonts w:hint="eastAsia" w:ascii="宋体" w:hAnsi="宋体"/>
                <w:bCs/>
                <w:sz w:val="18"/>
                <w:szCs w:val="18"/>
              </w:rPr>
              <w:t>设备制造商装备制造能力、生产设备、加工工艺、完善程度</w:t>
            </w:r>
          </w:p>
        </w:tc>
        <w:tc>
          <w:tcPr>
            <w:tcW w:w="283" w:type="pct"/>
            <w:vAlign w:val="center"/>
          </w:tcPr>
          <w:p w14:paraId="0F1A34C9">
            <w:pPr>
              <w:jc w:val="center"/>
              <w:rPr>
                <w:rFonts w:ascii="宋体" w:hAnsi="宋体"/>
                <w:sz w:val="18"/>
                <w:szCs w:val="18"/>
              </w:rPr>
            </w:pPr>
            <w:r>
              <w:rPr>
                <w:rFonts w:ascii="宋体" w:hAnsi="宋体"/>
                <w:sz w:val="18"/>
                <w:szCs w:val="18"/>
              </w:rPr>
              <w:t>15</w:t>
            </w:r>
          </w:p>
        </w:tc>
        <w:tc>
          <w:tcPr>
            <w:tcW w:w="2419" w:type="pct"/>
            <w:vAlign w:val="center"/>
          </w:tcPr>
          <w:p w14:paraId="19056B68">
            <w:pPr>
              <w:rPr>
                <w:rFonts w:ascii="宋体" w:hAnsi="宋体"/>
                <w:sz w:val="18"/>
                <w:szCs w:val="18"/>
              </w:rPr>
            </w:pPr>
            <w:r>
              <w:rPr>
                <w:rFonts w:hint="eastAsia" w:ascii="宋体" w:hAnsi="宋体"/>
                <w:bCs/>
                <w:sz w:val="18"/>
                <w:szCs w:val="18"/>
              </w:rPr>
              <w:t>由评标委员会成员独立进行客观、公正的评价，按照优、良、一般进行赋分，最高1</w:t>
            </w:r>
            <w:r>
              <w:rPr>
                <w:rFonts w:ascii="宋体" w:hAnsi="宋体"/>
                <w:bCs/>
                <w:sz w:val="18"/>
                <w:szCs w:val="18"/>
              </w:rPr>
              <w:t>5</w:t>
            </w:r>
            <w:r>
              <w:rPr>
                <w:rFonts w:hint="eastAsia" w:ascii="宋体" w:hAnsi="宋体"/>
                <w:bCs/>
                <w:sz w:val="18"/>
                <w:szCs w:val="18"/>
              </w:rPr>
              <w:t>分。</w:t>
            </w:r>
          </w:p>
        </w:tc>
      </w:tr>
      <w:tr w14:paraId="5B9D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 w:hRule="atLeast"/>
          <w:jc w:val="center"/>
        </w:trPr>
        <w:tc>
          <w:tcPr>
            <w:tcW w:w="351" w:type="pct"/>
            <w:vMerge w:val="continue"/>
            <w:vAlign w:val="center"/>
          </w:tcPr>
          <w:p w14:paraId="297D9663">
            <w:pPr>
              <w:jc w:val="center"/>
              <w:rPr>
                <w:rFonts w:ascii="宋体" w:hAnsi="宋体"/>
                <w:sz w:val="18"/>
                <w:szCs w:val="18"/>
              </w:rPr>
            </w:pPr>
          </w:p>
        </w:tc>
        <w:tc>
          <w:tcPr>
            <w:tcW w:w="294" w:type="pct"/>
            <w:vMerge w:val="continue"/>
            <w:vAlign w:val="center"/>
          </w:tcPr>
          <w:p w14:paraId="3D0DC081">
            <w:pPr>
              <w:jc w:val="center"/>
              <w:rPr>
                <w:rFonts w:ascii="宋体" w:hAnsi="宋体"/>
                <w:sz w:val="18"/>
                <w:szCs w:val="18"/>
              </w:rPr>
            </w:pPr>
          </w:p>
        </w:tc>
        <w:tc>
          <w:tcPr>
            <w:tcW w:w="295" w:type="pct"/>
            <w:vAlign w:val="center"/>
          </w:tcPr>
          <w:p w14:paraId="3A0720D4">
            <w:pPr>
              <w:jc w:val="center"/>
              <w:rPr>
                <w:rFonts w:ascii="宋体" w:hAnsi="宋体"/>
                <w:sz w:val="18"/>
                <w:szCs w:val="18"/>
              </w:rPr>
            </w:pPr>
            <w:r>
              <w:rPr>
                <w:rFonts w:hint="eastAsia" w:ascii="宋体" w:hAnsi="宋体"/>
                <w:sz w:val="18"/>
                <w:szCs w:val="18"/>
              </w:rPr>
              <w:t>3</w:t>
            </w:r>
          </w:p>
        </w:tc>
        <w:tc>
          <w:tcPr>
            <w:tcW w:w="1355" w:type="pct"/>
            <w:vAlign w:val="center"/>
          </w:tcPr>
          <w:p w14:paraId="0EFBB08F">
            <w:pPr>
              <w:rPr>
                <w:rFonts w:ascii="宋体" w:hAnsi="宋体"/>
                <w:bCs/>
                <w:sz w:val="18"/>
                <w:szCs w:val="18"/>
              </w:rPr>
            </w:pPr>
            <w:r>
              <w:rPr>
                <w:rFonts w:hint="eastAsia" w:ascii="宋体" w:hAnsi="宋体"/>
                <w:bCs/>
                <w:sz w:val="18"/>
                <w:szCs w:val="18"/>
              </w:rPr>
              <w:t>产品方案技术先进、各系统完善、性能可靠，设备主要核心部件，具备自身技术优势</w:t>
            </w:r>
          </w:p>
        </w:tc>
        <w:tc>
          <w:tcPr>
            <w:tcW w:w="283" w:type="pct"/>
            <w:vAlign w:val="center"/>
          </w:tcPr>
          <w:p w14:paraId="6F0589DF">
            <w:pPr>
              <w:jc w:val="center"/>
              <w:rPr>
                <w:rFonts w:ascii="宋体" w:hAnsi="宋体"/>
                <w:sz w:val="18"/>
                <w:szCs w:val="18"/>
              </w:rPr>
            </w:pPr>
            <w:r>
              <w:rPr>
                <w:rFonts w:ascii="宋体" w:hAnsi="宋体"/>
                <w:sz w:val="18"/>
                <w:szCs w:val="18"/>
              </w:rPr>
              <w:t>40</w:t>
            </w:r>
          </w:p>
        </w:tc>
        <w:tc>
          <w:tcPr>
            <w:tcW w:w="2419" w:type="pct"/>
            <w:vAlign w:val="center"/>
          </w:tcPr>
          <w:p w14:paraId="7E39DBC8">
            <w:pPr>
              <w:rPr>
                <w:rFonts w:ascii="宋体" w:hAnsi="宋体"/>
                <w:bCs/>
                <w:sz w:val="18"/>
                <w:szCs w:val="18"/>
              </w:rPr>
            </w:pPr>
            <w:r>
              <w:rPr>
                <w:rFonts w:hint="eastAsia" w:ascii="宋体" w:hAnsi="宋体"/>
                <w:sz w:val="18"/>
                <w:szCs w:val="18"/>
              </w:rPr>
              <w:t>以下各项由评标委员会成员独立进行客观、公正的评价打分。</w:t>
            </w:r>
          </w:p>
          <w:p w14:paraId="3D432FD0">
            <w:pPr>
              <w:rPr>
                <w:rFonts w:ascii="宋体" w:hAnsi="宋体"/>
                <w:sz w:val="18"/>
                <w:szCs w:val="18"/>
              </w:rPr>
            </w:pPr>
            <w:r>
              <w:rPr>
                <w:rFonts w:hint="eastAsia" w:ascii="宋体" w:hAnsi="宋体"/>
                <w:bCs/>
                <w:sz w:val="18"/>
                <w:szCs w:val="18"/>
              </w:rPr>
              <w:t>投标文件中技术方案、软硬件配置、处理工艺、设施明细、技术参数、综合性能、控制方案等的先进性、符合性、适用性进行分析比较、评议、综合打分，按照优、良、一般进行赋分，最高40分。</w:t>
            </w:r>
          </w:p>
        </w:tc>
      </w:tr>
      <w:tr w14:paraId="1BE5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351" w:type="pct"/>
            <w:vMerge w:val="continue"/>
            <w:vAlign w:val="center"/>
          </w:tcPr>
          <w:p w14:paraId="5A7E1C92">
            <w:pPr>
              <w:jc w:val="center"/>
              <w:rPr>
                <w:rFonts w:ascii="宋体" w:hAnsi="宋体"/>
                <w:sz w:val="18"/>
                <w:szCs w:val="18"/>
              </w:rPr>
            </w:pPr>
          </w:p>
        </w:tc>
        <w:tc>
          <w:tcPr>
            <w:tcW w:w="294" w:type="pct"/>
            <w:vAlign w:val="center"/>
          </w:tcPr>
          <w:p w14:paraId="31AC34C3">
            <w:pPr>
              <w:jc w:val="center"/>
              <w:rPr>
                <w:rFonts w:ascii="宋体" w:hAnsi="宋体"/>
                <w:sz w:val="18"/>
                <w:szCs w:val="18"/>
              </w:rPr>
            </w:pPr>
            <w:r>
              <w:rPr>
                <w:rFonts w:hint="eastAsia" w:ascii="宋体" w:hAnsi="宋体"/>
                <w:sz w:val="18"/>
                <w:szCs w:val="18"/>
              </w:rPr>
              <w:t>答疑</w:t>
            </w:r>
          </w:p>
        </w:tc>
        <w:tc>
          <w:tcPr>
            <w:tcW w:w="295" w:type="pct"/>
            <w:vAlign w:val="center"/>
          </w:tcPr>
          <w:p w14:paraId="6AD72B08">
            <w:pPr>
              <w:jc w:val="center"/>
              <w:rPr>
                <w:rFonts w:ascii="宋体" w:hAnsi="宋体"/>
                <w:sz w:val="18"/>
                <w:szCs w:val="18"/>
              </w:rPr>
            </w:pPr>
            <w:r>
              <w:rPr>
                <w:rFonts w:hint="eastAsia" w:ascii="宋体" w:hAnsi="宋体"/>
                <w:sz w:val="18"/>
                <w:szCs w:val="18"/>
              </w:rPr>
              <w:t>4</w:t>
            </w:r>
          </w:p>
        </w:tc>
        <w:tc>
          <w:tcPr>
            <w:tcW w:w="1355" w:type="pct"/>
            <w:vAlign w:val="center"/>
          </w:tcPr>
          <w:p w14:paraId="2AC1E2D6">
            <w:pPr>
              <w:rPr>
                <w:rFonts w:ascii="宋体" w:hAnsi="宋体"/>
                <w:bCs/>
                <w:sz w:val="18"/>
                <w:szCs w:val="18"/>
              </w:rPr>
            </w:pPr>
            <w:r>
              <w:rPr>
                <w:rFonts w:hint="eastAsia" w:ascii="宋体" w:hAnsi="宋体"/>
                <w:bCs/>
                <w:sz w:val="18"/>
                <w:szCs w:val="18"/>
              </w:rPr>
              <w:t>现场答疑</w:t>
            </w:r>
          </w:p>
        </w:tc>
        <w:tc>
          <w:tcPr>
            <w:tcW w:w="283" w:type="pct"/>
            <w:vAlign w:val="center"/>
          </w:tcPr>
          <w:p w14:paraId="73938A35">
            <w:pPr>
              <w:jc w:val="center"/>
              <w:rPr>
                <w:rFonts w:ascii="宋体" w:hAnsi="宋体"/>
                <w:sz w:val="18"/>
                <w:szCs w:val="18"/>
              </w:rPr>
            </w:pPr>
            <w:r>
              <w:rPr>
                <w:rFonts w:ascii="宋体" w:hAnsi="宋体"/>
                <w:sz w:val="18"/>
                <w:szCs w:val="18"/>
              </w:rPr>
              <w:t>5</w:t>
            </w:r>
          </w:p>
        </w:tc>
        <w:tc>
          <w:tcPr>
            <w:tcW w:w="2419" w:type="pct"/>
            <w:vAlign w:val="center"/>
          </w:tcPr>
          <w:p w14:paraId="2630036F">
            <w:pPr>
              <w:rPr>
                <w:rFonts w:ascii="宋体" w:hAnsi="宋体"/>
                <w:bCs/>
                <w:sz w:val="18"/>
                <w:szCs w:val="18"/>
              </w:rPr>
            </w:pPr>
            <w:r>
              <w:rPr>
                <w:rFonts w:hint="eastAsia" w:ascii="宋体" w:hAnsi="宋体"/>
                <w:sz w:val="18"/>
                <w:szCs w:val="18"/>
              </w:rPr>
              <w:t>投标人代表对方案、技术优势的讲解，以及就该项目难点回答评标专家现场提问，打分0-5分。</w:t>
            </w:r>
          </w:p>
        </w:tc>
      </w:tr>
      <w:tr w14:paraId="6F45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continue"/>
            <w:vAlign w:val="center"/>
          </w:tcPr>
          <w:p w14:paraId="31992D1C">
            <w:pPr>
              <w:jc w:val="center"/>
              <w:rPr>
                <w:rFonts w:ascii="宋体" w:hAnsi="宋体"/>
                <w:sz w:val="18"/>
                <w:szCs w:val="18"/>
              </w:rPr>
            </w:pPr>
          </w:p>
        </w:tc>
        <w:tc>
          <w:tcPr>
            <w:tcW w:w="294" w:type="pct"/>
            <w:vAlign w:val="center"/>
          </w:tcPr>
          <w:p w14:paraId="243F7B18">
            <w:pPr>
              <w:jc w:val="center"/>
              <w:rPr>
                <w:rFonts w:ascii="宋体" w:hAnsi="宋体"/>
                <w:sz w:val="18"/>
                <w:szCs w:val="18"/>
              </w:rPr>
            </w:pPr>
            <w:r>
              <w:rPr>
                <w:rFonts w:hint="eastAsia" w:ascii="宋体" w:hAnsi="宋体"/>
                <w:sz w:val="18"/>
                <w:szCs w:val="18"/>
              </w:rPr>
              <w:t>技术偏离</w:t>
            </w:r>
          </w:p>
        </w:tc>
        <w:tc>
          <w:tcPr>
            <w:tcW w:w="295" w:type="pct"/>
            <w:vAlign w:val="center"/>
          </w:tcPr>
          <w:p w14:paraId="7D7D9B04">
            <w:pPr>
              <w:jc w:val="center"/>
              <w:rPr>
                <w:rFonts w:ascii="宋体" w:hAnsi="宋体"/>
                <w:sz w:val="18"/>
                <w:szCs w:val="18"/>
              </w:rPr>
            </w:pPr>
            <w:r>
              <w:rPr>
                <w:rFonts w:ascii="宋体" w:hAnsi="宋体"/>
                <w:sz w:val="18"/>
                <w:szCs w:val="18"/>
              </w:rPr>
              <w:t>5</w:t>
            </w:r>
          </w:p>
        </w:tc>
        <w:tc>
          <w:tcPr>
            <w:tcW w:w="1355" w:type="pct"/>
            <w:vAlign w:val="center"/>
          </w:tcPr>
          <w:p w14:paraId="62445BF7">
            <w:pPr>
              <w:rPr>
                <w:rFonts w:ascii="宋体" w:hAnsi="宋体"/>
                <w:sz w:val="18"/>
                <w:szCs w:val="18"/>
              </w:rPr>
            </w:pPr>
            <w:r>
              <w:rPr>
                <w:rFonts w:hint="eastAsia" w:ascii="宋体" w:hAnsi="宋体"/>
                <w:bCs/>
                <w:sz w:val="18"/>
                <w:szCs w:val="18"/>
              </w:rPr>
              <w:t>技术偏离</w:t>
            </w:r>
          </w:p>
        </w:tc>
        <w:tc>
          <w:tcPr>
            <w:tcW w:w="283" w:type="pct"/>
            <w:vAlign w:val="center"/>
          </w:tcPr>
          <w:p w14:paraId="58F36262">
            <w:pPr>
              <w:jc w:val="center"/>
              <w:rPr>
                <w:rFonts w:ascii="宋体" w:hAnsi="宋体"/>
                <w:sz w:val="18"/>
                <w:szCs w:val="18"/>
              </w:rPr>
            </w:pPr>
            <w:r>
              <w:rPr>
                <w:rFonts w:ascii="宋体" w:hAnsi="宋体"/>
                <w:sz w:val="18"/>
                <w:szCs w:val="18"/>
              </w:rPr>
              <w:t>15</w:t>
            </w:r>
          </w:p>
        </w:tc>
        <w:tc>
          <w:tcPr>
            <w:tcW w:w="2419" w:type="pct"/>
            <w:vAlign w:val="center"/>
          </w:tcPr>
          <w:p w14:paraId="56EAAE3A">
            <w:pPr>
              <w:jc w:val="left"/>
              <w:rPr>
                <w:rFonts w:ascii="宋体" w:hAnsi="宋体"/>
                <w:bCs/>
                <w:sz w:val="18"/>
                <w:szCs w:val="18"/>
              </w:rPr>
            </w:pPr>
            <w:r>
              <w:rPr>
                <w:rFonts w:hint="eastAsia" w:ascii="宋体" w:hAnsi="宋体"/>
                <w:bCs/>
                <w:sz w:val="18"/>
                <w:szCs w:val="18"/>
              </w:rPr>
              <w:t>由评标委员会成员独立进行客观、公正的评价，根据各投标单位的核心产品的配置参数、技术偏离情况，在满足我司技术基本要求的前提下偏离，无偏离得满分</w:t>
            </w:r>
            <w:r>
              <w:rPr>
                <w:rFonts w:ascii="宋体" w:hAnsi="宋体"/>
                <w:bCs/>
                <w:sz w:val="18"/>
                <w:szCs w:val="18"/>
              </w:rPr>
              <w:t>15</w:t>
            </w:r>
            <w:r>
              <w:rPr>
                <w:rFonts w:hint="eastAsia" w:ascii="宋体" w:hAnsi="宋体"/>
                <w:bCs/>
                <w:sz w:val="18"/>
                <w:szCs w:val="18"/>
              </w:rPr>
              <w:t>分，较大偏离每一项扣</w:t>
            </w:r>
            <w:r>
              <w:rPr>
                <w:rFonts w:ascii="宋体" w:hAnsi="宋体"/>
                <w:bCs/>
                <w:sz w:val="18"/>
                <w:szCs w:val="18"/>
              </w:rPr>
              <w:t>3</w:t>
            </w:r>
            <w:r>
              <w:rPr>
                <w:rFonts w:hint="eastAsia" w:ascii="宋体" w:hAnsi="宋体"/>
                <w:bCs/>
                <w:sz w:val="18"/>
                <w:szCs w:val="18"/>
              </w:rPr>
              <w:t>分，一般偏离每一项扣</w:t>
            </w:r>
            <w:r>
              <w:rPr>
                <w:rFonts w:ascii="宋体" w:hAnsi="宋体"/>
                <w:bCs/>
                <w:sz w:val="18"/>
                <w:szCs w:val="18"/>
              </w:rPr>
              <w:t>2</w:t>
            </w:r>
            <w:r>
              <w:rPr>
                <w:rFonts w:hint="eastAsia" w:ascii="宋体" w:hAnsi="宋体"/>
                <w:bCs/>
                <w:sz w:val="18"/>
                <w:szCs w:val="18"/>
              </w:rPr>
              <w:t>分，最低得分</w:t>
            </w:r>
            <w:r>
              <w:rPr>
                <w:rFonts w:ascii="宋体" w:hAnsi="宋体"/>
                <w:bCs/>
                <w:sz w:val="18"/>
                <w:szCs w:val="18"/>
              </w:rPr>
              <w:t>0</w:t>
            </w:r>
            <w:r>
              <w:rPr>
                <w:rFonts w:hint="eastAsia" w:ascii="宋体" w:hAnsi="宋体"/>
                <w:bCs/>
                <w:sz w:val="18"/>
                <w:szCs w:val="18"/>
              </w:rPr>
              <w:t>分。</w:t>
            </w:r>
          </w:p>
        </w:tc>
      </w:tr>
      <w:tr w14:paraId="6011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continue"/>
            <w:vAlign w:val="center"/>
          </w:tcPr>
          <w:p w14:paraId="69B3FEC4">
            <w:pPr>
              <w:jc w:val="center"/>
              <w:rPr>
                <w:rFonts w:ascii="宋体" w:hAnsi="宋体"/>
                <w:sz w:val="18"/>
                <w:szCs w:val="18"/>
              </w:rPr>
            </w:pPr>
          </w:p>
        </w:tc>
        <w:tc>
          <w:tcPr>
            <w:tcW w:w="294" w:type="pct"/>
            <w:vMerge w:val="restart"/>
            <w:vAlign w:val="center"/>
          </w:tcPr>
          <w:p w14:paraId="29DA7E9F">
            <w:pPr>
              <w:jc w:val="center"/>
              <w:rPr>
                <w:rFonts w:ascii="宋体" w:hAnsi="宋体"/>
                <w:sz w:val="18"/>
                <w:szCs w:val="18"/>
              </w:rPr>
            </w:pPr>
            <w:r>
              <w:rPr>
                <w:rFonts w:hint="eastAsia" w:ascii="宋体" w:hAnsi="宋体"/>
                <w:sz w:val="18"/>
                <w:szCs w:val="18"/>
              </w:rPr>
              <w:t>售后服务</w:t>
            </w:r>
          </w:p>
        </w:tc>
        <w:tc>
          <w:tcPr>
            <w:tcW w:w="295" w:type="pct"/>
            <w:vAlign w:val="center"/>
          </w:tcPr>
          <w:p w14:paraId="1B884B21">
            <w:pPr>
              <w:jc w:val="center"/>
              <w:rPr>
                <w:rFonts w:ascii="宋体" w:hAnsi="宋体"/>
                <w:sz w:val="18"/>
                <w:szCs w:val="18"/>
              </w:rPr>
            </w:pPr>
            <w:r>
              <w:rPr>
                <w:rFonts w:ascii="宋体" w:hAnsi="宋体"/>
                <w:sz w:val="18"/>
                <w:szCs w:val="18"/>
              </w:rPr>
              <w:t>6</w:t>
            </w:r>
          </w:p>
        </w:tc>
        <w:tc>
          <w:tcPr>
            <w:tcW w:w="1355" w:type="pct"/>
            <w:vAlign w:val="center"/>
          </w:tcPr>
          <w:p w14:paraId="0FD75622">
            <w:pPr>
              <w:rPr>
                <w:rFonts w:ascii="宋体" w:hAnsi="宋体"/>
                <w:sz w:val="18"/>
                <w:szCs w:val="18"/>
              </w:rPr>
            </w:pPr>
            <w:r>
              <w:rPr>
                <w:rFonts w:hint="eastAsia" w:ascii="宋体" w:hAnsi="宋体"/>
                <w:sz w:val="18"/>
                <w:szCs w:val="18"/>
              </w:rPr>
              <w:t>技术培训方案：对采购方人员的技术培训方案安排科学、合理、可行</w:t>
            </w:r>
          </w:p>
        </w:tc>
        <w:tc>
          <w:tcPr>
            <w:tcW w:w="283" w:type="pct"/>
            <w:vAlign w:val="center"/>
          </w:tcPr>
          <w:p w14:paraId="66FB0050">
            <w:pPr>
              <w:jc w:val="center"/>
              <w:rPr>
                <w:rFonts w:ascii="宋体" w:hAnsi="宋体"/>
                <w:sz w:val="18"/>
                <w:szCs w:val="18"/>
              </w:rPr>
            </w:pPr>
            <w:r>
              <w:rPr>
                <w:rFonts w:ascii="宋体" w:hAnsi="宋体"/>
                <w:sz w:val="18"/>
                <w:szCs w:val="18"/>
              </w:rPr>
              <w:t>5</w:t>
            </w:r>
          </w:p>
        </w:tc>
        <w:tc>
          <w:tcPr>
            <w:tcW w:w="2419" w:type="pct"/>
            <w:vAlign w:val="center"/>
          </w:tcPr>
          <w:p w14:paraId="77E4067C">
            <w:pPr>
              <w:rPr>
                <w:rFonts w:ascii="宋体" w:hAnsi="宋体"/>
                <w:bCs/>
                <w:sz w:val="18"/>
                <w:szCs w:val="18"/>
              </w:rPr>
            </w:pPr>
            <w:r>
              <w:rPr>
                <w:rFonts w:hint="eastAsia" w:ascii="宋体" w:hAnsi="宋体"/>
                <w:bCs/>
                <w:sz w:val="18"/>
                <w:szCs w:val="18"/>
              </w:rPr>
              <w:t>由评标委员会成员独立进行客观、公正的评价，按照优、良、一般进行赋分，最高5分。</w:t>
            </w:r>
          </w:p>
        </w:tc>
      </w:tr>
      <w:tr w14:paraId="3AE5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continue"/>
            <w:vAlign w:val="center"/>
          </w:tcPr>
          <w:p w14:paraId="3DBC8194">
            <w:pPr>
              <w:jc w:val="center"/>
              <w:rPr>
                <w:rFonts w:ascii="宋体" w:hAnsi="宋体"/>
                <w:sz w:val="18"/>
                <w:szCs w:val="18"/>
              </w:rPr>
            </w:pPr>
          </w:p>
        </w:tc>
        <w:tc>
          <w:tcPr>
            <w:tcW w:w="294" w:type="pct"/>
            <w:vMerge w:val="continue"/>
            <w:vAlign w:val="center"/>
          </w:tcPr>
          <w:p w14:paraId="413D7339">
            <w:pPr>
              <w:jc w:val="center"/>
              <w:rPr>
                <w:rFonts w:ascii="宋体" w:hAnsi="宋体"/>
                <w:sz w:val="18"/>
                <w:szCs w:val="18"/>
              </w:rPr>
            </w:pPr>
          </w:p>
        </w:tc>
        <w:tc>
          <w:tcPr>
            <w:tcW w:w="295" w:type="pct"/>
            <w:vAlign w:val="center"/>
          </w:tcPr>
          <w:p w14:paraId="10DCF950">
            <w:pPr>
              <w:jc w:val="center"/>
              <w:rPr>
                <w:rFonts w:ascii="宋体" w:hAnsi="宋体"/>
                <w:sz w:val="18"/>
                <w:szCs w:val="18"/>
              </w:rPr>
            </w:pPr>
            <w:r>
              <w:rPr>
                <w:rFonts w:ascii="宋体" w:hAnsi="宋体"/>
                <w:sz w:val="18"/>
                <w:szCs w:val="18"/>
              </w:rPr>
              <w:t>7</w:t>
            </w:r>
          </w:p>
        </w:tc>
        <w:tc>
          <w:tcPr>
            <w:tcW w:w="1355" w:type="pct"/>
            <w:vAlign w:val="center"/>
          </w:tcPr>
          <w:p w14:paraId="6EA1ED92">
            <w:pPr>
              <w:rPr>
                <w:rFonts w:ascii="宋体" w:hAnsi="宋体"/>
                <w:sz w:val="18"/>
                <w:szCs w:val="18"/>
              </w:rPr>
            </w:pPr>
            <w:r>
              <w:rPr>
                <w:rFonts w:hint="eastAsia" w:ascii="宋体" w:hAnsi="宋体"/>
                <w:bCs/>
                <w:sz w:val="18"/>
                <w:szCs w:val="18"/>
              </w:rPr>
              <w:t>投标人在中国有常驻的专业技术力量的维保机构并具有实施本项目维保的专业技术人员：</w:t>
            </w:r>
          </w:p>
        </w:tc>
        <w:tc>
          <w:tcPr>
            <w:tcW w:w="283" w:type="pct"/>
            <w:vAlign w:val="center"/>
          </w:tcPr>
          <w:p w14:paraId="0F13ECA8">
            <w:pPr>
              <w:jc w:val="center"/>
              <w:rPr>
                <w:rFonts w:ascii="宋体" w:hAnsi="宋体"/>
                <w:sz w:val="18"/>
                <w:szCs w:val="18"/>
              </w:rPr>
            </w:pPr>
            <w:r>
              <w:rPr>
                <w:rFonts w:ascii="宋体" w:hAnsi="宋体"/>
                <w:bCs/>
                <w:sz w:val="18"/>
                <w:szCs w:val="18"/>
              </w:rPr>
              <w:t>5</w:t>
            </w:r>
          </w:p>
        </w:tc>
        <w:tc>
          <w:tcPr>
            <w:tcW w:w="2419" w:type="pct"/>
            <w:vAlign w:val="center"/>
          </w:tcPr>
          <w:p w14:paraId="49E5677B">
            <w:pPr>
              <w:rPr>
                <w:rFonts w:ascii="宋体" w:hAnsi="宋体"/>
                <w:bCs/>
                <w:sz w:val="18"/>
                <w:szCs w:val="18"/>
              </w:rPr>
            </w:pPr>
            <w:r>
              <w:rPr>
                <w:rFonts w:hint="eastAsia" w:ascii="宋体" w:hAnsi="宋体"/>
                <w:bCs/>
                <w:sz w:val="18"/>
                <w:szCs w:val="18"/>
              </w:rPr>
              <w:t>由评标委员会成员独立进行客观、公正的评价，按照优、良、一般进行赋分，最高5分。</w:t>
            </w:r>
          </w:p>
        </w:tc>
      </w:tr>
      <w:tr w14:paraId="33F9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351" w:type="pct"/>
            <w:vMerge w:val="continue"/>
            <w:vAlign w:val="center"/>
          </w:tcPr>
          <w:p w14:paraId="4CC93777">
            <w:pPr>
              <w:jc w:val="center"/>
              <w:rPr>
                <w:rFonts w:ascii="宋体" w:hAnsi="宋体"/>
                <w:sz w:val="18"/>
                <w:szCs w:val="18"/>
              </w:rPr>
            </w:pPr>
          </w:p>
        </w:tc>
        <w:tc>
          <w:tcPr>
            <w:tcW w:w="294" w:type="pct"/>
            <w:vMerge w:val="continue"/>
            <w:vAlign w:val="center"/>
          </w:tcPr>
          <w:p w14:paraId="2AC2E78C">
            <w:pPr>
              <w:jc w:val="center"/>
              <w:rPr>
                <w:rFonts w:ascii="宋体" w:hAnsi="宋体"/>
                <w:sz w:val="18"/>
                <w:szCs w:val="18"/>
              </w:rPr>
            </w:pPr>
          </w:p>
        </w:tc>
        <w:tc>
          <w:tcPr>
            <w:tcW w:w="295" w:type="pct"/>
            <w:vAlign w:val="center"/>
          </w:tcPr>
          <w:p w14:paraId="10DEF70E">
            <w:pPr>
              <w:jc w:val="center"/>
              <w:rPr>
                <w:rFonts w:ascii="宋体" w:hAnsi="宋体"/>
                <w:sz w:val="18"/>
                <w:szCs w:val="18"/>
              </w:rPr>
            </w:pPr>
            <w:r>
              <w:rPr>
                <w:rFonts w:ascii="宋体" w:hAnsi="宋体"/>
                <w:sz w:val="18"/>
                <w:szCs w:val="18"/>
              </w:rPr>
              <w:t>8</w:t>
            </w:r>
          </w:p>
        </w:tc>
        <w:tc>
          <w:tcPr>
            <w:tcW w:w="1355" w:type="pct"/>
            <w:vAlign w:val="center"/>
          </w:tcPr>
          <w:p w14:paraId="268AD73B">
            <w:pPr>
              <w:rPr>
                <w:rFonts w:ascii="宋体" w:hAnsi="宋体"/>
                <w:sz w:val="18"/>
                <w:szCs w:val="18"/>
              </w:rPr>
            </w:pPr>
            <w:r>
              <w:rPr>
                <w:rFonts w:hint="eastAsia" w:ascii="宋体" w:hAnsi="宋体"/>
                <w:sz w:val="18"/>
                <w:szCs w:val="18"/>
              </w:rPr>
              <w:t>售后服务及时周到，有相应的服务承诺和具体的保证措施</w:t>
            </w:r>
          </w:p>
        </w:tc>
        <w:tc>
          <w:tcPr>
            <w:tcW w:w="283" w:type="pct"/>
            <w:vAlign w:val="center"/>
          </w:tcPr>
          <w:p w14:paraId="28C67540">
            <w:pPr>
              <w:jc w:val="center"/>
              <w:rPr>
                <w:rFonts w:ascii="宋体" w:hAnsi="宋体"/>
                <w:sz w:val="18"/>
                <w:szCs w:val="18"/>
              </w:rPr>
            </w:pPr>
            <w:r>
              <w:rPr>
                <w:rFonts w:hint="eastAsia" w:ascii="宋体" w:hAnsi="宋体"/>
                <w:sz w:val="18"/>
                <w:szCs w:val="18"/>
              </w:rPr>
              <w:t>5</w:t>
            </w:r>
          </w:p>
        </w:tc>
        <w:tc>
          <w:tcPr>
            <w:tcW w:w="2419" w:type="pct"/>
            <w:vAlign w:val="center"/>
          </w:tcPr>
          <w:p w14:paraId="65BB9834">
            <w:pPr>
              <w:rPr>
                <w:rFonts w:ascii="宋体" w:hAnsi="宋体"/>
                <w:bCs/>
                <w:sz w:val="18"/>
                <w:szCs w:val="18"/>
              </w:rPr>
            </w:pPr>
            <w:r>
              <w:rPr>
                <w:rFonts w:hint="eastAsia" w:ascii="宋体" w:hAnsi="宋体"/>
                <w:bCs/>
                <w:sz w:val="18"/>
                <w:szCs w:val="18"/>
              </w:rPr>
              <w:t>由评标委员会成员独立进行客观、公正的评价，按照优、良、一般进行赋分，最高</w:t>
            </w:r>
            <w:r>
              <w:rPr>
                <w:rFonts w:ascii="宋体" w:hAnsi="宋体"/>
                <w:bCs/>
                <w:sz w:val="18"/>
                <w:szCs w:val="18"/>
              </w:rPr>
              <w:t>5</w:t>
            </w:r>
            <w:r>
              <w:rPr>
                <w:rFonts w:hint="eastAsia" w:ascii="宋体" w:hAnsi="宋体"/>
                <w:bCs/>
                <w:sz w:val="18"/>
                <w:szCs w:val="18"/>
              </w:rPr>
              <w:t>分。</w:t>
            </w:r>
          </w:p>
        </w:tc>
      </w:tr>
    </w:tbl>
    <w:p w14:paraId="6F8772FA">
      <w:pPr>
        <w:rPr>
          <w:rFonts w:ascii="宋体" w:hAnsi="宋体" w:eastAsia="宋体" w:cs="Times New Roman"/>
          <w:b/>
          <w:bCs/>
          <w:sz w:val="24"/>
          <w:highlight w:val="none"/>
        </w:rPr>
      </w:pPr>
    </w:p>
    <w:p w14:paraId="041B2813">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2A5B9AF8">
      <w:pPr>
        <w:pStyle w:val="24"/>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2683BBEC">
      <w:pPr>
        <w:adjustRightInd w:val="0"/>
        <w:snapToGrid w:val="0"/>
        <w:jc w:val="left"/>
        <w:rPr>
          <w:rFonts w:ascii="宋体" w:hAnsi="宋体" w:eastAsia="宋体" w:cs="宋体"/>
          <w:sz w:val="24"/>
          <w:szCs w:val="24"/>
        </w:rPr>
      </w:pPr>
    </w:p>
    <w:p w14:paraId="09CE34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27149D49">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4BABCF64">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
                    <a:stretch>
                      <a:fillRect/>
                    </a:stretch>
                  </pic:blipFill>
                  <pic:spPr>
                    <a:xfrm>
                      <a:off x="0" y="0"/>
                      <a:ext cx="5758815" cy="2764790"/>
                    </a:xfrm>
                    <a:prstGeom prst="rect">
                      <a:avLst/>
                    </a:prstGeom>
                    <a:noFill/>
                    <a:ln>
                      <a:noFill/>
                    </a:ln>
                  </pic:spPr>
                </pic:pic>
              </a:graphicData>
            </a:graphic>
          </wp:inline>
        </w:drawing>
      </w:r>
    </w:p>
    <w:p w14:paraId="09672E83">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0991F4A">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1DD98AF9">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23" cstate="print"/>
                    <a:srcRect/>
                    <a:stretch>
                      <a:fillRect/>
                    </a:stretch>
                  </pic:blipFill>
                  <pic:spPr>
                    <a:xfrm>
                      <a:off x="0" y="0"/>
                      <a:ext cx="5760085" cy="2933065"/>
                    </a:xfrm>
                    <a:prstGeom prst="rect">
                      <a:avLst/>
                    </a:prstGeom>
                  </pic:spPr>
                </pic:pic>
              </a:graphicData>
            </a:graphic>
          </wp:inline>
        </w:drawing>
      </w:r>
    </w:p>
    <w:p w14:paraId="3C86E06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78B6D7B">
      <w:pPr>
        <w:spacing w:line="360" w:lineRule="auto"/>
        <w:rPr>
          <w:rFonts w:ascii="宋体" w:hAnsi="宋体" w:eastAsia="宋体" w:cs="宋体"/>
          <w:sz w:val="24"/>
          <w:szCs w:val="28"/>
        </w:rPr>
      </w:pPr>
    </w:p>
    <w:p w14:paraId="0C251211">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4" cstate="print"/>
                    <a:srcRect/>
                    <a:stretch>
                      <a:fillRect/>
                    </a:stretch>
                  </pic:blipFill>
                  <pic:spPr>
                    <a:xfrm>
                      <a:off x="0" y="0"/>
                      <a:ext cx="5760085" cy="2766695"/>
                    </a:xfrm>
                    <a:prstGeom prst="rect">
                      <a:avLst/>
                    </a:prstGeom>
                  </pic:spPr>
                </pic:pic>
              </a:graphicData>
            </a:graphic>
          </wp:inline>
        </w:drawing>
      </w:r>
    </w:p>
    <w:p w14:paraId="78B50B99">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65D792FD">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5" cstate="print"/>
                    <a:srcRect/>
                    <a:stretch>
                      <a:fillRect/>
                    </a:stretch>
                  </pic:blipFill>
                  <pic:spPr>
                    <a:xfrm>
                      <a:off x="0" y="0"/>
                      <a:ext cx="5760085" cy="2869565"/>
                    </a:xfrm>
                    <a:prstGeom prst="rect">
                      <a:avLst/>
                    </a:prstGeom>
                  </pic:spPr>
                </pic:pic>
              </a:graphicData>
            </a:graphic>
          </wp:inline>
        </w:drawing>
      </w:r>
    </w:p>
    <w:p w14:paraId="1AFC0652">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8F413B1">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6" cstate="print"/>
                    <a:srcRect/>
                    <a:stretch>
                      <a:fillRect/>
                    </a:stretch>
                  </pic:blipFill>
                  <pic:spPr>
                    <a:xfrm>
                      <a:off x="0" y="0"/>
                      <a:ext cx="5760085" cy="2853055"/>
                    </a:xfrm>
                    <a:prstGeom prst="rect">
                      <a:avLst/>
                    </a:prstGeom>
                  </pic:spPr>
                </pic:pic>
              </a:graphicData>
            </a:graphic>
          </wp:inline>
        </w:drawing>
      </w:r>
    </w:p>
    <w:p w14:paraId="78829901">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7"/>
                    <a:stretch>
                      <a:fillRect/>
                    </a:stretch>
                  </pic:blipFill>
                  <pic:spPr>
                    <a:xfrm>
                      <a:off x="0" y="0"/>
                      <a:ext cx="5758180" cy="3058795"/>
                    </a:xfrm>
                    <a:prstGeom prst="rect">
                      <a:avLst/>
                    </a:prstGeom>
                    <a:noFill/>
                    <a:ln>
                      <a:noFill/>
                    </a:ln>
                  </pic:spPr>
                </pic:pic>
              </a:graphicData>
            </a:graphic>
          </wp:inline>
        </w:drawing>
      </w:r>
    </w:p>
    <w:p w14:paraId="4D2995A7">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46434D58">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8" cstate="print"/>
                    <a:srcRect/>
                    <a:stretch>
                      <a:fillRect/>
                    </a:stretch>
                  </pic:blipFill>
                  <pic:spPr>
                    <a:xfrm>
                      <a:off x="0" y="0"/>
                      <a:ext cx="5760085" cy="2809875"/>
                    </a:xfrm>
                    <a:prstGeom prst="rect">
                      <a:avLst/>
                    </a:prstGeom>
                  </pic:spPr>
                </pic:pic>
              </a:graphicData>
            </a:graphic>
          </wp:inline>
        </w:drawing>
      </w:r>
    </w:p>
    <w:p w14:paraId="2D3C57F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5852B508">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1DF128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380A4F7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 xml:space="preserve">直管单位非生产招标 / </w:t>
      </w:r>
      <w:r>
        <w:rPr>
          <w:rFonts w:hint="eastAsia" w:ascii="宋体" w:hAnsi="宋体" w:cs="宋体"/>
          <w:b/>
          <w:bCs/>
          <w:color w:val="000000"/>
          <w:sz w:val="24"/>
          <w:szCs w:val="28"/>
          <w:highlight w:val="yellow"/>
          <w:lang w:val="en-US" w:eastAsia="zh-CN"/>
        </w:rPr>
        <w:t>货物</w:t>
      </w:r>
      <w:r>
        <w:rPr>
          <w:rFonts w:hint="eastAsia" w:ascii="宋体" w:hAnsi="宋体" w:eastAsia="宋体" w:cs="宋体"/>
          <w:b/>
          <w:bCs/>
          <w:color w:val="000000"/>
          <w:sz w:val="24"/>
          <w:szCs w:val="28"/>
          <w:highlight w:val="yellow"/>
        </w:rPr>
        <w:t xml:space="preserve"> / </w:t>
      </w:r>
      <w:r>
        <w:rPr>
          <w:rFonts w:hint="eastAsia" w:ascii="宋体" w:hAnsi="宋体" w:cs="宋体"/>
          <w:b/>
          <w:bCs/>
          <w:color w:val="000000"/>
          <w:sz w:val="24"/>
          <w:szCs w:val="28"/>
          <w:highlight w:val="yellow"/>
          <w:lang w:val="en-US" w:eastAsia="zh-CN"/>
        </w:rPr>
        <w:t>能源设施</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制造工程部</w:t>
      </w:r>
      <w:r>
        <w:rPr>
          <w:rFonts w:hint="eastAsia" w:ascii="宋体" w:hAnsi="宋体" w:eastAsia="宋体" w:cs="宋体"/>
          <w:b/>
          <w:bCs/>
          <w:color w:val="000000"/>
          <w:sz w:val="24"/>
          <w:szCs w:val="28"/>
          <w:highlight w:val="none"/>
        </w:rPr>
        <w:t>”。</w:t>
      </w:r>
    </w:p>
    <w:p w14:paraId="54AA7F8D">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28723617">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331091EC">
      <w:pPr>
        <w:outlineLvl w:val="9"/>
        <w:rPr>
          <w:rFonts w:hint="default"/>
          <w:lang w:val="en-US" w:eastAsia="zh-CN"/>
        </w:rPr>
        <w:sectPr>
          <w:headerReference r:id="rId16" w:type="first"/>
          <w:footerReference r:id="rId18" w:type="first"/>
          <w:headerReference r:id="rId15" w:type="default"/>
          <w:footerReference r:id="rId17"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9"/>
                    <a:stretch>
                      <a:fillRect/>
                    </a:stretch>
                  </pic:blipFill>
                  <pic:spPr>
                    <a:xfrm>
                      <a:off x="0" y="0"/>
                      <a:ext cx="5486400" cy="2661285"/>
                    </a:xfrm>
                    <a:prstGeom prst="rect">
                      <a:avLst/>
                    </a:prstGeom>
                    <a:noFill/>
                    <a:ln>
                      <a:noFill/>
                    </a:ln>
                  </pic:spPr>
                </pic:pic>
              </a:graphicData>
            </a:graphic>
          </wp:inline>
        </w:drawing>
      </w:r>
    </w:p>
    <w:p w14:paraId="0322D9BC">
      <w:pPr>
        <w:pStyle w:val="234"/>
        <w:numPr>
          <w:ilvl w:val="0"/>
          <w:numId w:val="0"/>
        </w:numPr>
        <w:ind w:leftChars="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7CFF49E0">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4"/>
          <w:rFonts w:hint="eastAsia" w:ascii="宋体" w:hAnsi="宋体" w:eastAsia="宋体" w:cs="宋体"/>
          <w:sz w:val="24"/>
          <w:szCs w:val="24"/>
        </w:rPr>
        <w:t>http</w:t>
      </w:r>
      <w:r>
        <w:rPr>
          <w:rStyle w:val="54"/>
          <w:rFonts w:hint="eastAsia" w:ascii="宋体" w:hAnsi="宋体" w:eastAsia="宋体" w:cs="宋体"/>
          <w:sz w:val="24"/>
          <w:szCs w:val="24"/>
          <w:lang w:val="en-US" w:eastAsia="zh-CN"/>
        </w:rPr>
        <w:t>s</w:t>
      </w:r>
      <w:r>
        <w:rPr>
          <w:rStyle w:val="54"/>
          <w:rFonts w:hint="eastAsia" w:ascii="宋体" w:hAnsi="宋体" w:eastAsia="宋体" w:cs="宋体"/>
          <w:sz w:val="24"/>
          <w:szCs w:val="24"/>
        </w:rPr>
        <w:t>://ecaitong.sinotruk.com:8012/</w:t>
      </w:r>
      <w:r>
        <w:rPr>
          <w:rStyle w:val="54"/>
          <w:rFonts w:hint="eastAsia" w:ascii="宋体" w:hAnsi="宋体" w:eastAsia="宋体" w:cs="宋体"/>
          <w:sz w:val="24"/>
          <w:szCs w:val="24"/>
        </w:rPr>
        <w:fldChar w:fldCharType="end"/>
      </w:r>
    </w:p>
    <w:p w14:paraId="3E0347FC">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7B3873D">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737B6F4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44E0B221">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30" cstate="print"/>
                    <a:srcRect/>
                    <a:stretch>
                      <a:fillRect/>
                    </a:stretch>
                  </pic:blipFill>
                  <pic:spPr>
                    <a:xfrm>
                      <a:off x="0" y="0"/>
                      <a:ext cx="5760085" cy="2269490"/>
                    </a:xfrm>
                    <a:prstGeom prst="rect">
                      <a:avLst/>
                    </a:prstGeom>
                  </pic:spPr>
                </pic:pic>
              </a:graphicData>
            </a:graphic>
          </wp:inline>
        </w:drawing>
      </w:r>
    </w:p>
    <w:p w14:paraId="111718E8">
      <w:pPr>
        <w:pStyle w:val="24"/>
      </w:pPr>
    </w:p>
    <w:p w14:paraId="4618762C">
      <w:pPr>
        <w:pStyle w:val="24"/>
      </w:pPr>
      <w:r>
        <w:rPr>
          <w:rFonts w:hint="eastAsia" w:cs="Times New Roman"/>
          <w:b/>
          <w:bCs/>
          <w:highlight w:val="none"/>
          <w:lang w:val="en-US" w:eastAsia="zh-CN"/>
        </w:rPr>
        <w:t>2、应标页面否为代理商请如实选择，若为代理商应标，请在应标后联系商务联系人</w:t>
      </w:r>
    </w:p>
    <w:p w14:paraId="6DCB54F0"/>
    <w:p w14:paraId="368555A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B9038AE">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F0ECDBE">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31" cstate="print"/>
                    <a:srcRect/>
                    <a:stretch>
                      <a:fillRect/>
                    </a:stretch>
                  </pic:blipFill>
                  <pic:spPr>
                    <a:xfrm>
                      <a:off x="0" y="0"/>
                      <a:ext cx="5760085" cy="2125345"/>
                    </a:xfrm>
                    <a:prstGeom prst="rect">
                      <a:avLst/>
                    </a:prstGeom>
                  </pic:spPr>
                </pic:pic>
              </a:graphicData>
            </a:graphic>
          </wp:inline>
        </w:drawing>
      </w:r>
    </w:p>
    <w:p w14:paraId="6ADC8CA2">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3CF38875">
      <w:pPr>
        <w:pStyle w:val="24"/>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079DE5EE">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32" cstate="print"/>
                    <a:srcRect/>
                    <a:stretch>
                      <a:fillRect/>
                    </a:stretch>
                  </pic:blipFill>
                  <pic:spPr>
                    <a:xfrm>
                      <a:off x="0" y="0"/>
                      <a:ext cx="5490210" cy="2668905"/>
                    </a:xfrm>
                    <a:prstGeom prst="rect">
                      <a:avLst/>
                    </a:prstGeom>
                  </pic:spPr>
                </pic:pic>
              </a:graphicData>
            </a:graphic>
          </wp:inline>
        </w:drawing>
      </w:r>
    </w:p>
    <w:p w14:paraId="75C3765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6E9F24CE">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295F44D3">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38A32741">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3" cstate="print"/>
                    <a:srcRect/>
                    <a:stretch>
                      <a:fillRect/>
                    </a:stretch>
                  </pic:blipFill>
                  <pic:spPr>
                    <a:xfrm>
                      <a:off x="0" y="0"/>
                      <a:ext cx="5490210" cy="1992629"/>
                    </a:xfrm>
                    <a:prstGeom prst="rect">
                      <a:avLst/>
                    </a:prstGeom>
                  </pic:spPr>
                </pic:pic>
              </a:graphicData>
            </a:graphic>
          </wp:inline>
        </w:drawing>
      </w:r>
    </w:p>
    <w:p w14:paraId="33CEA1E3">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058EF2B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42EBDBD6">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30C5C47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E8F245C">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6D44D50">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C0896C3">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4" cstate="print"/>
                    <a:srcRect/>
                    <a:stretch>
                      <a:fillRect/>
                    </a:stretch>
                  </pic:blipFill>
                  <pic:spPr>
                    <a:xfrm>
                      <a:off x="0" y="0"/>
                      <a:ext cx="5490210" cy="2544445"/>
                    </a:xfrm>
                    <a:prstGeom prst="rect">
                      <a:avLst/>
                    </a:prstGeom>
                  </pic:spPr>
                </pic:pic>
              </a:graphicData>
            </a:graphic>
          </wp:inline>
        </w:drawing>
      </w:r>
    </w:p>
    <w:p w14:paraId="6C69D558">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6104969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7B856D3C">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0EB71CEC">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5" cstate="print"/>
                    <a:srcRect/>
                    <a:stretch>
                      <a:fillRect/>
                    </a:stretch>
                  </pic:blipFill>
                  <pic:spPr>
                    <a:xfrm>
                      <a:off x="0" y="0"/>
                      <a:ext cx="5760085" cy="1956435"/>
                    </a:xfrm>
                    <a:prstGeom prst="rect">
                      <a:avLst/>
                    </a:prstGeom>
                  </pic:spPr>
                </pic:pic>
              </a:graphicData>
            </a:graphic>
          </wp:inline>
        </w:drawing>
      </w:r>
    </w:p>
    <w:p w14:paraId="563F9788">
      <w:pPr>
        <w:pStyle w:val="24"/>
        <w:rPr>
          <w:rFonts w:hAnsi="宋体" w:eastAsia="宋体" w:cs="Times New Roman"/>
          <w:b/>
          <w:color w:val="000000"/>
          <w:sz w:val="24"/>
          <w:szCs w:val="24"/>
        </w:rPr>
      </w:pPr>
    </w:p>
    <w:p w14:paraId="06DA7BAF">
      <w:pPr>
        <w:pStyle w:val="24"/>
        <w:rPr>
          <w:rFonts w:hAnsi="宋体" w:eastAsia="宋体" w:cs="Times New Roman"/>
          <w:b/>
          <w:color w:val="000000"/>
          <w:sz w:val="24"/>
          <w:szCs w:val="24"/>
        </w:rPr>
      </w:pPr>
    </w:p>
    <w:p w14:paraId="295FA103">
      <w:pPr>
        <w:rPr>
          <w:rFonts w:hint="default" w:ascii="宋体" w:hAnsi="宋体" w:eastAsia="宋体" w:cs="宋体"/>
          <w:sz w:val="24"/>
          <w:szCs w:val="24"/>
          <w:lang w:val="en-US"/>
        </w:rPr>
      </w:pPr>
    </w:p>
    <w:p w14:paraId="401946DE">
      <w:pPr>
        <w:pStyle w:val="223"/>
        <w:ind w:left="0" w:leftChars="0" w:right="960" w:firstLine="0" w:firstLineChars="0"/>
        <w:jc w:val="both"/>
        <w:rPr>
          <w:rFonts w:hint="eastAsia" w:asciiTheme="minorEastAsia" w:hAnsiTheme="minorEastAsia" w:eastAsiaTheme="minorEastAsia" w:cstheme="minorEastAsia"/>
        </w:rPr>
      </w:pPr>
    </w:p>
    <w:sectPr>
      <w:headerReference r:id="rId19" w:type="default"/>
      <w:footerReference r:id="rId20"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66C0F">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105DF">
                          <w:pPr>
                            <w:pStyle w:val="30"/>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bC+FRLgIAAFgEAAAOAAAAAAAAAAEAIAAAAB8BAABkcnMvZTJvRG9jLnhtbFBLBQYAAAAA&#10;BgAGAFkBAAC/BQAAAAA=&#10;">
              <v:fill on="f" focussize="0,0"/>
              <v:stroke on="f" weight="0.5pt"/>
              <v:imagedata o:title=""/>
              <o:lock v:ext="edit" aspectratio="f"/>
              <v:textbox inset="0mm,0mm,0mm,0mm" style="mso-fit-shape-to-text:t;">
                <w:txbxContent>
                  <w:p w14:paraId="395105DF">
                    <w:pPr>
                      <w:pStyle w:val="30"/>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5825">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6F8A0">
                          <w:pPr>
                            <w:pStyle w:val="3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U8bYvAgAAWAQAAA4AAABkcnMvZTJvRG9jLnhtbK1US27bMBDdF+gd&#10;CO5ryS6S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1dTxti8CAABYBAAADgAAAAAAAAABACAAAAAfAQAAZHJzL2Uyb0RvYy54bWxQSwUGAAAA&#10;AAYABgBZAQAAwAUAAAAA&#10;">
              <v:fill on="f" focussize="0,0"/>
              <v:stroke on="f" weight="0.5pt"/>
              <v:imagedata o:title=""/>
              <o:lock v:ext="edit" aspectratio="f"/>
              <v:textbox inset="0mm,0mm,0mm,0mm" style="mso-fit-shape-to-text:t;">
                <w:txbxContent>
                  <w:p w14:paraId="1E16F8A0">
                    <w:pPr>
                      <w:pStyle w:val="3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F9F0">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14C5621">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014C5621">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5CEE5">
    <w:pPr>
      <w:pStyle w:val="3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1755FCD">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41755FCD">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0CA72">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3DBC7">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03DBC7">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4694">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61270">
                          <w:pPr>
                            <w:pStyle w:val="30"/>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iCokuAgAAWA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x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tIgqJLgIAAFgEAAAOAAAAAAAAAAEAIAAAAB8BAABkcnMvZTJvRG9jLnhtbFBLBQYAAAAA&#10;BgAGAFkBAAC/BQAAAAA=&#10;">
              <v:fill on="f" focussize="0,0"/>
              <v:stroke on="f" weight="0.5pt"/>
              <v:imagedata o:title=""/>
              <o:lock v:ext="edit" aspectratio="f"/>
              <v:textbox inset="0mm,0mm,0mm,0mm" style="mso-fit-shape-to-text:t;">
                <w:txbxContent>
                  <w:p w14:paraId="50B61270">
                    <w:pPr>
                      <w:pStyle w:val="30"/>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74069">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76E15">
                          <w:pPr>
                            <w:pStyle w:val="3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TWguAgAAWA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J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0P01oLgIAAFgEAAAOAAAAAAAAAAEAIAAAAB8BAABkcnMvZTJvRG9jLnhtbFBLBQYAAAAA&#10;BgAGAFkBAAC/BQAAAAA=&#10;">
              <v:fill on="f" focussize="0,0"/>
              <v:stroke on="f" weight="0.5pt"/>
              <v:imagedata o:title=""/>
              <o:lock v:ext="edit" aspectratio="f"/>
              <v:textbox inset="0mm,0mm,0mm,0mm" style="mso-fit-shape-to-text:t;">
                <w:txbxContent>
                  <w:p w14:paraId="48E76E15">
                    <w:pPr>
                      <w:pStyle w:val="3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4EA00">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B3A97">
                          <w:pPr>
                            <w:pStyle w:val="3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DxhuQtAgAAWAQAAA4AAAAAAAAAAQAgAAAAHwEAAGRycy9lMm9Eb2MueG1sUEsFBgAAAAAG&#10;AAYAWQEAAL4FAAAAAA==&#10;">
              <v:fill on="f" focussize="0,0"/>
              <v:stroke on="f" weight="0.5pt"/>
              <v:imagedata o:title=""/>
              <o:lock v:ext="edit" aspectratio="f"/>
              <v:textbox inset="0mm,0mm,0mm,0mm" style="mso-fit-shape-to-text:t;">
                <w:txbxContent>
                  <w:p w14:paraId="3C3B3A97">
                    <w:pPr>
                      <w:pStyle w:val="30"/>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B23A1">
    <w:pPr>
      <w:pStyle w:val="3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11116">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1CvktAgAAWA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L1CvktAgAAWAQAAA4AAAAAAAAAAQAgAAAAHwEAAGRycy9lMm9Eb2MueG1sUEsFBgAAAAAG&#10;AAYAWQEAAL4FAAAAAA==&#10;">
              <v:fill on="f" focussize="0,0"/>
              <v:stroke on="f" weight="0.5pt"/>
              <v:imagedata o:title=""/>
              <o:lock v:ext="edit" aspectratio="f"/>
              <v:textbox inset="0mm,0mm,0mm,0mm" style="mso-fit-shape-to-text:t;">
                <w:txbxContent>
                  <w:p w14:paraId="1E411116">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6708">
    <w:pPr>
      <w:pStyle w:val="3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EE68A">
                          <w:pPr>
                            <w:pStyle w:val="30"/>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sZAgtAgAAWA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VsZAgtAgAAWAQAAA4AAAAAAAAAAQAgAAAAHwEAAGRycy9lMm9Eb2MueG1sUEsFBgAAAAAG&#10;AAYAWQEAAL4FAAAAAA==&#10;">
              <v:fill on="f" focussize="0,0"/>
              <v:stroke on="f" weight="0.5pt"/>
              <v:imagedata o:title=""/>
              <o:lock v:ext="edit" aspectratio="f"/>
              <v:textbox inset="0mm,0mm,0mm,0mm" style="mso-fit-shape-to-text:t;">
                <w:txbxContent>
                  <w:p w14:paraId="2CAEE68A">
                    <w:pPr>
                      <w:pStyle w:val="30"/>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7B72">
    <w:pPr>
      <w:pStyle w:val="3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EB637">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SxAItAgAAWA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mSxAItAgAAWAQAAA4AAAAAAAAAAQAgAAAAHwEAAGRycy9lMm9Eb2MueG1sUEsFBgAAAAAG&#10;AAYAWQEAAL4FAAAAAA==&#10;">
              <v:fill on="f" focussize="0,0"/>
              <v:stroke on="f" weight="0.5pt"/>
              <v:imagedata o:title=""/>
              <o:lock v:ext="edit" aspectratio="f"/>
              <v:textbox inset="0mm,0mm,0mm,0mm" style="mso-fit-shape-to-text:t;">
                <w:txbxContent>
                  <w:p w14:paraId="0B2EB637">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EB129">
    <w:pPr>
      <w:pStyle w:val="3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F7D86">
                          <w:pPr>
                            <w:pStyle w:val="30"/>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9"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Ik7QtAgAAWA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OIk7QtAgAAWAQAAA4AAAAAAAAAAQAgAAAAHwEAAGRycy9lMm9Eb2MueG1sUEsFBgAAAAAG&#10;AAYAWQEAAL4FAAAAAA==&#10;">
              <v:fill on="f" focussize="0,0"/>
              <v:stroke on="f" weight="0.5pt"/>
              <v:imagedata o:title=""/>
              <o:lock v:ext="edit" aspectratio="f"/>
              <v:textbox inset="0mm,0mm,0mm,0mm" style="mso-fit-shape-to-text:t;">
                <w:txbxContent>
                  <w:p w14:paraId="3C6F7D86">
                    <w:pPr>
                      <w:pStyle w:val="30"/>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3A9DA">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1320E">
                          <w:pPr>
                            <w:pStyle w:val="30"/>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wJ8tctAgAAVwQAAA4AAAAAAAAAAQAgAAAAHwEAAGRycy9lMm9Eb2MueG1sUEsFBgAAAAAG&#10;AAYAWQEAAL4FAAAAAA==&#10;">
              <v:fill on="f" focussize="0,0"/>
              <v:stroke on="f" weight="0.5pt"/>
              <v:imagedata o:title=""/>
              <o:lock v:ext="edit" aspectratio="f"/>
              <v:textbox inset="0mm,0mm,0mm,0mm" style="mso-fit-shape-to-text:t;">
                <w:txbxContent>
                  <w:p w14:paraId="3A71320E">
                    <w:pPr>
                      <w:pStyle w:val="30"/>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522F">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DFEA">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261D0">
    <w:pPr>
      <w:pStyle w:val="31"/>
    </w:pPr>
  </w:p>
  <w:p w14:paraId="2CADA257">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A1188">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9EF95">
    <w:pPr>
      <w:pStyle w:val="31"/>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AABFB668"/>
    <w:multiLevelType w:val="singleLevel"/>
    <w:tmpl w:val="AABFB668"/>
    <w:lvl w:ilvl="0" w:tentative="0">
      <w:start w:val="2"/>
      <w:numFmt w:val="chineseCounting"/>
      <w:suff w:val="space"/>
      <w:lvlText w:val="第%1节"/>
      <w:lvlJc w:val="left"/>
      <w:rPr>
        <w:rFonts w:hint="eastAsia"/>
      </w:rPr>
    </w:lvl>
  </w:abstractNum>
  <w:abstractNum w:abstractNumId="2">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3">
    <w:nsid w:val="F54BF83F"/>
    <w:multiLevelType w:val="singleLevel"/>
    <w:tmpl w:val="F54BF83F"/>
    <w:lvl w:ilvl="0" w:tentative="0">
      <w:start w:val="1"/>
      <w:numFmt w:val="decimal"/>
      <w:suff w:val="space"/>
      <w:lvlText w:val="%1."/>
      <w:lvlJc w:val="left"/>
      <w:pPr>
        <w:ind w:left="0" w:firstLine="0"/>
      </w:pPr>
    </w:lvl>
  </w:abstractNum>
  <w:abstractNum w:abstractNumId="4">
    <w:nsid w:val="00000003"/>
    <w:multiLevelType w:val="singleLevel"/>
    <w:tmpl w:val="00000003"/>
    <w:lvl w:ilvl="0" w:tentative="0">
      <w:start w:val="5"/>
      <w:numFmt w:val="decimal"/>
      <w:lvlText w:val="%1."/>
      <w:lvlJc w:val="left"/>
      <w:pPr>
        <w:tabs>
          <w:tab w:val="left" w:pos="312"/>
        </w:tabs>
      </w:pPr>
    </w:lvl>
  </w:abstractNum>
  <w:abstractNum w:abstractNumId="5">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020E66C"/>
    <w:multiLevelType w:val="singleLevel"/>
    <w:tmpl w:val="2020E66C"/>
    <w:lvl w:ilvl="0" w:tentative="0">
      <w:start w:val="2"/>
      <w:numFmt w:val="chineseCounting"/>
      <w:suff w:val="space"/>
      <w:lvlText w:val="第%1章"/>
      <w:lvlJc w:val="left"/>
      <w:rPr>
        <w:rFonts w:hint="eastAsia"/>
      </w:rPr>
    </w:lvl>
  </w:abstractNum>
  <w:abstractNum w:abstractNumId="8">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AF0723E"/>
    <w:multiLevelType w:val="singleLevel"/>
    <w:tmpl w:val="4AF0723E"/>
    <w:lvl w:ilvl="0" w:tentative="0">
      <w:start w:val="2"/>
      <w:numFmt w:val="chineseCounting"/>
      <w:suff w:val="nothing"/>
      <w:lvlText w:val="%1、"/>
      <w:lvlJc w:val="left"/>
      <w:rPr>
        <w:rFonts w:hint="eastAsia"/>
      </w:rPr>
    </w:lvl>
  </w:abstractNum>
  <w:abstractNum w:abstractNumId="10">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1">
    <w:nsid w:val="60142DB7"/>
    <w:multiLevelType w:val="multilevel"/>
    <w:tmpl w:val="60142DB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6BEE8853"/>
    <w:multiLevelType w:val="singleLevel"/>
    <w:tmpl w:val="6BEE8853"/>
    <w:lvl w:ilvl="0" w:tentative="0">
      <w:start w:val="2"/>
      <w:numFmt w:val="decimal"/>
      <w:lvlText w:val="%1."/>
      <w:lvlJc w:val="left"/>
      <w:pPr>
        <w:tabs>
          <w:tab w:val="left" w:pos="312"/>
        </w:tabs>
      </w:pPr>
    </w:lvl>
  </w:abstractNum>
  <w:abstractNum w:abstractNumId="14">
    <w:nsid w:val="6CDF7FB3"/>
    <w:multiLevelType w:val="singleLevel"/>
    <w:tmpl w:val="6CDF7FB3"/>
    <w:lvl w:ilvl="0" w:tentative="0">
      <w:start w:val="3"/>
      <w:numFmt w:val="chineseCounting"/>
      <w:suff w:val="nothing"/>
      <w:lvlText w:val="%1、"/>
      <w:lvlJc w:val="left"/>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0"/>
  </w:num>
  <w:num w:numId="2">
    <w:abstractNumId w:val="5"/>
  </w:num>
  <w:num w:numId="3">
    <w:abstractNumId w:val="12"/>
  </w:num>
  <w:num w:numId="4">
    <w:abstractNumId w:val="2"/>
  </w:num>
  <w:num w:numId="5">
    <w:abstractNumId w:val="16"/>
  </w:num>
  <w:num w:numId="6">
    <w:abstractNumId w:val="8"/>
  </w:num>
  <w:num w:numId="7">
    <w:abstractNumId w:val="6"/>
  </w:num>
  <w:num w:numId="8">
    <w:abstractNumId w:val="15"/>
  </w:num>
  <w:num w:numId="9">
    <w:abstractNumId w:val="13"/>
  </w:num>
  <w:num w:numId="10">
    <w:abstractNumId w:val="7"/>
  </w:num>
  <w:num w:numId="11">
    <w:abstractNumId w:val="14"/>
  </w:num>
  <w:num w:numId="12">
    <w:abstractNumId w:val="11"/>
  </w:num>
  <w:num w:numId="13">
    <w:abstractNumId w:val="1"/>
  </w:num>
  <w:num w:numId="14">
    <w:abstractNumId w:val="0"/>
  </w:num>
  <w:num w:numId="15">
    <w:abstractNumId w:val="4"/>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140"/>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713"/>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5BC2"/>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4DA7"/>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1D2DDF"/>
    <w:rsid w:val="011F66A5"/>
    <w:rsid w:val="014A4B87"/>
    <w:rsid w:val="018908E9"/>
    <w:rsid w:val="01F31E8D"/>
    <w:rsid w:val="01F52FF1"/>
    <w:rsid w:val="02327B72"/>
    <w:rsid w:val="023A582E"/>
    <w:rsid w:val="024904AF"/>
    <w:rsid w:val="0271589A"/>
    <w:rsid w:val="02A824AD"/>
    <w:rsid w:val="02E5725D"/>
    <w:rsid w:val="02E74D14"/>
    <w:rsid w:val="02FC5AB3"/>
    <w:rsid w:val="031C2AD4"/>
    <w:rsid w:val="035E6B0B"/>
    <w:rsid w:val="03830824"/>
    <w:rsid w:val="03A838DA"/>
    <w:rsid w:val="03CD1C55"/>
    <w:rsid w:val="03E545BA"/>
    <w:rsid w:val="03E809AC"/>
    <w:rsid w:val="03F51722"/>
    <w:rsid w:val="03FF5B70"/>
    <w:rsid w:val="0481168E"/>
    <w:rsid w:val="04B15209"/>
    <w:rsid w:val="04D70225"/>
    <w:rsid w:val="05160EF2"/>
    <w:rsid w:val="056341F0"/>
    <w:rsid w:val="05BF5D55"/>
    <w:rsid w:val="06314A49"/>
    <w:rsid w:val="069F56C3"/>
    <w:rsid w:val="07086751"/>
    <w:rsid w:val="071A6028"/>
    <w:rsid w:val="07C80C2E"/>
    <w:rsid w:val="07CC279A"/>
    <w:rsid w:val="07FD308B"/>
    <w:rsid w:val="085E6E00"/>
    <w:rsid w:val="08B0209B"/>
    <w:rsid w:val="08DD4532"/>
    <w:rsid w:val="08EB30F3"/>
    <w:rsid w:val="095B5927"/>
    <w:rsid w:val="09DE4A06"/>
    <w:rsid w:val="09E069A9"/>
    <w:rsid w:val="0A25653D"/>
    <w:rsid w:val="0A32554B"/>
    <w:rsid w:val="0A5371A2"/>
    <w:rsid w:val="0AD876A7"/>
    <w:rsid w:val="0B2956C1"/>
    <w:rsid w:val="0B942573"/>
    <w:rsid w:val="0BC85F25"/>
    <w:rsid w:val="0BEB0202"/>
    <w:rsid w:val="0C22513B"/>
    <w:rsid w:val="0D326CC2"/>
    <w:rsid w:val="0D4A5F0F"/>
    <w:rsid w:val="0D7E7E1B"/>
    <w:rsid w:val="0DE819AF"/>
    <w:rsid w:val="0E3B77DA"/>
    <w:rsid w:val="0E3D2FAD"/>
    <w:rsid w:val="0E593066"/>
    <w:rsid w:val="0EA03360"/>
    <w:rsid w:val="0EB356ED"/>
    <w:rsid w:val="0F4C6309"/>
    <w:rsid w:val="0F5B6CC7"/>
    <w:rsid w:val="0FFE195E"/>
    <w:rsid w:val="100F0567"/>
    <w:rsid w:val="10401F77"/>
    <w:rsid w:val="106F63B8"/>
    <w:rsid w:val="11E9219A"/>
    <w:rsid w:val="1273066F"/>
    <w:rsid w:val="12B75DF4"/>
    <w:rsid w:val="131274CC"/>
    <w:rsid w:val="133902FD"/>
    <w:rsid w:val="1378147A"/>
    <w:rsid w:val="13901C58"/>
    <w:rsid w:val="13C72FDF"/>
    <w:rsid w:val="13DE1156"/>
    <w:rsid w:val="145D29CB"/>
    <w:rsid w:val="14CD18FF"/>
    <w:rsid w:val="14CD4184"/>
    <w:rsid w:val="15916DD0"/>
    <w:rsid w:val="166D2940"/>
    <w:rsid w:val="16D01B7A"/>
    <w:rsid w:val="16D06A14"/>
    <w:rsid w:val="17051824"/>
    <w:rsid w:val="178D7937"/>
    <w:rsid w:val="17C674E1"/>
    <w:rsid w:val="17EE1155"/>
    <w:rsid w:val="1868332D"/>
    <w:rsid w:val="188E3A9B"/>
    <w:rsid w:val="18A05A26"/>
    <w:rsid w:val="18B03DEB"/>
    <w:rsid w:val="18BC5F12"/>
    <w:rsid w:val="19192192"/>
    <w:rsid w:val="19355040"/>
    <w:rsid w:val="19EE1986"/>
    <w:rsid w:val="1AAD5622"/>
    <w:rsid w:val="1C612479"/>
    <w:rsid w:val="1C766D20"/>
    <w:rsid w:val="1D0A3B6C"/>
    <w:rsid w:val="1D4209B0"/>
    <w:rsid w:val="1D623C5F"/>
    <w:rsid w:val="1DA82577"/>
    <w:rsid w:val="1DAA14A8"/>
    <w:rsid w:val="1DD15E62"/>
    <w:rsid w:val="1DF92B87"/>
    <w:rsid w:val="1E0A5830"/>
    <w:rsid w:val="1E1170AC"/>
    <w:rsid w:val="1EAB4975"/>
    <w:rsid w:val="1F0028D1"/>
    <w:rsid w:val="1F4629DA"/>
    <w:rsid w:val="1FA53BA4"/>
    <w:rsid w:val="1FB6553C"/>
    <w:rsid w:val="201E1A51"/>
    <w:rsid w:val="20B31CE5"/>
    <w:rsid w:val="20D109C9"/>
    <w:rsid w:val="20DA3C69"/>
    <w:rsid w:val="21453C2A"/>
    <w:rsid w:val="216677C8"/>
    <w:rsid w:val="21AD42F3"/>
    <w:rsid w:val="21B30868"/>
    <w:rsid w:val="21F46B18"/>
    <w:rsid w:val="221A6A80"/>
    <w:rsid w:val="22563A79"/>
    <w:rsid w:val="2273785F"/>
    <w:rsid w:val="229144E0"/>
    <w:rsid w:val="22A44CDF"/>
    <w:rsid w:val="235B4EA4"/>
    <w:rsid w:val="23C056A6"/>
    <w:rsid w:val="24000969"/>
    <w:rsid w:val="241A1D4D"/>
    <w:rsid w:val="24445427"/>
    <w:rsid w:val="24FB344C"/>
    <w:rsid w:val="253450B5"/>
    <w:rsid w:val="25F969F8"/>
    <w:rsid w:val="26132BD3"/>
    <w:rsid w:val="26387ECB"/>
    <w:rsid w:val="265C6F87"/>
    <w:rsid w:val="26E31456"/>
    <w:rsid w:val="26E47A81"/>
    <w:rsid w:val="27675EA2"/>
    <w:rsid w:val="28163595"/>
    <w:rsid w:val="28341F69"/>
    <w:rsid w:val="28484027"/>
    <w:rsid w:val="288E6D8C"/>
    <w:rsid w:val="28DF17A9"/>
    <w:rsid w:val="29954E1E"/>
    <w:rsid w:val="299568CD"/>
    <w:rsid w:val="29C0782D"/>
    <w:rsid w:val="29C67D13"/>
    <w:rsid w:val="29C928E7"/>
    <w:rsid w:val="2A794B1C"/>
    <w:rsid w:val="2A7C02EC"/>
    <w:rsid w:val="2A8F7CD5"/>
    <w:rsid w:val="2AA35E8D"/>
    <w:rsid w:val="2ABC137C"/>
    <w:rsid w:val="2B265DEC"/>
    <w:rsid w:val="2B3F4DD2"/>
    <w:rsid w:val="2B477C1E"/>
    <w:rsid w:val="2B533A68"/>
    <w:rsid w:val="2B9654FA"/>
    <w:rsid w:val="2B9B4A36"/>
    <w:rsid w:val="2C096479"/>
    <w:rsid w:val="2C0B1233"/>
    <w:rsid w:val="2CA82AA8"/>
    <w:rsid w:val="2CBF5B79"/>
    <w:rsid w:val="2CE31B12"/>
    <w:rsid w:val="2CFE49D8"/>
    <w:rsid w:val="2D557F22"/>
    <w:rsid w:val="2D8F6E8D"/>
    <w:rsid w:val="2D940EA8"/>
    <w:rsid w:val="2DB54478"/>
    <w:rsid w:val="2DC42CE9"/>
    <w:rsid w:val="2E1F32AF"/>
    <w:rsid w:val="2E575575"/>
    <w:rsid w:val="2E7345D1"/>
    <w:rsid w:val="2E9F3EB4"/>
    <w:rsid w:val="2EAD4823"/>
    <w:rsid w:val="2EB57AA3"/>
    <w:rsid w:val="2EFB53FB"/>
    <w:rsid w:val="2FC7504A"/>
    <w:rsid w:val="2FF6631E"/>
    <w:rsid w:val="304E7F5C"/>
    <w:rsid w:val="304F36B8"/>
    <w:rsid w:val="307F5D4C"/>
    <w:rsid w:val="30E94E0D"/>
    <w:rsid w:val="323B0659"/>
    <w:rsid w:val="32B11F30"/>
    <w:rsid w:val="332B21BB"/>
    <w:rsid w:val="333472C1"/>
    <w:rsid w:val="334F654D"/>
    <w:rsid w:val="336433AA"/>
    <w:rsid w:val="33AC46D0"/>
    <w:rsid w:val="33E93B9F"/>
    <w:rsid w:val="342A06C4"/>
    <w:rsid w:val="345C0152"/>
    <w:rsid w:val="34A0626C"/>
    <w:rsid w:val="34BF39F8"/>
    <w:rsid w:val="34DA55D7"/>
    <w:rsid w:val="353F5A8C"/>
    <w:rsid w:val="354F3B80"/>
    <w:rsid w:val="35544517"/>
    <w:rsid w:val="355E2D23"/>
    <w:rsid w:val="357240D1"/>
    <w:rsid w:val="35A973C7"/>
    <w:rsid w:val="363B0967"/>
    <w:rsid w:val="364753E2"/>
    <w:rsid w:val="36C233A8"/>
    <w:rsid w:val="36DE1355"/>
    <w:rsid w:val="36E22E88"/>
    <w:rsid w:val="379245B6"/>
    <w:rsid w:val="3862196A"/>
    <w:rsid w:val="38767A34"/>
    <w:rsid w:val="388A78E0"/>
    <w:rsid w:val="393D26BB"/>
    <w:rsid w:val="394B0E54"/>
    <w:rsid w:val="394B2EA0"/>
    <w:rsid w:val="3A46605E"/>
    <w:rsid w:val="3A5B7C10"/>
    <w:rsid w:val="3A8B1791"/>
    <w:rsid w:val="3AC54CA3"/>
    <w:rsid w:val="3B1F2605"/>
    <w:rsid w:val="3B9B345E"/>
    <w:rsid w:val="3BAA2C3A"/>
    <w:rsid w:val="3BBF16F2"/>
    <w:rsid w:val="3BC3079B"/>
    <w:rsid w:val="3C531424"/>
    <w:rsid w:val="3C907713"/>
    <w:rsid w:val="3C9963E7"/>
    <w:rsid w:val="3CFC7112"/>
    <w:rsid w:val="3D023F8C"/>
    <w:rsid w:val="3D251A29"/>
    <w:rsid w:val="3D585853"/>
    <w:rsid w:val="3D5B568B"/>
    <w:rsid w:val="3D6307DC"/>
    <w:rsid w:val="3D64796E"/>
    <w:rsid w:val="3D654681"/>
    <w:rsid w:val="3D7B5AED"/>
    <w:rsid w:val="3D9C2881"/>
    <w:rsid w:val="3E384DE6"/>
    <w:rsid w:val="3E3C5D6A"/>
    <w:rsid w:val="3E516500"/>
    <w:rsid w:val="3E5D1AD7"/>
    <w:rsid w:val="3E602DD4"/>
    <w:rsid w:val="3E725142"/>
    <w:rsid w:val="3EF074BC"/>
    <w:rsid w:val="3F4A7C0C"/>
    <w:rsid w:val="3F801B0E"/>
    <w:rsid w:val="3FC9475C"/>
    <w:rsid w:val="404639EB"/>
    <w:rsid w:val="4073010F"/>
    <w:rsid w:val="413C1020"/>
    <w:rsid w:val="413E755D"/>
    <w:rsid w:val="4151111D"/>
    <w:rsid w:val="41754274"/>
    <w:rsid w:val="41911452"/>
    <w:rsid w:val="41A55A6F"/>
    <w:rsid w:val="42417305"/>
    <w:rsid w:val="42834EA3"/>
    <w:rsid w:val="429D2840"/>
    <w:rsid w:val="42EC3C65"/>
    <w:rsid w:val="436A373C"/>
    <w:rsid w:val="43B20D83"/>
    <w:rsid w:val="44577E59"/>
    <w:rsid w:val="447D214A"/>
    <w:rsid w:val="44AC2F4B"/>
    <w:rsid w:val="450914F5"/>
    <w:rsid w:val="45BB265C"/>
    <w:rsid w:val="45C97353"/>
    <w:rsid w:val="46026DAB"/>
    <w:rsid w:val="46342CDD"/>
    <w:rsid w:val="46EE20F4"/>
    <w:rsid w:val="470E02B0"/>
    <w:rsid w:val="4750714C"/>
    <w:rsid w:val="477A06A5"/>
    <w:rsid w:val="47A143A2"/>
    <w:rsid w:val="47D66741"/>
    <w:rsid w:val="48684C75"/>
    <w:rsid w:val="48A82A9E"/>
    <w:rsid w:val="48EE2DDA"/>
    <w:rsid w:val="498C63C6"/>
    <w:rsid w:val="49A04C0B"/>
    <w:rsid w:val="49DF11B1"/>
    <w:rsid w:val="4A082E0A"/>
    <w:rsid w:val="4A7909BF"/>
    <w:rsid w:val="4AC268B8"/>
    <w:rsid w:val="4BC3179B"/>
    <w:rsid w:val="4C800A2A"/>
    <w:rsid w:val="4CB46925"/>
    <w:rsid w:val="4CC51E60"/>
    <w:rsid w:val="4CD949FD"/>
    <w:rsid w:val="4CDD5E7C"/>
    <w:rsid w:val="4CEB17C2"/>
    <w:rsid w:val="4D0D7727"/>
    <w:rsid w:val="4DF37080"/>
    <w:rsid w:val="4E7C16C5"/>
    <w:rsid w:val="4ECF3EEA"/>
    <w:rsid w:val="4F3114A9"/>
    <w:rsid w:val="4F4A4FC8"/>
    <w:rsid w:val="4FAC7D88"/>
    <w:rsid w:val="508341B3"/>
    <w:rsid w:val="50B0116F"/>
    <w:rsid w:val="50D63321"/>
    <w:rsid w:val="50FF2CD3"/>
    <w:rsid w:val="51355765"/>
    <w:rsid w:val="51654692"/>
    <w:rsid w:val="517D376B"/>
    <w:rsid w:val="51864D34"/>
    <w:rsid w:val="51944027"/>
    <w:rsid w:val="51CE0489"/>
    <w:rsid w:val="51E56C3E"/>
    <w:rsid w:val="52173BDE"/>
    <w:rsid w:val="523F39FE"/>
    <w:rsid w:val="5252155F"/>
    <w:rsid w:val="525C3F11"/>
    <w:rsid w:val="526731C3"/>
    <w:rsid w:val="52AB7D96"/>
    <w:rsid w:val="52C31D1E"/>
    <w:rsid w:val="52DD4E28"/>
    <w:rsid w:val="5317767D"/>
    <w:rsid w:val="539F1369"/>
    <w:rsid w:val="53BE28FB"/>
    <w:rsid w:val="53E84895"/>
    <w:rsid w:val="53EF1D03"/>
    <w:rsid w:val="542839C5"/>
    <w:rsid w:val="548B076F"/>
    <w:rsid w:val="54D7260C"/>
    <w:rsid w:val="55176E8F"/>
    <w:rsid w:val="55294C21"/>
    <w:rsid w:val="553328EB"/>
    <w:rsid w:val="55B17EA6"/>
    <w:rsid w:val="55F81978"/>
    <w:rsid w:val="567E0278"/>
    <w:rsid w:val="56821842"/>
    <w:rsid w:val="56860EB4"/>
    <w:rsid w:val="57E02431"/>
    <w:rsid w:val="58055C15"/>
    <w:rsid w:val="58300E4A"/>
    <w:rsid w:val="58AE4B70"/>
    <w:rsid w:val="58C57E6D"/>
    <w:rsid w:val="594B3987"/>
    <w:rsid w:val="59606A98"/>
    <w:rsid w:val="596942D5"/>
    <w:rsid w:val="596E4686"/>
    <w:rsid w:val="59936BCE"/>
    <w:rsid w:val="5A070D39"/>
    <w:rsid w:val="5A452724"/>
    <w:rsid w:val="5A4A3D27"/>
    <w:rsid w:val="5A842C2A"/>
    <w:rsid w:val="5ABA09C3"/>
    <w:rsid w:val="5B6A23D0"/>
    <w:rsid w:val="5B7C6506"/>
    <w:rsid w:val="5B7E0A9C"/>
    <w:rsid w:val="5B965367"/>
    <w:rsid w:val="5BAF4E87"/>
    <w:rsid w:val="5BE403FB"/>
    <w:rsid w:val="5BEA5669"/>
    <w:rsid w:val="5BED59B0"/>
    <w:rsid w:val="5CAE3D76"/>
    <w:rsid w:val="5D3513BC"/>
    <w:rsid w:val="5D720862"/>
    <w:rsid w:val="5E021BE6"/>
    <w:rsid w:val="5E0F3C8F"/>
    <w:rsid w:val="5E2C0A11"/>
    <w:rsid w:val="5E6E13CE"/>
    <w:rsid w:val="5ECB440E"/>
    <w:rsid w:val="5F377063"/>
    <w:rsid w:val="5F863EBA"/>
    <w:rsid w:val="5F892770"/>
    <w:rsid w:val="5FF411EE"/>
    <w:rsid w:val="5FFD6F2A"/>
    <w:rsid w:val="602C50F1"/>
    <w:rsid w:val="604069F6"/>
    <w:rsid w:val="60433103"/>
    <w:rsid w:val="609805E0"/>
    <w:rsid w:val="60E96BD3"/>
    <w:rsid w:val="60ED4071"/>
    <w:rsid w:val="6126799A"/>
    <w:rsid w:val="616068EA"/>
    <w:rsid w:val="61651FEE"/>
    <w:rsid w:val="61A2422F"/>
    <w:rsid w:val="61A37EC2"/>
    <w:rsid w:val="62B40BF7"/>
    <w:rsid w:val="62D90A3C"/>
    <w:rsid w:val="62E50A5D"/>
    <w:rsid w:val="62E85715"/>
    <w:rsid w:val="62EE51EA"/>
    <w:rsid w:val="63123870"/>
    <w:rsid w:val="631F6D97"/>
    <w:rsid w:val="633A3E82"/>
    <w:rsid w:val="63763019"/>
    <w:rsid w:val="638C5AAE"/>
    <w:rsid w:val="63AB062A"/>
    <w:rsid w:val="643D185D"/>
    <w:rsid w:val="64593990"/>
    <w:rsid w:val="652C12F7"/>
    <w:rsid w:val="657824B9"/>
    <w:rsid w:val="65D07481"/>
    <w:rsid w:val="65E3187B"/>
    <w:rsid w:val="660F30F2"/>
    <w:rsid w:val="668A1C23"/>
    <w:rsid w:val="66C479BC"/>
    <w:rsid w:val="673E6667"/>
    <w:rsid w:val="673F2C72"/>
    <w:rsid w:val="676453F8"/>
    <w:rsid w:val="67D9097F"/>
    <w:rsid w:val="68190258"/>
    <w:rsid w:val="682D3710"/>
    <w:rsid w:val="684F0CF6"/>
    <w:rsid w:val="688D47A2"/>
    <w:rsid w:val="68C06BDA"/>
    <w:rsid w:val="68CF364A"/>
    <w:rsid w:val="68E02B24"/>
    <w:rsid w:val="6914700F"/>
    <w:rsid w:val="694432E9"/>
    <w:rsid w:val="69727678"/>
    <w:rsid w:val="69F8009E"/>
    <w:rsid w:val="6A657521"/>
    <w:rsid w:val="6A96228E"/>
    <w:rsid w:val="6AB76068"/>
    <w:rsid w:val="6AC768E1"/>
    <w:rsid w:val="6AE508C6"/>
    <w:rsid w:val="6B0B19AE"/>
    <w:rsid w:val="6B230670"/>
    <w:rsid w:val="6B2A69A8"/>
    <w:rsid w:val="6BE57F3D"/>
    <w:rsid w:val="6C36144B"/>
    <w:rsid w:val="6C9132F0"/>
    <w:rsid w:val="6CA600C4"/>
    <w:rsid w:val="6CD52833"/>
    <w:rsid w:val="6CD754BD"/>
    <w:rsid w:val="6CFB66E4"/>
    <w:rsid w:val="6D061850"/>
    <w:rsid w:val="6D316042"/>
    <w:rsid w:val="6D364707"/>
    <w:rsid w:val="6D3978A6"/>
    <w:rsid w:val="6D4F0C03"/>
    <w:rsid w:val="6D5B701C"/>
    <w:rsid w:val="6D5E04BB"/>
    <w:rsid w:val="6E423C99"/>
    <w:rsid w:val="6EBC053F"/>
    <w:rsid w:val="6EE25A7B"/>
    <w:rsid w:val="6F241722"/>
    <w:rsid w:val="6F6B4E78"/>
    <w:rsid w:val="6F9C2B6B"/>
    <w:rsid w:val="700F2852"/>
    <w:rsid w:val="701B08E6"/>
    <w:rsid w:val="703B6F80"/>
    <w:rsid w:val="70912956"/>
    <w:rsid w:val="709A6050"/>
    <w:rsid w:val="70AF378A"/>
    <w:rsid w:val="70CB0589"/>
    <w:rsid w:val="70D016D0"/>
    <w:rsid w:val="711656AE"/>
    <w:rsid w:val="712123FD"/>
    <w:rsid w:val="71387212"/>
    <w:rsid w:val="71467BE4"/>
    <w:rsid w:val="71724535"/>
    <w:rsid w:val="71865B23"/>
    <w:rsid w:val="71E323B9"/>
    <w:rsid w:val="72276117"/>
    <w:rsid w:val="722D3879"/>
    <w:rsid w:val="72385286"/>
    <w:rsid w:val="726A16B0"/>
    <w:rsid w:val="729E0315"/>
    <w:rsid w:val="734D2DC8"/>
    <w:rsid w:val="73681FCB"/>
    <w:rsid w:val="736A2597"/>
    <w:rsid w:val="73E6120B"/>
    <w:rsid w:val="744022AC"/>
    <w:rsid w:val="745464E2"/>
    <w:rsid w:val="74995770"/>
    <w:rsid w:val="74D379E1"/>
    <w:rsid w:val="74D472B5"/>
    <w:rsid w:val="75753F4B"/>
    <w:rsid w:val="75CD3E17"/>
    <w:rsid w:val="76B455F0"/>
    <w:rsid w:val="76C375E1"/>
    <w:rsid w:val="76C9322B"/>
    <w:rsid w:val="775B15E5"/>
    <w:rsid w:val="776808B4"/>
    <w:rsid w:val="7771624F"/>
    <w:rsid w:val="77966E5F"/>
    <w:rsid w:val="77A77297"/>
    <w:rsid w:val="77BF424C"/>
    <w:rsid w:val="78101D81"/>
    <w:rsid w:val="78153E6C"/>
    <w:rsid w:val="78A9607B"/>
    <w:rsid w:val="78C113F3"/>
    <w:rsid w:val="78FD797A"/>
    <w:rsid w:val="790C526F"/>
    <w:rsid w:val="799526EC"/>
    <w:rsid w:val="79BA317E"/>
    <w:rsid w:val="79EF5DA3"/>
    <w:rsid w:val="7A053867"/>
    <w:rsid w:val="7A2B0A45"/>
    <w:rsid w:val="7A344A7E"/>
    <w:rsid w:val="7A8F4EBB"/>
    <w:rsid w:val="7AB143A1"/>
    <w:rsid w:val="7B61392C"/>
    <w:rsid w:val="7B7D68D6"/>
    <w:rsid w:val="7B802C44"/>
    <w:rsid w:val="7BCE20F4"/>
    <w:rsid w:val="7BFC15CB"/>
    <w:rsid w:val="7C436C51"/>
    <w:rsid w:val="7CA7552A"/>
    <w:rsid w:val="7CFC35DA"/>
    <w:rsid w:val="7D035D55"/>
    <w:rsid w:val="7D580FFF"/>
    <w:rsid w:val="7D851DEF"/>
    <w:rsid w:val="7DD75952"/>
    <w:rsid w:val="7E221D3B"/>
    <w:rsid w:val="7F4219EB"/>
    <w:rsid w:val="7F537AF2"/>
    <w:rsid w:val="7F6000C3"/>
    <w:rsid w:val="7F82628B"/>
    <w:rsid w:val="7FEC5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link w:val="61"/>
    <w:qFormat/>
    <w:uiPriority w:val="0"/>
    <w:pPr>
      <w:keepNext/>
      <w:keepLines/>
      <w:spacing w:before="340" w:after="330" w:line="576" w:lineRule="auto"/>
      <w:outlineLvl w:val="0"/>
    </w:pPr>
    <w:rPr>
      <w:b/>
      <w:kern w:val="44"/>
      <w:sz w:val="44"/>
      <w:lang w:val="zh-CN"/>
    </w:rPr>
  </w:style>
  <w:style w:type="paragraph" w:styleId="4">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5">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6">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7">
    <w:name w:val="heading 5"/>
    <w:basedOn w:val="1"/>
    <w:next w:val="8"/>
    <w:link w:val="66"/>
    <w:qFormat/>
    <w:uiPriority w:val="0"/>
    <w:pPr>
      <w:keepNext/>
      <w:keepLines/>
      <w:spacing w:before="280" w:after="290" w:line="372" w:lineRule="auto"/>
      <w:outlineLvl w:val="4"/>
    </w:pPr>
    <w:rPr>
      <w:b/>
      <w:sz w:val="28"/>
      <w:lang w:val="zh-CN"/>
    </w:rPr>
  </w:style>
  <w:style w:type="paragraph" w:styleId="9">
    <w:name w:val="heading 6"/>
    <w:basedOn w:val="1"/>
    <w:next w:val="8"/>
    <w:link w:val="67"/>
    <w:qFormat/>
    <w:uiPriority w:val="0"/>
    <w:pPr>
      <w:keepNext/>
      <w:keepLines/>
      <w:spacing w:before="240" w:after="64" w:line="317" w:lineRule="auto"/>
      <w:outlineLvl w:val="5"/>
    </w:pPr>
    <w:rPr>
      <w:rFonts w:ascii="Arial" w:hAnsi="Arial" w:eastAsia="黑体"/>
      <w:b/>
      <w:sz w:val="24"/>
      <w:lang w:val="zh-CN"/>
    </w:rPr>
  </w:style>
  <w:style w:type="paragraph" w:styleId="10">
    <w:name w:val="heading 7"/>
    <w:basedOn w:val="1"/>
    <w:next w:val="8"/>
    <w:link w:val="68"/>
    <w:qFormat/>
    <w:uiPriority w:val="0"/>
    <w:pPr>
      <w:keepNext/>
      <w:keepLines/>
      <w:spacing w:before="240" w:after="64" w:line="317" w:lineRule="auto"/>
      <w:outlineLvl w:val="6"/>
    </w:pPr>
    <w:rPr>
      <w:b/>
      <w:sz w:val="24"/>
      <w:lang w:val="zh-CN"/>
    </w:rPr>
  </w:style>
  <w:style w:type="paragraph" w:styleId="11">
    <w:name w:val="heading 8"/>
    <w:basedOn w:val="1"/>
    <w:next w:val="8"/>
    <w:link w:val="69"/>
    <w:qFormat/>
    <w:uiPriority w:val="0"/>
    <w:pPr>
      <w:keepNext/>
      <w:keepLines/>
      <w:spacing w:before="240" w:after="64" w:line="317" w:lineRule="auto"/>
      <w:outlineLvl w:val="7"/>
    </w:pPr>
    <w:rPr>
      <w:rFonts w:ascii="Arial" w:hAnsi="Arial" w:eastAsia="黑体"/>
      <w:sz w:val="24"/>
      <w:lang w:val="zh-CN"/>
    </w:rPr>
  </w:style>
  <w:style w:type="paragraph" w:styleId="12">
    <w:name w:val="heading 9"/>
    <w:basedOn w:val="1"/>
    <w:next w:val="8"/>
    <w:link w:val="70"/>
    <w:qFormat/>
    <w:uiPriority w:val="0"/>
    <w:pPr>
      <w:keepNext/>
      <w:keepLines/>
      <w:spacing w:before="240" w:after="64" w:line="317" w:lineRule="auto"/>
      <w:outlineLvl w:val="8"/>
    </w:pPr>
    <w:rPr>
      <w:rFonts w:ascii="Arial" w:hAnsi="Arial" w:eastAsia="黑体"/>
      <w:lang w:val="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39"/>
    <w:pPr>
      <w:ind w:left="840" w:leftChars="400"/>
    </w:pPr>
  </w:style>
  <w:style w:type="paragraph" w:styleId="8">
    <w:name w:val="Normal Indent"/>
    <w:basedOn w:val="1"/>
    <w:link w:val="64"/>
    <w:qFormat/>
    <w:uiPriority w:val="0"/>
    <w:pPr>
      <w:ind w:firstLine="420"/>
    </w:pPr>
    <w:rPr>
      <w:kern w:val="0"/>
      <w:sz w:val="20"/>
    </w:rPr>
  </w:style>
  <w:style w:type="paragraph" w:styleId="13">
    <w:name w:val="toc 7"/>
    <w:basedOn w:val="1"/>
    <w:next w:val="1"/>
    <w:qFormat/>
    <w:uiPriority w:val="0"/>
    <w:pPr>
      <w:ind w:left="2520" w:leftChars="1200"/>
    </w:pPr>
  </w:style>
  <w:style w:type="paragraph" w:styleId="14">
    <w:name w:val="Note Heading"/>
    <w:basedOn w:val="1"/>
    <w:next w:val="1"/>
    <w:link w:val="115"/>
    <w:qFormat/>
    <w:uiPriority w:val="0"/>
    <w:pPr>
      <w:adjustRightInd w:val="0"/>
      <w:snapToGrid w:val="0"/>
      <w:jc w:val="center"/>
    </w:pPr>
    <w:rPr>
      <w:lang w:val="zh-CN" w:eastAsia="zh-TW"/>
    </w:rPr>
  </w:style>
  <w:style w:type="paragraph" w:styleId="15">
    <w:name w:val="caption"/>
    <w:basedOn w:val="1"/>
    <w:next w:val="1"/>
    <w:qFormat/>
    <w:uiPriority w:val="0"/>
    <w:rPr>
      <w:rFonts w:ascii="Cambria" w:hAnsi="Cambria" w:eastAsia="黑体"/>
    </w:rPr>
  </w:style>
  <w:style w:type="paragraph" w:styleId="16">
    <w:name w:val="Document Map"/>
    <w:basedOn w:val="1"/>
    <w:link w:val="111"/>
    <w:qFormat/>
    <w:uiPriority w:val="0"/>
    <w:pPr>
      <w:shd w:val="clear" w:color="auto" w:fill="000080"/>
    </w:pPr>
    <w:rPr>
      <w:kern w:val="0"/>
      <w:sz w:val="20"/>
    </w:rPr>
  </w:style>
  <w:style w:type="paragraph" w:styleId="17">
    <w:name w:val="toa heading"/>
    <w:basedOn w:val="1"/>
    <w:next w:val="1"/>
    <w:qFormat/>
    <w:uiPriority w:val="0"/>
    <w:pPr>
      <w:adjustRightInd w:val="0"/>
      <w:spacing w:before="120" w:line="312" w:lineRule="atLeast"/>
      <w:textAlignment w:val="baseline"/>
    </w:pPr>
    <w:rPr>
      <w:rFonts w:ascii="Arial" w:hAnsi="Arial"/>
      <w:sz w:val="24"/>
    </w:rPr>
  </w:style>
  <w:style w:type="paragraph" w:styleId="18">
    <w:name w:val="annotation text"/>
    <w:basedOn w:val="1"/>
    <w:link w:val="105"/>
    <w:qFormat/>
    <w:uiPriority w:val="0"/>
    <w:pPr>
      <w:adjustRightInd w:val="0"/>
      <w:spacing w:line="360" w:lineRule="atLeast"/>
      <w:textAlignment w:val="baseline"/>
    </w:pPr>
    <w:rPr>
      <w:kern w:val="0"/>
      <w:sz w:val="24"/>
      <w:lang w:val="zh-CN"/>
    </w:rPr>
  </w:style>
  <w:style w:type="paragraph" w:styleId="19">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w:basedOn w:val="1"/>
    <w:link w:val="77"/>
    <w:qFormat/>
    <w:uiPriority w:val="99"/>
    <w:rPr>
      <w:sz w:val="24"/>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Plain Text"/>
    <w:basedOn w:val="1"/>
    <w:link w:val="88"/>
    <w:qFormat/>
    <w:uiPriority w:val="99"/>
    <w:pPr>
      <w:overflowPunct w:val="0"/>
      <w:spacing w:line="360" w:lineRule="auto"/>
    </w:pPr>
    <w:rPr>
      <w:rFonts w:ascii="宋体" w:hAnsi="Courier New" w:eastAsia="仿宋_GB2312"/>
      <w:sz w:val="24"/>
      <w:lang w:val="zh-CN"/>
    </w:rPr>
  </w:style>
  <w:style w:type="paragraph" w:styleId="25">
    <w:name w:val="toc 8"/>
    <w:basedOn w:val="1"/>
    <w:next w:val="1"/>
    <w:qFormat/>
    <w:uiPriority w:val="0"/>
    <w:pPr>
      <w:ind w:left="2940" w:leftChars="1400"/>
    </w:pPr>
  </w:style>
  <w:style w:type="paragraph" w:styleId="26">
    <w:name w:val="Date"/>
    <w:basedOn w:val="1"/>
    <w:next w:val="1"/>
    <w:link w:val="126"/>
    <w:qFormat/>
    <w:uiPriority w:val="99"/>
    <w:rPr>
      <w:kern w:val="0"/>
      <w:sz w:val="24"/>
    </w:rPr>
  </w:style>
  <w:style w:type="paragraph" w:styleId="27">
    <w:name w:val="Body Text Indent 2"/>
    <w:basedOn w:val="1"/>
    <w:link w:val="76"/>
    <w:qFormat/>
    <w:uiPriority w:val="0"/>
    <w:pPr>
      <w:spacing w:before="60" w:after="60"/>
      <w:ind w:left="720" w:hanging="720"/>
    </w:pPr>
    <w:rPr>
      <w:color w:val="000000"/>
      <w:kern w:val="0"/>
      <w:sz w:val="24"/>
    </w:rPr>
  </w:style>
  <w:style w:type="paragraph" w:styleId="28">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29">
    <w:name w:val="Balloon Text"/>
    <w:basedOn w:val="1"/>
    <w:link w:val="107"/>
    <w:qFormat/>
    <w:uiPriority w:val="0"/>
    <w:rPr>
      <w:sz w:val="18"/>
      <w:szCs w:val="18"/>
      <w:lang w:val="zh-CN"/>
    </w:rPr>
  </w:style>
  <w:style w:type="paragraph" w:styleId="30">
    <w:name w:val="footer"/>
    <w:basedOn w:val="1"/>
    <w:next w:val="1"/>
    <w:link w:val="175"/>
    <w:qFormat/>
    <w:uiPriority w:val="99"/>
    <w:pPr>
      <w:tabs>
        <w:tab w:val="center" w:pos="4153"/>
        <w:tab w:val="right" w:pos="8306"/>
      </w:tabs>
      <w:snapToGrid w:val="0"/>
    </w:pPr>
    <w:rPr>
      <w:sz w:val="18"/>
      <w:lang w:val="zh-CN"/>
    </w:rPr>
  </w:style>
  <w:style w:type="paragraph" w:styleId="31">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129"/>
    <w:qFormat/>
    <w:uiPriority w:val="0"/>
    <w:pPr>
      <w:snapToGrid w:val="0"/>
    </w:pPr>
    <w:rPr>
      <w:sz w:val="18"/>
      <w:szCs w:val="18"/>
      <w:lang w:val="zh-CN"/>
    </w:rPr>
  </w:style>
  <w:style w:type="paragraph" w:styleId="36">
    <w:name w:val="toc 6"/>
    <w:basedOn w:val="1"/>
    <w:next w:val="1"/>
    <w:qFormat/>
    <w:uiPriority w:val="0"/>
    <w:pPr>
      <w:ind w:left="2100" w:leftChars="1000"/>
    </w:pPr>
  </w:style>
  <w:style w:type="paragraph" w:styleId="37">
    <w:name w:val="Body Text Indent 3"/>
    <w:basedOn w:val="1"/>
    <w:link w:val="83"/>
    <w:qFormat/>
    <w:uiPriority w:val="0"/>
    <w:pPr>
      <w:ind w:firstLine="720"/>
    </w:pPr>
    <w:rPr>
      <w:kern w:val="0"/>
      <w:sz w:val="24"/>
    </w:rPr>
  </w:style>
  <w:style w:type="paragraph" w:styleId="38">
    <w:name w:val="table of figures"/>
    <w:basedOn w:val="1"/>
    <w:next w:val="1"/>
    <w:qFormat/>
    <w:uiPriority w:val="0"/>
    <w:pPr>
      <w:ind w:left="440" w:hanging="440"/>
    </w:pPr>
    <w:rPr>
      <w:rFonts w:ascii="Arial" w:hAnsi="Arial"/>
      <w:sz w:val="22"/>
      <w:lang w:val="en-GB" w:eastAsia="en-US"/>
    </w:rPr>
  </w:style>
  <w:style w:type="paragraph" w:styleId="39">
    <w:name w:val="toc 2"/>
    <w:basedOn w:val="1"/>
    <w:next w:val="1"/>
    <w:qFormat/>
    <w:uiPriority w:val="39"/>
    <w:pPr>
      <w:ind w:left="420" w:leftChars="200"/>
    </w:pPr>
  </w:style>
  <w:style w:type="paragraph" w:styleId="40">
    <w:name w:val="toc 9"/>
    <w:basedOn w:val="1"/>
    <w:next w:val="1"/>
    <w:qFormat/>
    <w:uiPriority w:val="0"/>
    <w:pPr>
      <w:ind w:left="3360" w:leftChars="1600"/>
    </w:pPr>
  </w:style>
  <w:style w:type="paragraph" w:styleId="41">
    <w:name w:val="Body Text 2"/>
    <w:basedOn w:val="1"/>
    <w:link w:val="100"/>
    <w:qFormat/>
    <w:uiPriority w:val="0"/>
    <w:pPr>
      <w:spacing w:before="60" w:after="60"/>
    </w:pPr>
    <w:rPr>
      <w:color w:val="0000FF"/>
      <w:kern w:val="0"/>
      <w:sz w:val="24"/>
    </w:rPr>
  </w:style>
  <w:style w:type="paragraph" w:styleId="42">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3">
    <w:name w:val="Normal (Web)"/>
    <w:basedOn w:val="1"/>
    <w:qFormat/>
    <w:uiPriority w:val="99"/>
    <w:rPr>
      <w:rFonts w:ascii="宋体" w:hAnsi="宋体" w:cs="宋体"/>
      <w:sz w:val="24"/>
      <w:szCs w:val="24"/>
    </w:rPr>
  </w:style>
  <w:style w:type="paragraph" w:styleId="44">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5">
    <w:name w:val="annotation subject"/>
    <w:basedOn w:val="18"/>
    <w:next w:val="18"/>
    <w:link w:val="120"/>
    <w:qFormat/>
    <w:uiPriority w:val="0"/>
    <w:pPr>
      <w:adjustRightInd/>
      <w:spacing w:line="240" w:lineRule="auto"/>
      <w:textAlignment w:val="auto"/>
    </w:pPr>
  </w:style>
  <w:style w:type="paragraph" w:styleId="46">
    <w:name w:val="Body Text First Indent"/>
    <w:basedOn w:val="20"/>
    <w:link w:val="121"/>
    <w:qFormat/>
    <w:uiPriority w:val="0"/>
    <w:pPr>
      <w:spacing w:after="120"/>
      <w:ind w:firstLine="420" w:firstLineChars="100"/>
    </w:pPr>
    <w:rPr>
      <w:rFonts w:ascii="宋体" w:hAnsi="宋体"/>
      <w:color w:val="000000"/>
      <w:lang w:val="zh-CN"/>
    </w:rPr>
  </w:style>
  <w:style w:type="paragraph" w:styleId="47">
    <w:name w:val="Body Text First Indent 2"/>
    <w:basedOn w:val="21"/>
    <w:next w:val="1"/>
    <w:link w:val="109"/>
    <w:qFormat/>
    <w:uiPriority w:val="0"/>
    <w:pPr>
      <w:spacing w:after="120"/>
      <w:ind w:left="420" w:leftChars="200" w:firstLine="420" w:firstLineChars="200"/>
    </w:pPr>
    <w:rPr>
      <w:kern w:val="2"/>
      <w:sz w:val="21"/>
    </w:rPr>
  </w:style>
  <w:style w:type="table" w:styleId="49">
    <w:name w:val="Table Grid"/>
    <w:basedOn w:val="4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i/>
      <w:iCs/>
    </w:rPr>
  </w:style>
  <w:style w:type="character" w:styleId="54">
    <w:name w:val="Hyperlink"/>
    <w:basedOn w:val="50"/>
    <w:qFormat/>
    <w:uiPriority w:val="99"/>
    <w:rPr>
      <w:color w:val="0000FF"/>
      <w:u w:val="singl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4"/>
    <w:qFormat/>
    <w:uiPriority w:val="0"/>
    <w:rPr>
      <w:rFonts w:ascii="Arial" w:hAnsi="Arial" w:eastAsia="黑体"/>
      <w:b/>
      <w:sz w:val="32"/>
      <w:lang w:val="zh-CN" w:eastAsia="zh-CN"/>
    </w:rPr>
  </w:style>
  <w:style w:type="character" w:customStyle="1" w:styleId="63">
    <w:name w:val="标题 3 字符"/>
    <w:link w:val="5"/>
    <w:qFormat/>
    <w:uiPriority w:val="0"/>
    <w:rPr>
      <w:b/>
      <w:sz w:val="32"/>
      <w:lang w:val="zh-CN" w:eastAsia="zh-CN"/>
    </w:rPr>
  </w:style>
  <w:style w:type="character" w:customStyle="1" w:styleId="64">
    <w:name w:val="正文缩进 字符"/>
    <w:link w:val="8"/>
    <w:qFormat/>
    <w:uiPriority w:val="0"/>
    <w:rPr>
      <w:rFonts w:eastAsia="宋体"/>
      <w:lang w:val="en-US" w:eastAsia="zh-CN" w:bidi="ar-SA"/>
    </w:rPr>
  </w:style>
  <w:style w:type="character" w:customStyle="1" w:styleId="65">
    <w:name w:val="标题 4 字符"/>
    <w:link w:val="6"/>
    <w:qFormat/>
    <w:uiPriority w:val="0"/>
    <w:rPr>
      <w:rFonts w:ascii="Arial" w:hAnsi="Arial" w:eastAsia="黑体"/>
      <w:b/>
      <w:kern w:val="2"/>
      <w:sz w:val="28"/>
      <w:lang w:val="zh-CN" w:eastAsia="zh-CN"/>
    </w:rPr>
  </w:style>
  <w:style w:type="character" w:customStyle="1" w:styleId="66">
    <w:name w:val="标题 5 字符"/>
    <w:link w:val="7"/>
    <w:qFormat/>
    <w:uiPriority w:val="0"/>
    <w:rPr>
      <w:b/>
      <w:kern w:val="2"/>
      <w:sz w:val="28"/>
      <w:lang w:val="zh-CN" w:eastAsia="zh-CN"/>
    </w:rPr>
  </w:style>
  <w:style w:type="character" w:customStyle="1" w:styleId="67">
    <w:name w:val="标题 6 字符"/>
    <w:link w:val="9"/>
    <w:qFormat/>
    <w:uiPriority w:val="0"/>
    <w:rPr>
      <w:rFonts w:ascii="Arial" w:hAnsi="Arial" w:eastAsia="黑体"/>
      <w:b/>
      <w:kern w:val="2"/>
      <w:sz w:val="24"/>
      <w:lang w:val="zh-CN" w:eastAsia="zh-CN"/>
    </w:rPr>
  </w:style>
  <w:style w:type="character" w:customStyle="1" w:styleId="68">
    <w:name w:val="标题 7 字符"/>
    <w:link w:val="10"/>
    <w:qFormat/>
    <w:uiPriority w:val="0"/>
    <w:rPr>
      <w:b/>
      <w:kern w:val="2"/>
      <w:sz w:val="24"/>
      <w:lang w:val="zh-CN" w:eastAsia="zh-CN"/>
    </w:rPr>
  </w:style>
  <w:style w:type="character" w:customStyle="1" w:styleId="69">
    <w:name w:val="标题 8 字符"/>
    <w:link w:val="11"/>
    <w:qFormat/>
    <w:uiPriority w:val="0"/>
    <w:rPr>
      <w:rFonts w:ascii="Arial" w:hAnsi="Arial" w:eastAsia="黑体"/>
      <w:kern w:val="2"/>
      <w:sz w:val="24"/>
      <w:lang w:val="zh-CN" w:eastAsia="zh-CN"/>
    </w:rPr>
  </w:style>
  <w:style w:type="character" w:customStyle="1" w:styleId="70">
    <w:name w:val="标题 9 字符"/>
    <w:link w:val="12"/>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7"/>
    <w:qFormat/>
    <w:uiPriority w:val="0"/>
    <w:rPr>
      <w:rFonts w:eastAsia="宋体"/>
      <w:color w:val="000000"/>
      <w:sz w:val="24"/>
      <w:lang w:val="en-US" w:eastAsia="zh-CN" w:bidi="ar-SA"/>
    </w:rPr>
  </w:style>
  <w:style w:type="character" w:customStyle="1" w:styleId="77">
    <w:name w:val="正文文本 字符"/>
    <w:link w:val="20"/>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9"/>
    <w:qFormat/>
    <w:uiPriority w:val="0"/>
    <w:rPr>
      <w:rFonts w:ascii="Arial" w:hAnsi="Arial"/>
      <w:color w:val="FF0000"/>
      <w:spacing w:val="-3"/>
      <w:sz w:val="22"/>
      <w:lang w:val="en-GB" w:eastAsia="en-US" w:bidi="ar-SA"/>
    </w:rPr>
  </w:style>
  <w:style w:type="character" w:customStyle="1" w:styleId="83">
    <w:name w:val="正文文本缩进 3 字符"/>
    <w:link w:val="37"/>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0"/>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4"/>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4"/>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4"/>
    <w:qFormat/>
    <w:uiPriority w:val="0"/>
    <w:rPr>
      <w:rFonts w:ascii="Cambria" w:hAnsi="Cambria"/>
      <w:b/>
      <w:bCs/>
      <w:kern w:val="28"/>
      <w:sz w:val="32"/>
      <w:szCs w:val="32"/>
      <w:lang w:val="en-US" w:eastAsia="zh-CN"/>
    </w:rPr>
  </w:style>
  <w:style w:type="character" w:customStyle="1" w:styleId="100">
    <w:name w:val="正文文本 2 字符"/>
    <w:link w:val="41"/>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8"/>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29"/>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7"/>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6"/>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4"/>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5"/>
    <w:qFormat/>
    <w:uiPriority w:val="0"/>
    <w:rPr>
      <w:sz w:val="24"/>
    </w:rPr>
  </w:style>
  <w:style w:type="character" w:customStyle="1" w:styleId="121">
    <w:name w:val="正文首行缩进 字符"/>
    <w:link w:val="46"/>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6"/>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5"/>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2"/>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0"/>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57"/>
    <w:next w:val="57"/>
    <w:qFormat/>
    <w:uiPriority w:val="0"/>
    <w:pPr>
      <w:spacing w:after="120"/>
    </w:pPr>
    <w:rPr>
      <w:color w:val="auto"/>
    </w:rPr>
  </w:style>
  <w:style w:type="paragraph" w:customStyle="1" w:styleId="145">
    <w:name w:val="样式 正文首行缩进 + 首行缩进:  2 字符1 Char Char"/>
    <w:basedOn w:val="46"/>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57"/>
    <w:next w:val="57"/>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6"/>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1"/>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57"/>
    <w:next w:val="57"/>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0"/>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4"/>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57"/>
    <w:next w:val="57"/>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4"/>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8"/>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8"/>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0"/>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0"/>
    <w:qFormat/>
    <w:uiPriority w:val="99"/>
    <w:rPr>
      <w:rFonts w:ascii="Times New Roman" w:hAnsi="Times New Roman" w:cs="Times New Roman"/>
      <w:color w:val="000000"/>
      <w:sz w:val="24"/>
      <w:szCs w:val="24"/>
      <w:u w:val="none"/>
    </w:rPr>
  </w:style>
  <w:style w:type="character" w:customStyle="1" w:styleId="226">
    <w:name w:val="font61"/>
    <w:basedOn w:val="50"/>
    <w:qFormat/>
    <w:uiPriority w:val="99"/>
    <w:rPr>
      <w:rFonts w:ascii="宋体" w:hAnsi="宋体" w:eastAsia="宋体" w:cs="宋体"/>
      <w:color w:val="000000"/>
      <w:sz w:val="24"/>
      <w:szCs w:val="24"/>
      <w:u w:val="none"/>
    </w:rPr>
  </w:style>
  <w:style w:type="character" w:customStyle="1" w:styleId="227">
    <w:name w:val="font31"/>
    <w:basedOn w:val="50"/>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4"/>
    <w:qFormat/>
    <w:uiPriority w:val="2"/>
    <w:pPr>
      <w:numPr>
        <w:ilvl w:val="0"/>
        <w:numId w:val="1"/>
      </w:numPr>
      <w:spacing w:line="360" w:lineRule="auto"/>
      <w:outlineLvl w:val="2"/>
    </w:pPr>
    <w:rPr>
      <w:b/>
    </w:rPr>
  </w:style>
  <w:style w:type="paragraph" w:customStyle="1" w:styleId="229">
    <w:name w:val="标书正文格式"/>
    <w:basedOn w:val="24"/>
    <w:qFormat/>
    <w:uiPriority w:val="0"/>
    <w:pPr>
      <w:spacing w:line="360" w:lineRule="auto"/>
      <w:ind w:firstLine="200" w:firstLineChars="200"/>
    </w:pPr>
    <w:rPr>
      <w:rFonts w:hAnsi="宋体"/>
      <w:color w:val="000000"/>
      <w:sz w:val="24"/>
      <w:szCs w:val="24"/>
    </w:rPr>
  </w:style>
  <w:style w:type="paragraph" w:customStyle="1" w:styleId="230">
    <w:name w:val="（4）级标题"/>
    <w:basedOn w:val="24"/>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4"/>
    <w:qFormat/>
    <w:uiPriority w:val="1"/>
    <w:pPr>
      <w:numPr>
        <w:ilvl w:val="0"/>
        <w:numId w:val="3"/>
      </w:numPr>
      <w:spacing w:line="360" w:lineRule="auto"/>
      <w:ind w:left="420"/>
      <w:outlineLvl w:val="1"/>
    </w:pPr>
    <w:rPr>
      <w:rFonts w:ascii="黑体" w:eastAsia="黑体"/>
      <w:b/>
      <w:bCs/>
      <w:sz w:val="28"/>
    </w:rPr>
  </w:style>
  <w:style w:type="paragraph" w:customStyle="1" w:styleId="235">
    <w:name w:val="标书正文"/>
    <w:basedOn w:val="24"/>
    <w:qFormat/>
    <w:uiPriority w:val="9"/>
    <w:pPr>
      <w:spacing w:line="360" w:lineRule="auto"/>
      <w:jc w:val="left"/>
    </w:pPr>
  </w:style>
  <w:style w:type="paragraph" w:customStyle="1" w:styleId="236">
    <w:name w:val="标书二级标题"/>
    <w:basedOn w:val="4"/>
    <w:qFormat/>
    <w:uiPriority w:val="0"/>
    <w:pPr>
      <w:spacing w:line="240" w:lineRule="auto"/>
      <w:jc w:val="left"/>
    </w:pPr>
    <w:rPr>
      <w:rFonts w:ascii="宋体" w:hAnsi="宋体" w:eastAsia="黑体"/>
      <w:b w:val="0"/>
      <w:sz w:val="28"/>
      <w:szCs w:val="30"/>
    </w:rPr>
  </w:style>
  <w:style w:type="paragraph" w:customStyle="1" w:styleId="237">
    <w:name w:val="标书三级标题"/>
    <w:basedOn w:val="5"/>
    <w:next w:val="229"/>
    <w:qFormat/>
    <w:uiPriority w:val="0"/>
    <w:pPr>
      <w:spacing w:before="0" w:after="0" w:line="240" w:lineRule="auto"/>
      <w:ind w:firstLine="482" w:firstLineChars="200"/>
    </w:pPr>
    <w:rPr>
      <w:rFonts w:ascii="Times New Roman" w:hAnsi="Times New Roman"/>
      <w:color w:val="000000"/>
      <w:sz w:val="24"/>
      <w:szCs w:val="24"/>
    </w:rPr>
  </w:style>
  <w:style w:type="paragraph" w:customStyle="1" w:styleId="238">
    <w:name w:val="标书一级标题"/>
    <w:basedOn w:val="2"/>
    <w:qFormat/>
    <w:uiPriority w:val="0"/>
    <w:rPr>
      <w:rFonts w:eastAsia="黑体"/>
      <w:b w:val="0"/>
      <w:color w:val="00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4.png"/><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header" Target="head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header" Target="header4.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21781</Words>
  <Characters>23194</Characters>
  <Lines>52</Lines>
  <Paragraphs>14</Paragraphs>
  <TotalTime>50</TotalTime>
  <ScaleCrop>false</ScaleCrop>
  <LinksUpToDate>false</LinksUpToDate>
  <CharactersWithSpaces>24014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WPS_1668735617</cp:lastModifiedBy>
  <cp:lastPrinted>2020-01-08T06:44:00Z</cp:lastPrinted>
  <dcterms:modified xsi:type="dcterms:W3CDTF">2026-09-10T02:20:19Z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72077545901849A3B0972A0F9ABC1078_13</vt:lpwstr>
  </property>
  <property fmtid="{D5CDD505-2E9C-101B-9397-08002B2CF9AE}" pid="5" name="KSOTemplateDocerSaveRecord">
    <vt:lpwstr>eyJoZGlkIjoiYjlmNTA1YmRhOTEwOWQzZjk1Y2I2ZjAwMjc3ZDIzM2QiLCJ1c2VySWQiOiIxNDM3ODQwOTAzIn0=</vt:lpwstr>
  </property>
</Properties>
</file>