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F853167">
      <w:pPr>
        <w:autoSpaceDE w:val="0"/>
        <w:autoSpaceDN w:val="0"/>
        <w:adjustRightInd w:val="0"/>
        <w:snapToGrid w:val="0"/>
        <w:spacing w:line="360" w:lineRule="auto"/>
        <w:ind w:firstLine="723"/>
        <w:jc w:val="center"/>
        <w:rPr>
          <w:rFonts w:hint="eastAsia" w:asciiTheme="minorEastAsia" w:hAnsiTheme="minorEastAsia" w:eastAsiaTheme="minorEastAsia" w:cstheme="minorEastAsia"/>
          <w:b/>
          <w:sz w:val="36"/>
          <w:szCs w:val="36"/>
        </w:rPr>
      </w:pPr>
      <w:bookmarkStart w:id="0" w:name="_Toc10987"/>
      <w:bookmarkStart w:id="1" w:name="_Toc15310"/>
    </w:p>
    <w:p w14:paraId="3971A463">
      <w:pPr>
        <w:pStyle w:val="24"/>
        <w:rPr>
          <w:rFonts w:hint="eastAsia"/>
        </w:rPr>
      </w:pPr>
    </w:p>
    <w:p w14:paraId="0B726F97">
      <w:pPr>
        <w:autoSpaceDE w:val="0"/>
        <w:autoSpaceDN w:val="0"/>
        <w:adjustRightInd w:val="0"/>
        <w:snapToGrid w:val="0"/>
        <w:spacing w:line="360" w:lineRule="auto"/>
        <w:ind w:firstLine="256" w:firstLineChars="49"/>
        <w:jc w:val="center"/>
        <w:rPr>
          <w:rFonts w:hint="eastAsia" w:asciiTheme="minorEastAsia" w:hAnsiTheme="minorEastAsia" w:eastAsiaTheme="minorEastAsia" w:cstheme="minorEastAsia"/>
          <w:b/>
          <w:sz w:val="52"/>
          <w:szCs w:val="52"/>
          <w:lang w:val="en-US" w:eastAsia="zh-CN"/>
        </w:rPr>
      </w:pPr>
      <w:r>
        <w:rPr>
          <w:rFonts w:hint="eastAsia" w:asciiTheme="minorEastAsia" w:hAnsiTheme="minorEastAsia" w:eastAsiaTheme="minorEastAsia" w:cstheme="minorEastAsia"/>
          <w:b/>
          <w:sz w:val="52"/>
          <w:szCs w:val="52"/>
          <w:lang w:val="en-US" w:eastAsia="zh-CN"/>
        </w:rPr>
        <w:t>中国重汽集团济南动力有限公司</w:t>
      </w:r>
    </w:p>
    <w:p w14:paraId="68D623A1">
      <w:pPr>
        <w:autoSpaceDE w:val="0"/>
        <w:autoSpaceDN w:val="0"/>
        <w:adjustRightInd w:val="0"/>
        <w:snapToGrid w:val="0"/>
        <w:spacing w:line="360" w:lineRule="auto"/>
        <w:ind w:firstLine="256" w:firstLineChars="49"/>
        <w:jc w:val="center"/>
        <w:rPr>
          <w:rFonts w:hint="default" w:asciiTheme="minorEastAsia" w:hAnsiTheme="minorEastAsia" w:eastAsiaTheme="minorEastAsia" w:cstheme="minorEastAsia"/>
          <w:b/>
          <w:sz w:val="52"/>
          <w:szCs w:val="52"/>
          <w:highlight w:val="yellow"/>
          <w:lang w:val="en-US"/>
        </w:rPr>
      </w:pPr>
      <w:r>
        <w:rPr>
          <w:rFonts w:hint="eastAsia" w:asciiTheme="minorEastAsia" w:hAnsiTheme="minorEastAsia" w:eastAsiaTheme="minorEastAsia" w:cstheme="minorEastAsia"/>
          <w:b/>
          <w:sz w:val="52"/>
          <w:szCs w:val="52"/>
          <w:lang w:val="en-US" w:eastAsia="zh-CN"/>
        </w:rPr>
        <w:t>济南成型厂颗粒物在线监测设备更新技改项目</w:t>
      </w:r>
    </w:p>
    <w:p w14:paraId="063092C1">
      <w:pPr>
        <w:autoSpaceDE w:val="0"/>
        <w:autoSpaceDN w:val="0"/>
        <w:adjustRightInd w:val="0"/>
        <w:snapToGrid w:val="0"/>
        <w:spacing w:line="360" w:lineRule="auto"/>
        <w:jc w:val="both"/>
        <w:rPr>
          <w:rFonts w:hint="eastAsia" w:asciiTheme="minorEastAsia" w:hAnsiTheme="minorEastAsia" w:eastAsiaTheme="minorEastAsia" w:cstheme="minorEastAsia"/>
          <w:b/>
          <w:sz w:val="72"/>
          <w:szCs w:val="72"/>
        </w:rPr>
      </w:pPr>
    </w:p>
    <w:p w14:paraId="410C4BC7">
      <w:pPr>
        <w:pStyle w:val="3"/>
        <w:rPr>
          <w:rFonts w:hint="eastAsia"/>
        </w:rPr>
      </w:pPr>
    </w:p>
    <w:p w14:paraId="66ADF315">
      <w:pPr>
        <w:autoSpaceDE w:val="0"/>
        <w:autoSpaceDN w:val="0"/>
        <w:adjustRightInd w:val="0"/>
        <w:snapToGrid w:val="0"/>
        <w:spacing w:line="360" w:lineRule="auto"/>
        <w:ind w:firstLine="354" w:firstLineChars="49"/>
        <w:jc w:val="center"/>
        <w:rPr>
          <w:rFonts w:hint="eastAsia" w:asciiTheme="minorEastAsia" w:hAnsiTheme="minorEastAsia" w:eastAsiaTheme="minorEastAsia" w:cstheme="minorEastAsia"/>
          <w:b/>
          <w:w w:val="99"/>
          <w:sz w:val="30"/>
          <w:szCs w:val="30"/>
        </w:rPr>
      </w:pPr>
      <w:r>
        <w:rPr>
          <w:rFonts w:hint="eastAsia" w:asciiTheme="minorEastAsia" w:hAnsiTheme="minorEastAsia" w:eastAsiaTheme="minorEastAsia" w:cstheme="minorEastAsia"/>
          <w:b/>
          <w:sz w:val="72"/>
          <w:szCs w:val="72"/>
        </w:rPr>
        <w:t>招　标　文　件</w:t>
      </w:r>
      <w:r>
        <w:rPr>
          <w:rFonts w:hint="eastAsia" w:asciiTheme="minorEastAsia" w:hAnsiTheme="minorEastAsia" w:eastAsiaTheme="minorEastAsia" w:cstheme="minorEastAsia"/>
          <w:b/>
          <w:spacing w:val="-20"/>
          <w:sz w:val="28"/>
          <w:szCs w:val="28"/>
        </w:rPr>
        <w:t xml:space="preserve">                                       </w:t>
      </w:r>
    </w:p>
    <w:p w14:paraId="7FEC9C2A">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073CB7F0">
      <w:pPr>
        <w:tabs>
          <w:tab w:val="left" w:pos="3885"/>
          <w:tab w:val="left" w:pos="6219"/>
        </w:tabs>
        <w:autoSpaceDE w:val="0"/>
        <w:autoSpaceDN w:val="0"/>
        <w:adjustRightInd w:val="0"/>
        <w:snapToGrid w:val="0"/>
        <w:spacing w:line="360" w:lineRule="auto"/>
        <w:jc w:val="both"/>
        <w:rPr>
          <w:rFonts w:hint="eastAsia" w:asciiTheme="minorEastAsia" w:hAnsiTheme="minorEastAsia" w:eastAsiaTheme="minorEastAsia" w:cstheme="minorEastAsia"/>
          <w:b/>
          <w:w w:val="99"/>
          <w:sz w:val="30"/>
          <w:szCs w:val="30"/>
        </w:rPr>
      </w:pPr>
    </w:p>
    <w:p w14:paraId="030B0266">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6308245F">
      <w:pPr>
        <w:pStyle w:val="3"/>
        <w:rPr>
          <w:rFonts w:hint="eastAsia"/>
        </w:rPr>
      </w:pPr>
    </w:p>
    <w:p w14:paraId="65B3242C">
      <w:pPr>
        <w:tabs>
          <w:tab w:val="left" w:pos="3885"/>
          <w:tab w:val="left" w:pos="6219"/>
        </w:tabs>
        <w:autoSpaceDE w:val="0"/>
        <w:autoSpaceDN w:val="0"/>
        <w:adjustRightInd w:val="0"/>
        <w:snapToGrid w:val="0"/>
        <w:spacing w:line="360" w:lineRule="auto"/>
        <w:ind w:firstLine="292" w:firstLineChars="98"/>
        <w:jc w:val="center"/>
        <w:rPr>
          <w:rFonts w:hint="eastAsia" w:asciiTheme="minorEastAsia" w:hAnsiTheme="minorEastAsia" w:eastAsiaTheme="minorEastAsia" w:cstheme="minorEastAsia"/>
          <w:b/>
          <w:w w:val="99"/>
          <w:sz w:val="30"/>
          <w:szCs w:val="30"/>
        </w:rPr>
      </w:pPr>
    </w:p>
    <w:p w14:paraId="5D076AFE">
      <w:pPr>
        <w:tabs>
          <w:tab w:val="left" w:pos="3885"/>
          <w:tab w:val="left" w:pos="6219"/>
        </w:tabs>
        <w:autoSpaceDE w:val="0"/>
        <w:autoSpaceDN w:val="0"/>
        <w:adjustRightInd w:val="0"/>
        <w:snapToGrid w:val="0"/>
        <w:spacing w:line="360" w:lineRule="auto"/>
        <w:ind w:firstLine="292" w:firstLineChars="98"/>
        <w:jc w:val="center"/>
        <w:rPr>
          <w:rFonts w:hint="default" w:asciiTheme="minorEastAsia" w:hAnsiTheme="minorEastAsia" w:eastAsiaTheme="minorEastAsia" w:cstheme="minorEastAsia"/>
          <w:b/>
          <w:sz w:val="30"/>
          <w:szCs w:val="30"/>
          <w:u w:val="single"/>
          <w:lang w:val="en-US" w:eastAsia="zh-CN"/>
        </w:rPr>
      </w:pPr>
      <w:r>
        <w:rPr>
          <w:rFonts w:hint="eastAsia" w:asciiTheme="minorEastAsia" w:hAnsiTheme="minorEastAsia" w:eastAsiaTheme="minorEastAsia" w:cstheme="minorEastAsia"/>
          <w:b/>
          <w:w w:val="99"/>
          <w:sz w:val="30"/>
          <w:szCs w:val="30"/>
        </w:rPr>
        <w:t>招   标  人：</w:t>
      </w:r>
      <w:r>
        <w:rPr>
          <w:rFonts w:hint="eastAsia" w:asciiTheme="minorEastAsia" w:hAnsiTheme="minorEastAsia" w:eastAsiaTheme="minorEastAsia" w:cstheme="minorEastAsia"/>
          <w:b/>
          <w:w w:val="99"/>
          <w:sz w:val="30"/>
          <w:szCs w:val="30"/>
          <w:lang w:val="en-US" w:eastAsia="zh-CN"/>
        </w:rPr>
        <w:t>中国重汽集团济南动力有限公司</w:t>
      </w:r>
    </w:p>
    <w:p w14:paraId="6A49AC33">
      <w:pPr>
        <w:pStyle w:val="32"/>
        <w:tabs>
          <w:tab w:val="left" w:pos="900"/>
          <w:tab w:val="right" w:leader="dot" w:pos="9100"/>
        </w:tabs>
        <w:spacing w:line="360" w:lineRule="auto"/>
        <w:ind w:firstLine="600"/>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sz w:val="30"/>
          <w:szCs w:val="30"/>
          <w:lang w:val="en-US" w:eastAsia="zh-CN"/>
        </w:rPr>
        <w:t>2026</w:t>
      </w:r>
      <w:r>
        <w:rPr>
          <w:rFonts w:hint="eastAsia" w:asciiTheme="minorEastAsia" w:hAnsiTheme="minorEastAsia" w:eastAsiaTheme="minorEastAsia" w:cstheme="minorEastAsia"/>
          <w:sz w:val="30"/>
          <w:szCs w:val="30"/>
        </w:rPr>
        <w:t>年</w:t>
      </w:r>
      <w:r>
        <w:rPr>
          <w:rFonts w:hint="eastAsia" w:asciiTheme="minorEastAsia" w:hAnsiTheme="minorEastAsia" w:eastAsiaTheme="minorEastAsia" w:cstheme="minorEastAsia"/>
          <w:sz w:val="30"/>
          <w:szCs w:val="30"/>
          <w:lang w:val="en-US" w:eastAsia="zh-CN"/>
        </w:rPr>
        <w:t>9</w:t>
      </w:r>
      <w:r>
        <w:rPr>
          <w:rFonts w:hint="eastAsia" w:asciiTheme="minorEastAsia" w:hAnsiTheme="minorEastAsia" w:eastAsiaTheme="minorEastAsia" w:cstheme="minorEastAsia"/>
          <w:sz w:val="30"/>
          <w:szCs w:val="30"/>
        </w:rPr>
        <w:t>月</w:t>
      </w:r>
    </w:p>
    <w:p w14:paraId="1FB59CED">
      <w:pPr>
        <w:ind w:firstLine="420"/>
        <w:rPr>
          <w:rFonts w:hint="eastAsia" w:asciiTheme="minorEastAsia" w:hAnsiTheme="minorEastAsia" w:eastAsiaTheme="minorEastAsia" w:cstheme="minorEastAsia"/>
        </w:rPr>
      </w:pPr>
    </w:p>
    <w:p w14:paraId="6639F5A4">
      <w:pPr>
        <w:ind w:firstLine="420"/>
        <w:rPr>
          <w:rFonts w:hint="eastAsia" w:asciiTheme="minorEastAsia" w:hAnsiTheme="minorEastAsia" w:eastAsiaTheme="minorEastAsia" w:cstheme="minorEastAsia"/>
        </w:rPr>
      </w:pPr>
    </w:p>
    <w:bookmarkEnd w:id="0"/>
    <w:bookmarkEnd w:id="1"/>
    <w:p w14:paraId="70C460E3">
      <w:pPr>
        <w:widowControl/>
        <w:ind w:firstLine="420"/>
        <w:jc w:val="left"/>
        <w:rPr>
          <w:rFonts w:hint="eastAsia" w:asciiTheme="minorEastAsia" w:hAnsiTheme="minorEastAsia" w:eastAsiaTheme="minorEastAsia" w:cstheme="minorEastAsia"/>
          <w:b/>
          <w:kern w:val="0"/>
          <w:sz w:val="32"/>
          <w:szCs w:val="32"/>
          <w:lang w:val="zh-CN"/>
        </w:rPr>
      </w:pPr>
      <w:bookmarkStart w:id="2" w:name="_Toc131406235"/>
      <w:bookmarkStart w:id="3" w:name="_Toc23462"/>
      <w:bookmarkStart w:id="4" w:name="_Toc16518"/>
      <w:r>
        <w:rPr>
          <w:rFonts w:hint="eastAsia" w:asciiTheme="minorEastAsia" w:hAnsiTheme="minorEastAsia" w:eastAsiaTheme="minorEastAsia" w:cstheme="minorEastAsia"/>
          <w:szCs w:val="32"/>
        </w:rPr>
        <w:br w:type="page"/>
      </w:r>
    </w:p>
    <w:p w14:paraId="263802B2">
      <w:pPr>
        <w:pStyle w:val="3"/>
        <w:snapToGrid w:val="0"/>
        <w:spacing w:before="0" w:after="0" w:line="360" w:lineRule="auto"/>
        <w:ind w:firstLine="643"/>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szCs w:val="32"/>
        </w:rPr>
        <w:t>招标公告</w:t>
      </w:r>
      <w:bookmarkEnd w:id="2"/>
      <w:bookmarkEnd w:id="3"/>
      <w:bookmarkEnd w:id="4"/>
    </w:p>
    <w:p w14:paraId="28C7EE29">
      <w:pPr>
        <w:widowControl/>
        <w:snapToGrid w:val="0"/>
        <w:spacing w:line="360" w:lineRule="auto"/>
        <w:jc w:val="left"/>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0AA79F2">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中国重汽集团济南动力有限公司济南成型厂颗粒物在线监测设备更新技改项目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中国重汽集团济南动力有限公司</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，出资比例为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42E37FAB">
      <w:pPr>
        <w:widowControl/>
        <w:snapToGrid w:val="0"/>
        <w:spacing w:line="360" w:lineRule="auto"/>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0A97F76A">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285809451"/>
      <w:bookmarkEnd w:id="5"/>
      <w:bookmarkStart w:id="6" w:name="_Toc179632530"/>
      <w:bookmarkEnd w:id="6"/>
      <w:bookmarkStart w:id="7" w:name="_Toc152042290"/>
      <w:bookmarkEnd w:id="7"/>
      <w:bookmarkStart w:id="8" w:name="_Toc152045514"/>
      <w:bookmarkEnd w:id="8"/>
      <w:bookmarkStart w:id="9" w:name="_Toc144974482"/>
      <w:bookmarkEnd w:id="9"/>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kern w:val="0"/>
          <w:sz w:val="24"/>
          <w:szCs w:val="24"/>
          <w:highlight w:val="none"/>
          <w:u w:val="single"/>
          <w:lang w:val="en-US" w:eastAsia="zh-CN" w:bidi="en-US"/>
        </w:rPr>
        <w:t xml:space="preserve"> 济南成型厂颗粒物在线监测设备更新技改项目  </w:t>
      </w:r>
    </w:p>
    <w:p w14:paraId="1A840314">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color w:val="auto"/>
          <w:kern w:val="0"/>
          <w:sz w:val="24"/>
          <w:szCs w:val="24"/>
          <w:highlight w:val="none"/>
          <w:u w:val="single"/>
          <w:lang w:val="en-US" w:eastAsia="zh-CN" w:bidi="en-US"/>
        </w:rPr>
      </w:pPr>
      <w:r>
        <w:rPr>
          <w:rFonts w:hint="eastAsia" w:asciiTheme="minorEastAsia" w:hAnsiTheme="minorEastAsia" w:eastAsiaTheme="minorEastAsia" w:cstheme="minorEastAsia"/>
          <w:color w:val="auto"/>
          <w:kern w:val="0"/>
          <w:sz w:val="24"/>
          <w:szCs w:val="24"/>
          <w:highlight w:val="none"/>
          <w:lang w:bidi="en-US"/>
        </w:rPr>
        <w:t>采购形式编号：</w:t>
      </w:r>
      <w:r>
        <w:rPr>
          <w:rFonts w:hint="eastAsia" w:asciiTheme="minorEastAsia" w:hAnsiTheme="minorEastAsia" w:eastAsiaTheme="minorEastAsia" w:cstheme="minorEastAsia"/>
          <w:color w:val="auto"/>
          <w:kern w:val="0"/>
          <w:sz w:val="24"/>
          <w:szCs w:val="24"/>
          <w:highlight w:val="none"/>
          <w:u w:val="single"/>
          <w:lang w:val="en-US" w:eastAsia="zh-CN" w:bidi="en-US"/>
        </w:rPr>
        <w:t>ZBGL2026090069；</w:t>
      </w:r>
    </w:p>
    <w:p w14:paraId="5E9149AD">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imes New Roman" w:hAnsi="Times New Roman"/>
          <w:color w:val="000000"/>
        </w:rPr>
      </w:pP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山东省济南市章丘区世纪大道6677号</w:t>
      </w:r>
      <w:r>
        <w:rPr>
          <w:rFonts w:hint="eastAsia" w:ascii="宋体" w:hAnsi="宋体" w:eastAsia="宋体" w:cs="宋体"/>
          <w:color w:val="000000"/>
          <w:sz w:val="24"/>
          <w:szCs w:val="24"/>
          <w:u w:val="single"/>
        </w:rPr>
        <w:t>济南成型厂</w:t>
      </w:r>
      <w:r>
        <w:rPr>
          <w:rFonts w:hint="eastAsia" w:asciiTheme="minorEastAsia" w:hAnsiTheme="minorEastAsia" w:eastAsiaTheme="minorEastAsia" w:cstheme="minorEastAsia"/>
          <w:kern w:val="0"/>
          <w:sz w:val="24"/>
          <w:szCs w:val="24"/>
          <w:highlight w:val="none"/>
          <w:u w:val="single"/>
          <w:lang w:bidi="en-US"/>
        </w:rPr>
        <w:t>；</w:t>
      </w:r>
    </w:p>
    <w:p w14:paraId="505FD740">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r>
        <w:rPr>
          <w:rFonts w:hint="eastAsia" w:asciiTheme="minorEastAsia" w:hAnsiTheme="minorEastAsia" w:eastAsiaTheme="minorEastAsia" w:cstheme="minorEastAsia"/>
          <w:kern w:val="0"/>
          <w:sz w:val="24"/>
          <w:szCs w:val="24"/>
          <w:highlight w:val="none"/>
          <w:lang w:bidi="en-US"/>
        </w:rPr>
        <w:t>项目概况</w:t>
      </w:r>
      <w:r>
        <w:rPr>
          <w:rFonts w:hint="eastAsia" w:asciiTheme="minorEastAsia" w:hAnsiTheme="minorEastAsia" w:eastAsiaTheme="minorEastAsia" w:cstheme="minorEastAsia"/>
          <w:kern w:val="0"/>
          <w:sz w:val="24"/>
          <w:szCs w:val="24"/>
          <w:highlight w:val="none"/>
          <w:lang w:eastAsia="zh-CN" w:bidi="en-US"/>
        </w:rPr>
        <w:t>：</w:t>
      </w:r>
      <w:r>
        <w:rPr>
          <w:rFonts w:hint="eastAsia" w:asciiTheme="minorEastAsia" w:hAnsiTheme="minorEastAsia" w:eastAsiaTheme="minorEastAsia" w:cstheme="minorEastAsia"/>
          <w:kern w:val="0"/>
          <w:sz w:val="24"/>
          <w:szCs w:val="24"/>
          <w:highlight w:val="none"/>
          <w:u w:val="single"/>
          <w:lang w:val="en-US" w:eastAsia="zh-CN" w:bidi="en-US"/>
        </w:rPr>
        <w:t>更新烟尘浓度连续监测仪、温压流一体机、湿氧一体机、数采仪各2台。</w:t>
      </w:r>
      <w:r>
        <w:rPr>
          <w:rFonts w:hint="eastAsia" w:ascii="宋体" w:hAnsi="宋体"/>
          <w:b w:val="0"/>
          <w:bCs w:val="0"/>
          <w:color w:val="000000"/>
          <w:sz w:val="24"/>
          <w:szCs w:val="24"/>
          <w:lang w:val="en-US" w:eastAsia="zh-CN" w:bidi="zh-CN"/>
        </w:rPr>
        <w:t>技术要求详见“招标文件”</w:t>
      </w:r>
    </w:p>
    <w:p w14:paraId="343CD3FB">
      <w:pPr>
        <w:pStyle w:val="151"/>
        <w:keepNext w:val="0"/>
        <w:keepLines w:val="0"/>
        <w:pageBreakBefore w:val="0"/>
        <w:widowControl/>
        <w:numPr>
          <w:ilvl w:val="0"/>
          <w:numId w:val="4"/>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50AD64FD">
      <w:pPr>
        <w:widowControl/>
        <w:snapToGrid w:val="0"/>
        <w:spacing w:line="360" w:lineRule="auto"/>
        <w:jc w:val="left"/>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26A0C6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1.拟投标人必须是在中华人民共和国境内注册的独立法人机构，具有独立承担民事责任能力；注册资金不少于</w:t>
      </w:r>
      <w:r>
        <w:rPr>
          <w:rFonts w:hint="eastAsia" w:hAnsi="宋体" w:cs="宋体"/>
          <w:color w:val="000000"/>
          <w:sz w:val="24"/>
          <w:szCs w:val="24"/>
          <w:highlight w:val="none"/>
          <w:lang w:val="en-US" w:eastAsia="zh-CN"/>
        </w:rPr>
        <w:t>50</w:t>
      </w:r>
      <w:r>
        <w:rPr>
          <w:rFonts w:hint="eastAsia" w:hAnsi="宋体" w:eastAsia="宋体" w:cs="宋体"/>
          <w:color w:val="000000"/>
          <w:sz w:val="24"/>
          <w:szCs w:val="24"/>
          <w:highlight w:val="none"/>
        </w:rPr>
        <w:t>万人民币</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或等值其他货币</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公司成立三年以上</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以营业执照成立日期到开标当日满三年为准</w:t>
      </w:r>
      <w:r>
        <w:rPr>
          <w:rFonts w:hint="eastAsia" w:hAnsi="宋体" w:cs="宋体"/>
          <w:color w:val="000000"/>
          <w:sz w:val="24"/>
          <w:szCs w:val="24"/>
          <w:highlight w:val="none"/>
          <w:lang w:eastAsia="zh-CN"/>
        </w:rPr>
        <w:t>），</w:t>
      </w:r>
      <w:r>
        <w:rPr>
          <w:rFonts w:hint="eastAsia" w:hAnsi="宋体" w:eastAsia="宋体" w:cs="宋体"/>
          <w:color w:val="000000"/>
          <w:sz w:val="24"/>
          <w:szCs w:val="24"/>
          <w:highlight w:val="none"/>
        </w:rPr>
        <w:t>且经营范围满足招标人需求；并在人员、设备、资金等方面具有承担本项目的能力；</w:t>
      </w:r>
    </w:p>
    <w:p w14:paraId="188FCA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2.拟投标人应提供三证合一的营业执照副本原件和扫描件(需盖章);</w:t>
      </w:r>
    </w:p>
    <w:p w14:paraId="0D0AE0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3.拟投标人应提供法定代表人资格证明文件；</w:t>
      </w:r>
    </w:p>
    <w:p w14:paraId="2FD9BC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4.拟投标人在工商行政管理局的《国家企业信用信息公示系统》中查询不存在不良记录；</w:t>
      </w:r>
    </w:p>
    <w:p w14:paraId="147D08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5.拟投标人不存在严重违规或被列入招标人“黑名单”的声明；</w:t>
      </w:r>
    </w:p>
    <w:p w14:paraId="0D47F1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6.拟投标人202</w:t>
      </w:r>
      <w:r>
        <w:rPr>
          <w:rFonts w:hint="eastAsia" w:hAnsi="宋体" w:cs="宋体"/>
          <w:color w:val="000000"/>
          <w:sz w:val="24"/>
          <w:szCs w:val="24"/>
          <w:highlight w:val="none"/>
          <w:lang w:val="en-US" w:eastAsia="zh-CN"/>
        </w:rPr>
        <w:t>3</w:t>
      </w:r>
      <w:r>
        <w:rPr>
          <w:rFonts w:hint="eastAsia" w:hAnsi="宋体" w:eastAsia="宋体" w:cs="宋体"/>
          <w:color w:val="000000"/>
          <w:sz w:val="24"/>
          <w:szCs w:val="24"/>
          <w:highlight w:val="none"/>
        </w:rPr>
        <w:t>年1月1日至今经第三方审计的公司财务报表(资产负债表、损益表、现金流量表)未显示异常；（如投标人公司没有经审计的财务报告，可提供加盖公章的近三年财务报表，包括但不限于资产负债表、利润表、现金流量表）；</w:t>
      </w:r>
    </w:p>
    <w:p w14:paraId="227002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7.拟投标人有与本次招标内容相同或类似项目业绩，且近3年内无因服务不当而造成重大事故；</w:t>
      </w:r>
    </w:p>
    <w:p w14:paraId="0410291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8.投标人三年内无违法及重大违规情况；</w:t>
      </w:r>
    </w:p>
    <w:p w14:paraId="0DBA5E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9.投标人须认可招标人的工作指令，包括节、假日能正常开展工作的要求；</w:t>
      </w:r>
    </w:p>
    <w:p w14:paraId="6E6D9B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10.投标人最近半年纳税正常；</w:t>
      </w:r>
    </w:p>
    <w:p w14:paraId="5BAC09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11.投标人信用证明材料(征信报告)未显示异常；</w:t>
      </w:r>
    </w:p>
    <w:p w14:paraId="6E271F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12.供方的直接或间接股东、法定代表人、董事、监事、高管非重汽员工及其亲属；</w:t>
      </w:r>
    </w:p>
    <w:p w14:paraId="03C8A5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13.本项目不接受联合体投标，拟投标人必须是最终投标单位和签订合同单位，不得以任何理由将已中标项目以任何形式分包或转包给其他单位。</w:t>
      </w:r>
    </w:p>
    <w:p w14:paraId="0C7457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hAnsi="宋体" w:eastAsia="宋体" w:cs="宋体"/>
          <w:color w:val="000000"/>
          <w:sz w:val="24"/>
          <w:szCs w:val="24"/>
          <w:highlight w:val="none"/>
        </w:rPr>
      </w:pPr>
      <w:r>
        <w:rPr>
          <w:rFonts w:hint="eastAsia" w:hAnsi="宋体" w:eastAsia="宋体" w:cs="宋体"/>
          <w:color w:val="000000"/>
          <w:sz w:val="24"/>
          <w:szCs w:val="24"/>
          <w:highlight w:val="none"/>
        </w:rPr>
        <w:t>14.无招标违规、谎报年度报告信息、提供虚假资质资料等行为或其他行政处罚记录；近三年内在经营活动中无与本项目有关的违法及重大违规情况。</w:t>
      </w:r>
    </w:p>
    <w:p w14:paraId="01D671BE">
      <w:pPr>
        <w:spacing w:line="360" w:lineRule="auto"/>
        <w:ind w:firstLine="480" w:firstLineChars="200"/>
        <w:rPr>
          <w:rFonts w:hint="eastAsia" w:hAnsi="宋体" w:eastAsia="宋体" w:cs="宋体"/>
          <w:color w:val="000000"/>
          <w:sz w:val="24"/>
          <w:szCs w:val="24"/>
          <w:lang w:val="en-US" w:eastAsia="zh-CN"/>
        </w:rPr>
      </w:pPr>
      <w:r>
        <w:rPr>
          <w:rFonts w:hint="eastAsia" w:hAnsi="宋体" w:cs="宋体"/>
          <w:color w:val="000000"/>
          <w:sz w:val="24"/>
          <w:szCs w:val="24"/>
          <w:lang w:val="en-US" w:eastAsia="zh-CN"/>
        </w:rPr>
        <w:t>15.</w:t>
      </w:r>
      <w:r>
        <w:rPr>
          <w:rFonts w:hint="eastAsia" w:hAnsi="宋体" w:cs="宋体"/>
          <w:color w:val="000000"/>
          <w:sz w:val="24"/>
          <w:szCs w:val="24"/>
        </w:rPr>
        <w:t>单位负责人为同一人、存在直接/间接控股、管理关系、实际控制关系（含一致行动、股权代持、协议控制、亲属控制）的不同投标人，视为同一控制主体；同一控制主体的多家单位，不得同时参与同一标段投标，否则相关投标均无效；投标人应配合招标人提供相关证明材料包括但不限于：营业执照、工商公示报告、公司章程、股权穿透图、关联关系声明书、股东及实际控制人信息表、董监高名单、社保及保证金账户信息</w:t>
      </w:r>
      <w:r>
        <w:rPr>
          <w:rFonts w:hint="eastAsia" w:hAnsi="宋体" w:cs="宋体"/>
          <w:color w:val="000000"/>
          <w:sz w:val="24"/>
          <w:szCs w:val="24"/>
          <w:lang w:eastAsia="zh-CN"/>
        </w:rPr>
        <w:t>。</w:t>
      </w:r>
    </w:p>
    <w:p w14:paraId="5943C606">
      <w:pPr>
        <w:widowControl/>
        <w:snapToGrid w:val="0"/>
        <w:spacing w:line="360" w:lineRule="auto"/>
        <w:jc w:val="left"/>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7F939CCD">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w:t>
      </w:r>
      <w:r>
        <w:rPr>
          <w:rFonts w:hint="eastAsia" w:ascii="宋体" w:hAnsi="宋体" w:cs="宋体"/>
          <w:b/>
          <w:bCs/>
          <w:color w:val="000000"/>
          <w:sz w:val="24"/>
          <w:szCs w:val="24"/>
          <w:highlight w:val="none"/>
          <w:lang w:val="en-US" w:eastAsia="zh-CN"/>
        </w:rPr>
        <w:t>应标</w:t>
      </w:r>
      <w:r>
        <w:rPr>
          <w:rFonts w:hint="eastAsia" w:ascii="宋体" w:hAnsi="宋体" w:eastAsia="宋体" w:cs="宋体"/>
          <w:b/>
          <w:bCs/>
          <w:color w:val="000000"/>
          <w:sz w:val="24"/>
          <w:szCs w:val="24"/>
          <w:highlight w:val="none"/>
        </w:rPr>
        <w:t>报名</w:t>
      </w:r>
    </w:p>
    <w:p w14:paraId="32878AE6">
      <w:pPr>
        <w:keepNext/>
        <w:keepLines/>
        <w:spacing w:line="360" w:lineRule="auto"/>
        <w:ind w:firstLine="482" w:firstLineChars="200"/>
        <w:outlineLvl w:val="2"/>
        <w:rPr>
          <w:rFonts w:hint="default" w:ascii="宋体" w:hAnsi="宋体" w:eastAsia="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应标报名截止时间：2026年9月15日17：00</w:t>
      </w:r>
    </w:p>
    <w:p w14:paraId="73076DF4">
      <w:pPr>
        <w:pStyle w:val="235"/>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ascii="宋体" w:hAnsi="宋体" w:eastAsia="宋体" w:cs="宋体"/>
          <w:sz w:val="24"/>
          <w:szCs w:val="24"/>
        </w:rPr>
      </w:pPr>
      <w:r>
        <w:rPr>
          <w:rFonts w:hint="eastAsia" w:eastAsia="宋体" w:cs="宋体"/>
          <w:sz w:val="24"/>
          <w:szCs w:val="24"/>
          <w:highlight w:val="none"/>
        </w:rPr>
        <w:t>拟投标人根据招标人在中国重汽官网</w:t>
      </w:r>
      <w:r>
        <w:rPr>
          <w:rFonts w:hint="eastAsia" w:eastAsia="宋体" w:cs="宋体"/>
          <w:sz w:val="24"/>
          <w:szCs w:val="24"/>
          <w:highlight w:val="none"/>
          <w:lang w:val="en-US" w:eastAsia="zh-CN"/>
        </w:rPr>
        <w:t>公开媒体</w:t>
      </w:r>
      <w:r>
        <w:rPr>
          <w:rFonts w:hint="eastAsia" w:eastAsia="宋体" w:cs="宋体"/>
          <w:sz w:val="24"/>
          <w:szCs w:val="24"/>
          <w:highlight w:val="none"/>
        </w:rPr>
        <w:t>上发布的招标信息，</w:t>
      </w:r>
      <w:r>
        <w:rPr>
          <w:rFonts w:hint="eastAsia" w:eastAsia="宋体" w:cs="宋体"/>
          <w:sz w:val="24"/>
          <w:szCs w:val="24"/>
          <w:highlight w:val="none"/>
          <w:lang w:val="en-US" w:eastAsia="zh-CN"/>
        </w:rPr>
        <w:t>在“中国重汽e采通”平台</w:t>
      </w:r>
      <w:r>
        <w:rPr>
          <w:rFonts w:hint="eastAsia" w:eastAsia="宋体" w:cs="宋体"/>
          <w:sz w:val="24"/>
          <w:szCs w:val="24"/>
          <w:highlight w:val="none"/>
        </w:rPr>
        <w:t>报名</w:t>
      </w:r>
      <w:r>
        <w:rPr>
          <w:rFonts w:hint="eastAsia" w:eastAsia="宋体" w:cs="宋体"/>
          <w:sz w:val="24"/>
          <w:szCs w:val="24"/>
          <w:highlight w:val="none"/>
          <w:lang w:eastAsia="zh-CN"/>
        </w:rPr>
        <w:t>，</w:t>
      </w:r>
      <w:r>
        <w:rPr>
          <w:rFonts w:hint="eastAsia" w:eastAsia="宋体" w:cs="宋体"/>
          <w:sz w:val="24"/>
          <w:szCs w:val="24"/>
          <w:highlight w:val="none"/>
          <w:lang w:val="en-US" w:eastAsia="zh-CN"/>
        </w:rPr>
        <w:t>具体流程如下：</w:t>
      </w:r>
      <w:r>
        <w:rPr>
          <w:rFonts w:hint="eastAsia" w:eastAsia="宋体" w:cs="宋体"/>
          <w:sz w:val="24"/>
          <w:szCs w:val="24"/>
          <w:highlight w:val="none"/>
        </w:rPr>
        <w:br w:type="textWrapping"/>
      </w:r>
      <w:r>
        <w:rPr>
          <w:rFonts w:ascii="宋体" w:hAnsi="宋体" w:eastAsia="宋体" w:cs="宋体"/>
          <w:b/>
          <w:bCs/>
          <w:sz w:val="24"/>
          <w:szCs w:val="24"/>
        </w:rPr>
        <w:t>①系统注册与信息维护</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首次注册供应商</w:t>
      </w:r>
      <w:r>
        <w:rPr>
          <w:rFonts w:ascii="宋体" w:hAnsi="宋体" w:eastAsia="宋体" w:cs="宋体"/>
          <w:sz w:val="24"/>
          <w:szCs w:val="24"/>
        </w:rPr>
        <w:t>：请根据《SRM非生产供应商注册手册》（附件</w:t>
      </w:r>
      <w:r>
        <w:rPr>
          <w:rFonts w:hint="eastAsia" w:ascii="宋体" w:hAnsi="宋体" w:eastAsia="宋体" w:cs="宋体"/>
          <w:sz w:val="24"/>
          <w:szCs w:val="24"/>
          <w:lang w:val="en-US" w:eastAsia="zh-CN"/>
        </w:rPr>
        <w:t>一</w:t>
      </w:r>
      <w:r>
        <w:rPr>
          <w:rFonts w:ascii="宋体" w:hAnsi="宋体" w:eastAsia="宋体" w:cs="宋体"/>
          <w:sz w:val="24"/>
          <w:szCs w:val="24"/>
        </w:rPr>
        <w:t>）完成平台账号注册。</w:t>
      </w:r>
      <w:r>
        <w:rPr>
          <w:rFonts w:ascii="宋体" w:hAnsi="宋体" w:eastAsia="宋体" w:cs="宋体"/>
          <w:sz w:val="24"/>
          <w:szCs w:val="24"/>
        </w:rPr>
        <w:br w:type="textWrapping"/>
      </w:r>
      <w:r>
        <w:rPr>
          <w:rFonts w:ascii="宋体" w:hAnsi="宋体" w:eastAsia="宋体" w:cs="宋体"/>
          <w:sz w:val="24"/>
          <w:szCs w:val="24"/>
        </w:rPr>
        <w:t></w:t>
      </w:r>
      <w:r>
        <w:rPr>
          <w:rFonts w:ascii="宋体" w:hAnsi="宋体" w:eastAsia="宋体" w:cs="宋体"/>
          <w:b/>
          <w:bCs/>
          <w:sz w:val="24"/>
          <w:szCs w:val="24"/>
        </w:rPr>
        <w:t>已注册供应商</w:t>
      </w:r>
      <w:r>
        <w:rPr>
          <w:rFonts w:ascii="宋体" w:hAnsi="宋体" w:eastAsia="宋体" w:cs="宋体"/>
          <w:sz w:val="24"/>
          <w:szCs w:val="24"/>
        </w:rPr>
        <w:t>：请登录系统核对系统中202</w:t>
      </w:r>
      <w:r>
        <w:rPr>
          <w:rFonts w:hint="eastAsia" w:hAnsi="宋体" w:eastAsia="宋体" w:cs="宋体"/>
          <w:sz w:val="24"/>
          <w:szCs w:val="24"/>
          <w:lang w:val="en-US" w:eastAsia="zh-CN"/>
        </w:rPr>
        <w:t>3</w:t>
      </w:r>
      <w:r>
        <w:rPr>
          <w:rFonts w:ascii="宋体" w:hAnsi="宋体" w:eastAsia="宋体" w:cs="宋体"/>
          <w:sz w:val="24"/>
          <w:szCs w:val="24"/>
        </w:rPr>
        <w:t>-202</w:t>
      </w:r>
      <w:r>
        <w:rPr>
          <w:rFonts w:hint="eastAsia" w:hAnsi="宋体" w:eastAsia="宋体" w:cs="宋体"/>
          <w:sz w:val="24"/>
          <w:szCs w:val="24"/>
          <w:lang w:val="en-US" w:eastAsia="zh-CN"/>
        </w:rPr>
        <w:t>5</w:t>
      </w:r>
      <w:r>
        <w:rPr>
          <w:rFonts w:ascii="宋体" w:hAnsi="宋体" w:eastAsia="宋体" w:cs="宋体"/>
          <w:sz w:val="24"/>
          <w:szCs w:val="24"/>
        </w:rPr>
        <w:t>年度财务数据。如尚未填写或信息不全，请参照《SRM非生产供应商注册手册》（附件</w:t>
      </w:r>
      <w:r>
        <w:rPr>
          <w:rFonts w:hint="eastAsia" w:ascii="宋体" w:hAnsi="宋体" w:eastAsia="宋体" w:cs="宋体"/>
          <w:sz w:val="24"/>
          <w:szCs w:val="24"/>
          <w:lang w:val="en-US" w:eastAsia="zh-CN"/>
        </w:rPr>
        <w:t>二</w:t>
      </w:r>
      <w:r>
        <w:rPr>
          <w:rFonts w:ascii="宋体" w:hAnsi="宋体" w:eastAsia="宋体" w:cs="宋体"/>
          <w:sz w:val="24"/>
          <w:szCs w:val="24"/>
        </w:rPr>
        <w:t>）及时进行补充与更新，确保信息真实、完整。因供应商信息不全或错误导致的报名不成功，由投标人自行承担</w:t>
      </w:r>
      <w:r>
        <w:rPr>
          <w:rFonts w:hint="eastAsia" w:hAnsi="宋体" w:cs="宋体"/>
          <w:sz w:val="24"/>
          <w:szCs w:val="24"/>
          <w:lang w:eastAsia="zh-CN"/>
        </w:rPr>
        <w:t>。</w:t>
      </w:r>
      <w:r>
        <w:rPr>
          <w:rFonts w:ascii="宋体" w:hAnsi="宋体" w:eastAsia="宋体" w:cs="宋体"/>
          <w:sz w:val="24"/>
          <w:szCs w:val="24"/>
        </w:rPr>
        <w:br w:type="textWrapping"/>
      </w:r>
      <w:r>
        <w:rPr>
          <w:rFonts w:ascii="宋体" w:hAnsi="宋体" w:eastAsia="宋体" w:cs="宋体"/>
          <w:b/>
          <w:bCs/>
          <w:sz w:val="24"/>
          <w:szCs w:val="24"/>
        </w:rPr>
        <w:t>②应标流程</w:t>
      </w:r>
    </w:p>
    <w:p w14:paraId="6EF7FC1C">
      <w:pPr>
        <w:pStyle w:val="235"/>
        <w:keepNext w:val="0"/>
        <w:keepLines w:val="0"/>
        <w:pageBreakBefore w:val="0"/>
        <w:widowControl w:val="0"/>
        <w:numPr>
          <w:ilvl w:val="0"/>
          <w:numId w:val="0"/>
        </w:numPr>
        <w:kinsoku/>
        <w:wordWrap/>
        <w:overflowPunct/>
        <w:topLinePunct w:val="0"/>
        <w:autoSpaceDE/>
        <w:autoSpaceDN/>
        <w:bidi w:val="0"/>
        <w:adjustRightInd/>
        <w:snapToGrid/>
        <w:ind w:leftChars="0" w:firstLine="480" w:firstLineChars="200"/>
        <w:jc w:val="both"/>
        <w:textAlignment w:val="auto"/>
        <w:rPr>
          <w:rFonts w:hint="eastAsia" w:asciiTheme="minorEastAsia" w:hAnsiTheme="minorEastAsia" w:eastAsiaTheme="minorEastAsia" w:cstheme="minorEastAsia"/>
          <w:bCs/>
          <w:sz w:val="24"/>
          <w:szCs w:val="24"/>
        </w:rPr>
      </w:pPr>
      <w:r>
        <w:rPr>
          <w:rFonts w:ascii="宋体" w:hAnsi="宋体" w:eastAsia="宋体" w:cs="宋体"/>
          <w:sz w:val="24"/>
          <w:szCs w:val="24"/>
        </w:rPr>
        <w:t>注册及财务数据维护完成后，参照《SRM系统供应商用户手册》（附件</w:t>
      </w:r>
      <w:r>
        <w:rPr>
          <w:rFonts w:hint="eastAsia" w:ascii="宋体" w:hAnsi="宋体" w:eastAsia="宋体" w:cs="宋体"/>
          <w:sz w:val="24"/>
          <w:szCs w:val="24"/>
          <w:lang w:val="en-US" w:eastAsia="zh-CN"/>
        </w:rPr>
        <w:t>三</w:t>
      </w:r>
      <w:r>
        <w:rPr>
          <w:rFonts w:ascii="宋体" w:hAnsi="宋体" w:eastAsia="宋体" w:cs="宋体"/>
          <w:sz w:val="24"/>
          <w:szCs w:val="24"/>
        </w:rPr>
        <w:t>）登录平台，进入“供应商应标”模块，选择对应项目点击“应标”，并按照本公告</w:t>
      </w:r>
      <w:r>
        <w:rPr>
          <w:rFonts w:hint="eastAsia" w:hAnsi="宋体" w:cs="宋体"/>
          <w:sz w:val="24"/>
          <w:szCs w:val="24"/>
          <w:lang w:val="en-US" w:eastAsia="zh-CN"/>
        </w:rPr>
        <w:t>的</w:t>
      </w:r>
      <w:r>
        <w:rPr>
          <w:rFonts w:ascii="宋体" w:hAnsi="宋体" w:eastAsia="宋体" w:cs="宋体"/>
          <w:sz w:val="24"/>
          <w:szCs w:val="24"/>
        </w:rPr>
        <w:t>“应标文件编制”要求准备资料并上传。资质审查通过后，视为报名成功（是否为代理商请如实选择）。</w:t>
      </w:r>
    </w:p>
    <w:p w14:paraId="0438AE95">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2E3B4B40">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①营业执照复印件（需加盖公章）；</w:t>
      </w:r>
    </w:p>
    <w:p w14:paraId="4FEB0F9B">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②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3B27B6FE">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③2023年1月1日至今，企业近三年同类项目业绩证明，须提供用户清单、采购合同复印件；</w:t>
      </w:r>
    </w:p>
    <w:p w14:paraId="71A8B519">
      <w:pPr>
        <w:pStyle w:val="24"/>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1214214B">
      <w:pPr>
        <w:pStyle w:val="24"/>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⑤投标人在国家企业信用信息公示系统中无与本项目有关的行政处罚、经营异常和失信信息的声明；（附投标当日系统内相关截图或报告）；</w:t>
      </w:r>
    </w:p>
    <w:p w14:paraId="4E7E3F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⑥</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p>
    <w:p w14:paraId="5DADE2F0">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highlight w:val="none"/>
          <w:lang w:val="en-US" w:eastAsia="zh-CN"/>
        </w:rPr>
      </w:pPr>
      <w:r>
        <w:rPr>
          <w:rFonts w:hint="eastAsia"/>
          <w:highlight w:val="none"/>
          <w:lang w:val="en-US" w:eastAsia="zh-CN"/>
        </w:rPr>
        <w:t>⑦近三年内在经营活动中无与本项目有关的违法及重大违规行为的声明；</w:t>
      </w:r>
    </w:p>
    <w:p w14:paraId="1E70AA1A">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highlight w:val="none"/>
          <w:lang w:val="en-US" w:eastAsia="zh-CN"/>
        </w:rPr>
        <w:t>⑧</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14:paraId="3CA10BE0">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⑨</w:t>
      </w:r>
      <w:r>
        <w:rPr>
          <w:rFonts w:hint="eastAsia" w:ascii="宋体" w:hAnsi="宋体" w:eastAsia="宋体" w:cs="宋体"/>
          <w:color w:val="000000"/>
          <w:sz w:val="24"/>
          <w:szCs w:val="24"/>
          <w:highlight w:val="none"/>
        </w:rPr>
        <w:t>企业信用证明材料（征信中心出具的信用报告）；</w:t>
      </w:r>
    </w:p>
    <w:p w14:paraId="22F8B708">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⑩</w:t>
      </w:r>
      <w:r>
        <w:rPr>
          <w:rFonts w:hint="eastAsia" w:ascii="宋体" w:hAnsi="宋体" w:eastAsia="宋体" w:cs="宋体"/>
          <w:color w:val="000000"/>
          <w:sz w:val="24"/>
          <w:szCs w:val="24"/>
          <w:highlight w:val="none"/>
        </w:rPr>
        <w:t>投标保证金缴纳凭证，同时正文描述付款账号、户名、开户行名称、开户行行号、保证金金额。</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应标时不做要求，投标时需随文件上传）</w:t>
      </w:r>
    </w:p>
    <w:p w14:paraId="2D002810">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73960C01">
      <w:pPr>
        <w:pStyle w:val="19"/>
        <w:rPr>
          <w:rFonts w:hint="eastAsia"/>
          <w:lang w:eastAsia="zh-CN"/>
        </w:rPr>
      </w:pPr>
    </w:p>
    <w:p w14:paraId="6BAD51CF">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3EEE547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p>
    <w:p w14:paraId="22CB127B">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rPr>
          <w:rFonts w:hint="eastAsia" w:asciiTheme="minorEastAsia" w:hAnsiTheme="minorEastAsia" w:eastAsiaTheme="minorEastAsia" w:cstheme="minorEastAsia"/>
          <w:bCs/>
          <w:sz w:val="24"/>
          <w:szCs w:val="24"/>
          <w:highlight w:val="green"/>
        </w:rPr>
      </w:pPr>
      <w:r>
        <w:rPr>
          <w:rFonts w:hint="eastAsia" w:asciiTheme="minorEastAsia" w:hAnsiTheme="minorEastAsia" w:eastAsiaTheme="minorEastAsia" w:cstheme="minorEastAsia"/>
          <w:bCs/>
          <w:sz w:val="24"/>
          <w:szCs w:val="24"/>
        </w:rPr>
        <w:t>投标截止时间</w:t>
      </w:r>
      <w:r>
        <w:rPr>
          <w:rFonts w:hint="eastAsia" w:asciiTheme="minorEastAsia" w:hAnsiTheme="minorEastAsia" w:eastAsiaTheme="minorEastAsia" w:cstheme="minorEastAsia"/>
          <w:bCs/>
          <w:sz w:val="24"/>
          <w:szCs w:val="24"/>
          <w:highlight w:val="none"/>
          <w:lang w:eastAsia="zh-CN"/>
        </w:rPr>
        <w:t>：</w:t>
      </w:r>
      <w:r>
        <w:rPr>
          <w:rFonts w:hint="eastAsia" w:asciiTheme="minorEastAsia" w:hAnsiTheme="minorEastAsia" w:eastAsiaTheme="minorEastAsia" w:cstheme="minorEastAsia"/>
          <w:b/>
          <w:sz w:val="24"/>
          <w:szCs w:val="24"/>
          <w:highlight w:val="yellow"/>
        </w:rPr>
        <w:t>202</w:t>
      </w:r>
      <w:r>
        <w:rPr>
          <w:rFonts w:hint="eastAsia" w:asciiTheme="minorEastAsia" w:hAnsiTheme="minorEastAsia" w:eastAsiaTheme="minorEastAsia" w:cstheme="minorEastAsia"/>
          <w:b/>
          <w:sz w:val="24"/>
          <w:szCs w:val="24"/>
          <w:highlight w:val="yellow"/>
          <w:lang w:val="en-US" w:eastAsia="zh-CN"/>
        </w:rPr>
        <w:t>6</w:t>
      </w:r>
      <w:r>
        <w:rPr>
          <w:rFonts w:hint="eastAsia" w:asciiTheme="minorEastAsia" w:hAnsiTheme="minorEastAsia" w:eastAsiaTheme="minorEastAsia" w:cstheme="minorEastAsia"/>
          <w:b/>
          <w:sz w:val="24"/>
          <w:szCs w:val="24"/>
          <w:highlight w:val="yellow"/>
        </w:rPr>
        <w:t>年</w:t>
      </w:r>
      <w:r>
        <w:rPr>
          <w:rFonts w:hint="eastAsia" w:asciiTheme="minorEastAsia" w:hAnsiTheme="minorEastAsia" w:eastAsiaTheme="minorEastAsia" w:cstheme="minorEastAsia"/>
          <w:b/>
          <w:sz w:val="24"/>
          <w:szCs w:val="24"/>
          <w:highlight w:val="yellow"/>
          <w:lang w:val="en-US" w:eastAsia="zh-CN"/>
        </w:rPr>
        <w:t>9</w:t>
      </w:r>
      <w:r>
        <w:rPr>
          <w:rFonts w:hint="eastAsia" w:asciiTheme="minorEastAsia" w:hAnsiTheme="minorEastAsia" w:eastAsiaTheme="minorEastAsia" w:cstheme="minorEastAsia"/>
          <w:b/>
          <w:sz w:val="24"/>
          <w:szCs w:val="24"/>
          <w:highlight w:val="yellow"/>
        </w:rPr>
        <w:t>月</w:t>
      </w:r>
      <w:r>
        <w:rPr>
          <w:rFonts w:hint="eastAsia" w:asciiTheme="minorEastAsia" w:hAnsiTheme="minorEastAsia" w:eastAsiaTheme="minorEastAsia" w:cstheme="minorEastAsia"/>
          <w:b/>
          <w:sz w:val="24"/>
          <w:szCs w:val="24"/>
          <w:highlight w:val="yellow"/>
          <w:lang w:val="en-US" w:eastAsia="zh-CN"/>
        </w:rPr>
        <w:t>21</w:t>
      </w:r>
      <w:r>
        <w:rPr>
          <w:rFonts w:hint="eastAsia" w:asciiTheme="minorEastAsia" w:hAnsiTheme="minorEastAsia" w:eastAsiaTheme="minorEastAsia" w:cstheme="minorEastAsia"/>
          <w:b/>
          <w:sz w:val="24"/>
          <w:szCs w:val="24"/>
          <w:highlight w:val="yellow"/>
        </w:rPr>
        <w:t>日</w:t>
      </w:r>
      <w:r>
        <w:rPr>
          <w:rFonts w:hint="eastAsia" w:asciiTheme="minorEastAsia" w:hAnsiTheme="minorEastAsia" w:eastAsiaTheme="minorEastAsia" w:cstheme="minorEastAsia"/>
          <w:b/>
          <w:sz w:val="24"/>
          <w:szCs w:val="24"/>
          <w:highlight w:val="yellow"/>
          <w:lang w:val="en-US" w:eastAsia="zh-CN"/>
        </w:rPr>
        <w:t>9</w:t>
      </w:r>
      <w:r>
        <w:rPr>
          <w:rFonts w:hint="eastAsia" w:asciiTheme="minorEastAsia" w:hAnsiTheme="minorEastAsia" w:eastAsiaTheme="minorEastAsia" w:cstheme="minorEastAsia"/>
          <w:b/>
          <w:sz w:val="24"/>
          <w:szCs w:val="24"/>
          <w:highlight w:val="yellow"/>
        </w:rPr>
        <w:t>:</w:t>
      </w:r>
      <w:r>
        <w:rPr>
          <w:rFonts w:hint="eastAsia" w:asciiTheme="minorEastAsia" w:hAnsiTheme="minorEastAsia" w:eastAsiaTheme="minorEastAsia" w:cstheme="minorEastAsia"/>
          <w:b/>
          <w:sz w:val="24"/>
          <w:szCs w:val="24"/>
          <w:highlight w:val="yellow"/>
          <w:lang w:val="en-US" w:eastAsia="zh-CN"/>
        </w:rPr>
        <w:t>0</w:t>
      </w:r>
      <w:r>
        <w:rPr>
          <w:rFonts w:hint="eastAsia" w:asciiTheme="minorEastAsia" w:hAnsiTheme="minorEastAsia" w:eastAsiaTheme="minorEastAsia" w:cstheme="minorEastAsia"/>
          <w:b/>
          <w:sz w:val="24"/>
          <w:szCs w:val="24"/>
          <w:highlight w:val="yellow"/>
        </w:rPr>
        <w:t>0</w:t>
      </w:r>
    </w:p>
    <w:p w14:paraId="0968D66D">
      <w:pPr>
        <w:tabs>
          <w:tab w:val="left" w:pos="1050"/>
          <w:tab w:val="left" w:pos="1470"/>
        </w:tabs>
        <w:autoSpaceDE w:val="0"/>
        <w:autoSpaceDN w:val="0"/>
        <w:adjustRightInd w:val="0"/>
        <w:snapToGrid w:val="0"/>
        <w:spacing w:line="360" w:lineRule="auto"/>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5586CE6A">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rPr>
        <w:t>开标时间：</w:t>
      </w:r>
      <w:r>
        <w:rPr>
          <w:rFonts w:hint="eastAsia" w:asciiTheme="minorEastAsia" w:hAnsiTheme="minorEastAsia" w:eastAsiaTheme="minorEastAsia" w:cstheme="minorEastAsia"/>
          <w:b/>
          <w:sz w:val="24"/>
          <w:szCs w:val="24"/>
          <w:highlight w:val="yellow"/>
        </w:rPr>
        <w:t>202</w:t>
      </w:r>
      <w:r>
        <w:rPr>
          <w:rFonts w:hint="eastAsia" w:asciiTheme="minorEastAsia" w:hAnsiTheme="minorEastAsia" w:eastAsiaTheme="minorEastAsia" w:cstheme="minorEastAsia"/>
          <w:b/>
          <w:sz w:val="24"/>
          <w:szCs w:val="24"/>
          <w:highlight w:val="yellow"/>
          <w:lang w:val="en-US" w:eastAsia="zh-CN"/>
        </w:rPr>
        <w:t>6</w:t>
      </w:r>
      <w:r>
        <w:rPr>
          <w:rFonts w:hint="eastAsia" w:asciiTheme="minorEastAsia" w:hAnsiTheme="minorEastAsia" w:eastAsiaTheme="minorEastAsia" w:cstheme="minorEastAsia"/>
          <w:b/>
          <w:sz w:val="24"/>
          <w:szCs w:val="24"/>
          <w:highlight w:val="yellow"/>
        </w:rPr>
        <w:t>年</w:t>
      </w:r>
      <w:r>
        <w:rPr>
          <w:rFonts w:hint="eastAsia" w:asciiTheme="minorEastAsia" w:hAnsiTheme="minorEastAsia" w:eastAsiaTheme="minorEastAsia" w:cstheme="minorEastAsia"/>
          <w:b/>
          <w:sz w:val="24"/>
          <w:szCs w:val="24"/>
          <w:highlight w:val="yellow"/>
          <w:lang w:val="en-US" w:eastAsia="zh-CN"/>
        </w:rPr>
        <w:t>9</w:t>
      </w:r>
      <w:r>
        <w:rPr>
          <w:rFonts w:hint="eastAsia" w:asciiTheme="minorEastAsia" w:hAnsiTheme="minorEastAsia" w:eastAsiaTheme="minorEastAsia" w:cstheme="minorEastAsia"/>
          <w:b/>
          <w:sz w:val="24"/>
          <w:szCs w:val="24"/>
          <w:highlight w:val="yellow"/>
        </w:rPr>
        <w:t>月</w:t>
      </w:r>
      <w:r>
        <w:rPr>
          <w:rFonts w:hint="eastAsia" w:asciiTheme="minorEastAsia" w:hAnsiTheme="minorEastAsia" w:eastAsiaTheme="minorEastAsia" w:cstheme="minorEastAsia"/>
          <w:b/>
          <w:sz w:val="24"/>
          <w:szCs w:val="24"/>
          <w:highlight w:val="yellow"/>
          <w:lang w:val="en-US" w:eastAsia="zh-CN"/>
        </w:rPr>
        <w:t>21</w:t>
      </w:r>
      <w:r>
        <w:rPr>
          <w:rFonts w:hint="eastAsia" w:asciiTheme="minorEastAsia" w:hAnsiTheme="minorEastAsia" w:eastAsiaTheme="minorEastAsia" w:cstheme="minorEastAsia"/>
          <w:b/>
          <w:sz w:val="24"/>
          <w:szCs w:val="24"/>
          <w:highlight w:val="yellow"/>
        </w:rPr>
        <w:t>日</w:t>
      </w:r>
      <w:r>
        <w:rPr>
          <w:rFonts w:hint="eastAsia" w:asciiTheme="minorEastAsia" w:hAnsiTheme="minorEastAsia" w:eastAsiaTheme="minorEastAsia" w:cstheme="minorEastAsia"/>
          <w:b/>
          <w:sz w:val="24"/>
          <w:szCs w:val="24"/>
          <w:highlight w:val="yellow"/>
          <w:lang w:val="en-US" w:eastAsia="zh-CN"/>
        </w:rPr>
        <w:t>9</w:t>
      </w:r>
      <w:r>
        <w:rPr>
          <w:rFonts w:hint="eastAsia" w:asciiTheme="minorEastAsia" w:hAnsiTheme="minorEastAsia" w:eastAsiaTheme="minorEastAsia" w:cstheme="minorEastAsia"/>
          <w:b/>
          <w:sz w:val="24"/>
          <w:szCs w:val="24"/>
          <w:highlight w:val="yellow"/>
        </w:rPr>
        <w:t>:</w:t>
      </w:r>
      <w:r>
        <w:rPr>
          <w:rFonts w:hint="eastAsia" w:asciiTheme="minorEastAsia" w:hAnsiTheme="minorEastAsia" w:eastAsiaTheme="minorEastAsia" w:cstheme="minorEastAsia"/>
          <w:b/>
          <w:sz w:val="24"/>
          <w:szCs w:val="24"/>
          <w:highlight w:val="yellow"/>
          <w:lang w:val="en-US" w:eastAsia="zh-CN"/>
        </w:rPr>
        <w:t>0</w:t>
      </w:r>
      <w:r>
        <w:rPr>
          <w:rFonts w:hint="eastAsia" w:asciiTheme="minorEastAsia" w:hAnsiTheme="minorEastAsia" w:eastAsiaTheme="minorEastAsia" w:cstheme="minorEastAsia"/>
          <w:b/>
          <w:sz w:val="24"/>
          <w:szCs w:val="24"/>
          <w:highlight w:val="yellow"/>
        </w:rPr>
        <w:t>0时</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eastAsia="zh-CN"/>
        </w:rPr>
        <w:t>（</w:t>
      </w:r>
      <w:r>
        <w:rPr>
          <w:rFonts w:ascii="宋体" w:hAnsi="宋体" w:eastAsia="宋体" w:cs="宋体"/>
          <w:b/>
          <w:bCs/>
          <w:sz w:val="24"/>
          <w:szCs w:val="24"/>
        </w:rPr>
        <w:t>暂定，以实际通知为准</w:t>
      </w:r>
      <w:r>
        <w:rPr>
          <w:rFonts w:hint="eastAsia" w:asciiTheme="minorEastAsia" w:hAnsiTheme="minorEastAsia" w:eastAsiaTheme="minorEastAsia" w:cstheme="minorEastAsia"/>
          <w:b/>
          <w:sz w:val="24"/>
          <w:szCs w:val="24"/>
          <w:lang w:val="en-US" w:eastAsia="zh-CN"/>
        </w:rPr>
        <w:t>）</w:t>
      </w:r>
    </w:p>
    <w:p w14:paraId="47A1403E">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w:t>
      </w:r>
      <w:r>
        <w:rPr>
          <w:rFonts w:hint="eastAsia" w:asciiTheme="minorEastAsia" w:hAnsiTheme="minorEastAsia" w:eastAsiaTheme="minorEastAsia" w:cstheme="minorEastAsia"/>
          <w:b/>
          <w:sz w:val="24"/>
          <w:szCs w:val="24"/>
          <w:lang w:val="en-US" w:eastAsia="zh-CN"/>
        </w:rPr>
        <w:t>线上会议</w:t>
      </w:r>
      <w:r>
        <w:rPr>
          <w:rFonts w:hint="eastAsia" w:asciiTheme="minorEastAsia" w:hAnsiTheme="minorEastAsia" w:eastAsiaTheme="minorEastAsia" w:cstheme="minorEastAsia"/>
          <w:b/>
          <w:bCs w:val="0"/>
          <w:color w:val="auto"/>
          <w:sz w:val="24"/>
          <w:szCs w:val="24"/>
          <w:highlight w:val="yellow"/>
          <w:lang w:val="en-US" w:eastAsia="zh-CN"/>
        </w:rPr>
        <w:t>（</w:t>
      </w:r>
      <w:r>
        <w:rPr>
          <w:rFonts w:hint="eastAsia" w:ascii="宋体" w:hAnsi="宋体" w:eastAsia="宋体" w:cs="宋体"/>
          <w:b/>
          <w:bCs w:val="0"/>
          <w:color w:val="auto"/>
          <w:kern w:val="2"/>
          <w:sz w:val="24"/>
          <w:szCs w:val="24"/>
          <w:highlight w:val="yellow"/>
          <w:lang w:val="en-US" w:eastAsia="zh-CN" w:bidi="ar"/>
        </w:rPr>
        <w:t>投标方需要在开标前，将投标保证金</w:t>
      </w:r>
      <w:r>
        <w:rPr>
          <w:rFonts w:hint="eastAsia" w:ascii="宋体" w:hAnsi="宋体" w:cs="宋体"/>
          <w:b/>
          <w:bCs w:val="0"/>
          <w:color w:val="auto"/>
          <w:kern w:val="2"/>
          <w:sz w:val="24"/>
          <w:szCs w:val="24"/>
          <w:highlight w:val="yellow"/>
          <w:lang w:val="en-US" w:eastAsia="zh-CN" w:bidi="ar"/>
        </w:rPr>
        <w:t>缴纳凭证</w:t>
      </w:r>
      <w:r>
        <w:rPr>
          <w:rFonts w:hint="eastAsia" w:ascii="宋体" w:hAnsi="宋体" w:eastAsia="宋体" w:cs="宋体"/>
          <w:b/>
          <w:bCs w:val="0"/>
          <w:color w:val="auto"/>
          <w:kern w:val="2"/>
          <w:sz w:val="24"/>
          <w:szCs w:val="24"/>
          <w:highlight w:val="yellow"/>
          <w:lang w:val="en-US" w:eastAsia="zh-CN" w:bidi="ar"/>
        </w:rPr>
        <w:t>截图发给</w:t>
      </w:r>
      <w:r>
        <w:rPr>
          <w:rFonts w:hint="eastAsia" w:cs="宋体"/>
          <w:b/>
          <w:bCs w:val="0"/>
          <w:color w:val="auto"/>
          <w:kern w:val="2"/>
          <w:sz w:val="24"/>
          <w:szCs w:val="24"/>
          <w:highlight w:val="yellow"/>
          <w:lang w:val="en-US" w:eastAsia="zh-CN" w:bidi="ar"/>
        </w:rPr>
        <w:t>商务</w:t>
      </w:r>
      <w:r>
        <w:rPr>
          <w:rFonts w:hint="eastAsia" w:ascii="宋体" w:hAnsi="宋体" w:eastAsia="宋体" w:cs="宋体"/>
          <w:b/>
          <w:bCs w:val="0"/>
          <w:color w:val="auto"/>
          <w:kern w:val="2"/>
          <w:sz w:val="24"/>
          <w:szCs w:val="24"/>
          <w:highlight w:val="yellow"/>
          <w:lang w:val="en-US" w:eastAsia="zh-CN" w:bidi="ar"/>
        </w:rPr>
        <w:t>联系人</w:t>
      </w:r>
      <w:r>
        <w:rPr>
          <w:rFonts w:hint="eastAsia" w:cs="宋体"/>
          <w:b/>
          <w:bCs w:val="0"/>
          <w:color w:val="auto"/>
          <w:kern w:val="2"/>
          <w:sz w:val="24"/>
          <w:szCs w:val="24"/>
          <w:highlight w:val="yellow"/>
          <w:lang w:val="en-US" w:eastAsia="zh-CN" w:bidi="ar"/>
        </w:rPr>
        <w:t>李长城，</w:t>
      </w:r>
      <w:r>
        <w:rPr>
          <w:rFonts w:hint="eastAsia" w:ascii="宋体" w:hAnsi="宋体" w:eastAsia="宋体" w:cs="宋体"/>
          <w:b/>
          <w:bCs w:val="0"/>
          <w:color w:val="auto"/>
          <w:kern w:val="2"/>
          <w:sz w:val="24"/>
          <w:szCs w:val="24"/>
          <w:highlight w:val="yellow"/>
          <w:lang w:val="en-US" w:eastAsia="zh-CN" w:bidi="ar"/>
        </w:rPr>
        <w:t>微信号</w:t>
      </w:r>
      <w:r>
        <w:rPr>
          <w:rFonts w:hint="eastAsia" w:cs="宋体"/>
          <w:b/>
          <w:bCs w:val="0"/>
          <w:color w:val="auto"/>
          <w:kern w:val="2"/>
          <w:sz w:val="24"/>
          <w:szCs w:val="24"/>
          <w:highlight w:val="yellow"/>
          <w:lang w:val="en-US" w:eastAsia="zh-CN" w:bidi="ar"/>
        </w:rPr>
        <w:t>18678304476</w:t>
      </w:r>
      <w:r>
        <w:rPr>
          <w:rFonts w:hint="eastAsia" w:ascii="宋体" w:hAnsi="宋体" w:eastAsia="宋体" w:cs="宋体"/>
          <w:b/>
          <w:bCs w:val="0"/>
          <w:color w:val="auto"/>
          <w:kern w:val="2"/>
          <w:sz w:val="24"/>
          <w:szCs w:val="24"/>
          <w:highlight w:val="yellow"/>
          <w:lang w:val="en-US" w:eastAsia="zh-CN" w:bidi="ar"/>
        </w:rPr>
        <w:t>，</w:t>
      </w:r>
      <w:r>
        <w:rPr>
          <w:rFonts w:hint="eastAsia" w:ascii="宋体" w:hAnsi="宋体" w:cs="宋体"/>
          <w:b/>
          <w:bCs w:val="0"/>
          <w:color w:val="auto"/>
          <w:kern w:val="2"/>
          <w:sz w:val="24"/>
          <w:szCs w:val="24"/>
          <w:highlight w:val="yellow"/>
          <w:lang w:val="en-US" w:eastAsia="zh-CN" w:bidi="ar"/>
        </w:rPr>
        <w:t>获取会议链接）</w:t>
      </w:r>
    </w:p>
    <w:p w14:paraId="71FC3A7B">
      <w:pPr>
        <w:pStyle w:val="151"/>
        <w:numPr>
          <w:ilvl w:val="0"/>
          <w:numId w:val="0"/>
        </w:numPr>
        <w:adjustRightInd w:val="0"/>
        <w:snapToGrid w:val="0"/>
        <w:spacing w:line="360" w:lineRule="auto"/>
        <w:ind w:leftChars="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3.商务</w:t>
      </w:r>
      <w:r>
        <w:rPr>
          <w:rFonts w:hint="eastAsia" w:asciiTheme="minorEastAsia" w:hAnsiTheme="minorEastAsia" w:eastAsiaTheme="minorEastAsia" w:cstheme="minorEastAsia"/>
          <w:sz w:val="24"/>
          <w:szCs w:val="24"/>
        </w:rPr>
        <w:t>联系人：</w:t>
      </w:r>
      <w:r>
        <w:rPr>
          <w:rFonts w:hint="eastAsia" w:asciiTheme="minorEastAsia" w:hAnsiTheme="minorEastAsia" w:eastAsiaTheme="minorEastAsia" w:cstheme="minorEastAsia"/>
          <w:sz w:val="24"/>
          <w:szCs w:val="24"/>
          <w:lang w:val="en-US" w:eastAsia="zh-CN"/>
        </w:rPr>
        <w:t>李老师 18678304476</w:t>
      </w:r>
    </w:p>
    <w:p w14:paraId="28C574FB">
      <w:pPr>
        <w:pStyle w:val="151"/>
        <w:numPr>
          <w:ilvl w:val="0"/>
          <w:numId w:val="0"/>
        </w:numPr>
        <w:adjustRightInd w:val="0"/>
        <w:snapToGrid w:val="0"/>
        <w:spacing w:line="360" w:lineRule="auto"/>
        <w:ind w:firstLine="240" w:firstLineChars="1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技术联系人：王</w:t>
      </w:r>
      <w:r>
        <w:rPr>
          <w:rFonts w:hint="eastAsia" w:asciiTheme="minorEastAsia" w:hAnsiTheme="minorEastAsia" w:eastAsiaTheme="minorEastAsia" w:cstheme="minorEastAsia"/>
          <w:sz w:val="24"/>
          <w:szCs w:val="24"/>
          <w:highlight w:val="none"/>
          <w:lang w:val="en-US" w:eastAsia="zh-CN"/>
        </w:rPr>
        <w:t>老师 18754162935</w:t>
      </w:r>
    </w:p>
    <w:p w14:paraId="00D62D4A">
      <w:pPr>
        <w:adjustRightInd w:val="0"/>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6BEA5D3F">
      <w:pPr>
        <w:adjustRightInd w:val="0"/>
        <w:snapToGrid w:val="0"/>
        <w:spacing w:line="360" w:lineRule="auto"/>
        <w:ind w:firstLine="480" w:firstLineChars="200"/>
        <w:rPr>
          <w:rFonts w:hint="eastAsia" w:asciiTheme="minorEastAsia" w:hAnsiTheme="minorEastAsia" w:eastAsiaTheme="minorEastAsia" w:cstheme="minorEastAsia"/>
          <w:sz w:val="24"/>
          <w:szCs w:val="24"/>
          <w:highlight w:val="yellow"/>
          <w:lang w:eastAsia="zh-CN"/>
        </w:rPr>
      </w:pPr>
      <w:r>
        <w:rPr>
          <w:rFonts w:hint="eastAsia" w:asciiTheme="minorEastAsia" w:hAnsiTheme="minorEastAsia" w:eastAsiaTheme="minorEastAsia" w:cstheme="minorEastAsia"/>
          <w:sz w:val="24"/>
          <w:szCs w:val="24"/>
          <w:highlight w:val="none"/>
        </w:rPr>
        <w:t>本项目采用</w:t>
      </w:r>
      <w:r>
        <w:rPr>
          <w:rFonts w:hint="eastAsia" w:asciiTheme="minorEastAsia" w:hAnsiTheme="minorEastAsia" w:eastAsiaTheme="minorEastAsia" w:cstheme="minorEastAsia"/>
          <w:sz w:val="24"/>
          <w:szCs w:val="24"/>
          <w:highlight w:val="none"/>
          <w:lang w:val="en-US" w:eastAsia="zh-CN"/>
        </w:rPr>
        <w:t>合理最低价中标</w:t>
      </w:r>
      <w:r>
        <w:rPr>
          <w:rFonts w:hint="eastAsia" w:asciiTheme="minorEastAsia" w:hAnsiTheme="minorEastAsia" w:eastAsiaTheme="minorEastAsia" w:cstheme="minorEastAsia"/>
          <w:sz w:val="24"/>
          <w:szCs w:val="24"/>
          <w:highlight w:val="none"/>
          <w:lang w:eastAsia="zh-CN"/>
        </w:rPr>
        <w:t>。本着公平、公正、公开的原则，在通过技术标综合评审后入围的前提下，</w:t>
      </w:r>
      <w:r>
        <w:rPr>
          <w:rFonts w:hint="eastAsia" w:asciiTheme="minorEastAsia" w:hAnsiTheme="minorEastAsia" w:eastAsiaTheme="minorEastAsia" w:cstheme="minorEastAsia"/>
          <w:sz w:val="24"/>
          <w:szCs w:val="24"/>
          <w:highlight w:val="none"/>
        </w:rPr>
        <w:t>选取</w:t>
      </w:r>
      <w:r>
        <w:rPr>
          <w:rFonts w:hint="eastAsia" w:asciiTheme="minorEastAsia" w:hAnsiTheme="minorEastAsia" w:eastAsiaTheme="minorEastAsia" w:cstheme="minorEastAsia"/>
          <w:sz w:val="24"/>
          <w:szCs w:val="24"/>
          <w:highlight w:val="none"/>
          <w:lang w:val="en-US" w:eastAsia="zh-CN"/>
        </w:rPr>
        <w:t>价格最低的投标方作为</w:t>
      </w:r>
      <w:r>
        <w:rPr>
          <w:rFonts w:hint="eastAsia" w:asciiTheme="minorEastAsia" w:hAnsiTheme="minorEastAsia" w:eastAsiaTheme="minorEastAsia" w:cstheme="minorEastAsia"/>
          <w:sz w:val="24"/>
          <w:szCs w:val="24"/>
          <w:highlight w:val="none"/>
        </w:rPr>
        <w:t>为本项目中标人</w:t>
      </w:r>
      <w:r>
        <w:rPr>
          <w:rFonts w:hint="eastAsia" w:asciiTheme="minorEastAsia" w:hAnsiTheme="minorEastAsia" w:eastAsiaTheme="minorEastAsia" w:cstheme="minorEastAsia"/>
          <w:sz w:val="24"/>
          <w:szCs w:val="24"/>
          <w:highlight w:val="none"/>
          <w:lang w:eastAsia="zh-CN"/>
        </w:rPr>
        <w:t>，对未中标方不做任何解释。</w:t>
      </w:r>
    </w:p>
    <w:p w14:paraId="03D7F6DE">
      <w:pPr>
        <w:pStyle w:val="151"/>
        <w:numPr>
          <w:ilvl w:val="0"/>
          <w:numId w:val="0"/>
        </w:numPr>
        <w:adjustRightInd w:val="0"/>
        <w:snapToGrid w:val="0"/>
        <w:spacing w:line="360" w:lineRule="auto"/>
        <w:ind w:leftChars="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本次评标</w:t>
      </w:r>
      <w:r>
        <w:rPr>
          <w:rFonts w:hint="eastAsia" w:asciiTheme="minorEastAsia" w:hAnsiTheme="minorEastAsia" w:eastAsiaTheme="minorEastAsia" w:cstheme="minorEastAsia"/>
          <w:sz w:val="24"/>
          <w:szCs w:val="24"/>
          <w:lang w:val="en-US" w:eastAsia="zh-CN"/>
        </w:rPr>
        <w:t>e采通上</w:t>
      </w:r>
      <w:r>
        <w:rPr>
          <w:rFonts w:hint="eastAsia" w:asciiTheme="minorEastAsia" w:hAnsiTheme="minorEastAsia" w:eastAsiaTheme="minorEastAsia" w:cstheme="minorEastAsia"/>
          <w:sz w:val="24"/>
          <w:szCs w:val="24"/>
        </w:rPr>
        <w:t>进行报价，评标专家组将与投标人进行多轮商务谈判，每轮谈判价格不得高于上一轮报价。</w:t>
      </w:r>
    </w:p>
    <w:p w14:paraId="27992003">
      <w:pPr>
        <w:pStyle w:val="151"/>
        <w:numPr>
          <w:ilvl w:val="0"/>
          <w:numId w:val="0"/>
        </w:numPr>
        <w:adjustRightInd w:val="0"/>
        <w:snapToGrid w:val="0"/>
        <w:spacing w:line="360" w:lineRule="auto"/>
        <w:ind w:leftChars="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招标人不接受任何选择性报价，对投标人的每一种投标方案只允许有一个投标价。所有投标价均以人民币报价。</w:t>
      </w:r>
    </w:p>
    <w:p w14:paraId="0F6B5504">
      <w:pPr>
        <w:tabs>
          <w:tab w:val="left" w:pos="1134"/>
        </w:tabs>
        <w:snapToGrid w:val="0"/>
        <w:spacing w:line="360" w:lineRule="auto"/>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2C732933">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0ED040A6">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312D72E2">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318E415F">
      <w:pPr>
        <w:pStyle w:val="151"/>
        <w:numPr>
          <w:ilvl w:val="0"/>
          <w:numId w:val="5"/>
        </w:numPr>
        <w:tabs>
          <w:tab w:val="left" w:pos="454"/>
        </w:tabs>
        <w:adjustRightInd w:val="0"/>
        <w:snapToGrid w:val="0"/>
        <w:spacing w:line="360" w:lineRule="auto"/>
        <w:ind w:left="420" w:firstLineChars="0"/>
        <w:jc w:val="left"/>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187B02ED">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①营业执照复印件（需加盖公章）；</w:t>
      </w:r>
    </w:p>
    <w:p w14:paraId="1977A554">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②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70DB3CC3">
      <w:pPr>
        <w:pStyle w:val="24"/>
        <w:spacing w:line="360" w:lineRule="auto"/>
        <w:ind w:firstLine="405"/>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③2023年1月1日至今，企业近三年同类项目业绩证明，须提供用户清单、采购合同复印件；</w:t>
      </w:r>
    </w:p>
    <w:p w14:paraId="64001A25">
      <w:pPr>
        <w:pStyle w:val="24"/>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60DB93BF">
      <w:pPr>
        <w:pStyle w:val="24"/>
        <w:keepNext w:val="0"/>
        <w:keepLines w:val="0"/>
        <w:pageBreakBefore w:val="0"/>
        <w:widowControl w:val="0"/>
        <w:kinsoku/>
        <w:wordWrap/>
        <w:topLinePunct w:val="0"/>
        <w:autoSpaceDE/>
        <w:autoSpaceDN/>
        <w:bidi w:val="0"/>
        <w:adjustRightInd/>
        <w:snapToGrid/>
        <w:spacing w:line="360" w:lineRule="auto"/>
        <w:ind w:firstLine="405"/>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⑤投标人在国家企业信用信息公示系统中无与本项目有关的行政处罚、经营异常和失信信息的声明；（附投标当日系统内相关截图或报告）；</w:t>
      </w:r>
    </w:p>
    <w:p w14:paraId="68226E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⑥</w:t>
      </w:r>
      <w:r>
        <w:rPr>
          <w:rFonts w:hint="eastAsia" w:ascii="宋体" w:hAnsi="宋体" w:eastAsia="宋体" w:cs="宋体"/>
          <w:color w:val="000000"/>
          <w:sz w:val="24"/>
          <w:szCs w:val="24"/>
          <w:highlight w:val="none"/>
        </w:rPr>
        <w:t>企业最近半年的完税证明，并附</w:t>
      </w:r>
      <w:r>
        <w:rPr>
          <w:rFonts w:ascii="宋体" w:hAnsi="宋体" w:eastAsia="宋体" w:cs="宋体"/>
          <w:sz w:val="24"/>
          <w:szCs w:val="24"/>
          <w:highlight w:val="none"/>
        </w:rPr>
        <w:t>年度纳税信用评价信息（可从电子税务局查询截图，需加盖公章）</w:t>
      </w:r>
    </w:p>
    <w:p w14:paraId="429E7E84">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highlight w:val="none"/>
          <w:lang w:val="en-US" w:eastAsia="zh-CN"/>
        </w:rPr>
      </w:pPr>
      <w:r>
        <w:rPr>
          <w:rFonts w:hint="eastAsia"/>
          <w:highlight w:val="none"/>
          <w:lang w:val="en-US" w:eastAsia="zh-CN"/>
        </w:rPr>
        <w:t>⑦近三年内在经营活动中无与本项目有关的违法及重大违规行为的声明；</w:t>
      </w:r>
    </w:p>
    <w:p w14:paraId="3012A84C">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highlight w:val="none"/>
          <w:lang w:val="en-US" w:eastAsia="zh-CN"/>
        </w:rPr>
        <w:t>⑧</w:t>
      </w:r>
      <w:r>
        <w:rPr>
          <w:rFonts w:ascii="宋体" w:hAnsi="宋体" w:eastAsia="宋体" w:cs="宋体"/>
          <w:sz w:val="24"/>
          <w:szCs w:val="24"/>
          <w:highlight w:val="none"/>
        </w:rPr>
        <w:t>企业对外担保说明（写明贵单位对外有无对外担保和质押业务，需加盖公章）</w:t>
      </w:r>
      <w:r>
        <w:rPr>
          <w:rFonts w:hint="eastAsia" w:ascii="宋体" w:hAnsi="宋体" w:eastAsia="宋体" w:cs="宋体"/>
          <w:color w:val="000000"/>
          <w:sz w:val="24"/>
          <w:szCs w:val="24"/>
          <w:highlight w:val="none"/>
        </w:rPr>
        <w:t>；</w:t>
      </w:r>
    </w:p>
    <w:p w14:paraId="760698C6">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⑨</w:t>
      </w:r>
      <w:r>
        <w:rPr>
          <w:rFonts w:hint="eastAsia" w:ascii="宋体" w:hAnsi="宋体" w:eastAsia="宋体" w:cs="宋体"/>
          <w:color w:val="000000"/>
          <w:sz w:val="24"/>
          <w:szCs w:val="24"/>
          <w:highlight w:val="none"/>
        </w:rPr>
        <w:t>企业信用证明材料（征信中心出具的信用报告）；</w:t>
      </w:r>
    </w:p>
    <w:p w14:paraId="7F9F0A14">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lang w:val="en-US" w:eastAsia="zh-CN"/>
        </w:rPr>
        <w:t>⑩</w:t>
      </w:r>
      <w:r>
        <w:rPr>
          <w:rFonts w:hint="eastAsia" w:ascii="宋体" w:hAnsi="宋体" w:eastAsia="宋体" w:cs="宋体"/>
          <w:color w:val="000000"/>
          <w:sz w:val="24"/>
          <w:szCs w:val="24"/>
          <w:highlight w:val="none"/>
        </w:rPr>
        <w:t>投标保证金缴纳凭证，同时正文描述付款账号、户名、开户行名称、开户行行号、保证金金额。</w:t>
      </w:r>
    </w:p>
    <w:p w14:paraId="36BBE5C4">
      <w:pPr>
        <w:pStyle w:val="151"/>
        <w:numPr>
          <w:ilvl w:val="0"/>
          <w:numId w:val="5"/>
        </w:numPr>
        <w:tabs>
          <w:tab w:val="left" w:pos="454"/>
        </w:tabs>
        <w:adjustRightInd w:val="0"/>
        <w:snapToGrid w:val="0"/>
        <w:spacing w:line="360" w:lineRule="auto"/>
        <w:ind w:left="420" w:firstLineChars="0"/>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lang w:val="en-US" w:eastAsia="zh-CN"/>
        </w:rPr>
        <w:t>技术</w:t>
      </w:r>
      <w:r>
        <w:rPr>
          <w:rFonts w:hint="eastAsia" w:asciiTheme="minorEastAsia" w:hAnsiTheme="minorEastAsia" w:eastAsiaTheme="minorEastAsia" w:cstheme="minorEastAsia"/>
          <w:b/>
          <w:bCs/>
          <w:sz w:val="24"/>
          <w:szCs w:val="24"/>
        </w:rPr>
        <w:t>标书</w:t>
      </w:r>
    </w:p>
    <w:p w14:paraId="6F5F568D">
      <w:pPr>
        <w:spacing w:line="360" w:lineRule="auto"/>
        <w:ind w:firstLine="480" w:firstLineChars="200"/>
        <w:rPr>
          <w:rFonts w:hint="default" w:ascii="Times New Roman" w:hAnsi="Times New Roman" w:eastAsia="宋体" w:cs="Times New Roman"/>
          <w:highlight w:val="yellow"/>
        </w:rPr>
      </w:pPr>
      <w:r>
        <w:rPr>
          <w:rFonts w:hint="default" w:ascii="Times New Roman" w:hAnsi="Times New Roman" w:eastAsia="宋体" w:cs="Times New Roman"/>
          <w:color w:val="000000"/>
          <w:sz w:val="24"/>
          <w:szCs w:val="24"/>
        </w:rPr>
        <w:t>2.1技术规格偏离表（附件5），</w:t>
      </w:r>
      <w:r>
        <w:rPr>
          <w:rFonts w:hint="default" w:ascii="Times New Roman" w:hAnsi="Times New Roman" w:eastAsia="宋体" w:cs="Times New Roman"/>
          <w:b/>
          <w:color w:val="000000"/>
          <w:sz w:val="24"/>
          <w:szCs w:val="24"/>
        </w:rPr>
        <w:t>必须先进行两列要求一一对照，不允许直接写无偏离；</w:t>
      </w:r>
    </w:p>
    <w:p w14:paraId="1C6090DE">
      <w:pPr>
        <w:spacing w:line="360" w:lineRule="auto"/>
        <w:ind w:firstLine="480" w:firstLineChars="200"/>
        <w:rPr>
          <w:rFonts w:hint="default" w:ascii="Times New Roman" w:hAnsi="Times New Roman" w:eastAsia="宋体" w:cs="Times New Roman"/>
          <w:b/>
          <w:color w:val="000000"/>
          <w:sz w:val="24"/>
          <w:szCs w:val="24"/>
        </w:rPr>
      </w:pPr>
      <w:r>
        <w:rPr>
          <w:rFonts w:hint="default" w:ascii="Times New Roman" w:hAnsi="Times New Roman" w:eastAsia="宋体" w:cs="Times New Roman"/>
          <w:bCs/>
          <w:color w:val="000000"/>
          <w:sz w:val="24"/>
          <w:szCs w:val="24"/>
        </w:rPr>
        <w:t>2.3</w:t>
      </w:r>
      <w:r>
        <w:rPr>
          <w:rFonts w:hint="default" w:ascii="Times New Roman" w:hAnsi="Times New Roman" w:eastAsia="宋体" w:cs="Times New Roman"/>
          <w:color w:val="000000"/>
          <w:sz w:val="24"/>
          <w:szCs w:val="24"/>
        </w:rPr>
        <w:t>提供</w:t>
      </w:r>
      <w:r>
        <w:rPr>
          <w:rFonts w:hint="default" w:ascii="Times New Roman" w:hAnsi="Times New Roman" w:eastAsia="宋体" w:cs="Times New Roman"/>
          <w:color w:val="000000"/>
          <w:sz w:val="24"/>
          <w:szCs w:val="24"/>
          <w:highlight w:val="none"/>
        </w:rPr>
        <w:t>202</w:t>
      </w:r>
      <w:r>
        <w:rPr>
          <w:rFonts w:hint="eastAsia" w:cs="Times New Roman"/>
          <w:color w:val="000000"/>
          <w:sz w:val="24"/>
          <w:szCs w:val="24"/>
          <w:highlight w:val="none"/>
          <w:lang w:val="en-US" w:eastAsia="zh-CN"/>
        </w:rPr>
        <w:t>3</w:t>
      </w:r>
      <w:r>
        <w:rPr>
          <w:rFonts w:hint="default" w:ascii="Times New Roman" w:hAnsi="Times New Roman" w:eastAsia="宋体" w:cs="Times New Roman"/>
          <w:color w:val="000000"/>
          <w:sz w:val="24"/>
          <w:szCs w:val="24"/>
          <w:highlight w:val="none"/>
        </w:rPr>
        <w:t>年1月1日</w:t>
      </w:r>
      <w:r>
        <w:rPr>
          <w:rFonts w:hint="default" w:ascii="Times New Roman" w:hAnsi="Times New Roman" w:eastAsia="宋体" w:cs="Times New Roman"/>
          <w:color w:val="000000"/>
          <w:sz w:val="24"/>
          <w:szCs w:val="24"/>
        </w:rPr>
        <w:t>以来同类产品的制造销售业绩（用户名单、联系方式），并附合同复印件。该同类项目业绩一览表必</w:t>
      </w:r>
      <w:r>
        <w:rPr>
          <w:rFonts w:hint="default" w:ascii="Times New Roman" w:hAnsi="Times New Roman" w:eastAsia="宋体" w:cs="Times New Roman"/>
          <w:b/>
          <w:bCs/>
          <w:color w:val="000000"/>
          <w:sz w:val="24"/>
          <w:szCs w:val="24"/>
        </w:rPr>
        <w:t>须如实填写，应全尽全</w:t>
      </w:r>
      <w:r>
        <w:rPr>
          <w:rFonts w:hint="default" w:ascii="Times New Roman" w:hAnsi="Times New Roman" w:eastAsia="宋体" w:cs="Times New Roman"/>
          <w:color w:val="000000"/>
          <w:sz w:val="24"/>
          <w:szCs w:val="24"/>
        </w:rPr>
        <w:t>；</w:t>
      </w:r>
      <w:r>
        <w:rPr>
          <w:rFonts w:hint="default" w:ascii="Times New Roman" w:hAnsi="Times New Roman" w:eastAsia="宋体" w:cs="Times New Roman"/>
          <w:b/>
          <w:bCs/>
          <w:color w:val="000000"/>
          <w:sz w:val="24"/>
          <w:szCs w:val="24"/>
        </w:rPr>
        <w:t>一览表最终的所有业绩合同总额汇总必填</w:t>
      </w:r>
      <w:r>
        <w:rPr>
          <w:rFonts w:hint="default" w:ascii="Times New Roman" w:hAnsi="Times New Roman" w:eastAsia="宋体" w:cs="Times New Roman"/>
          <w:color w:val="000000"/>
          <w:sz w:val="24"/>
          <w:szCs w:val="24"/>
        </w:rPr>
        <w:t>，数据将影响现场评标专家组对投标单位的业绩考评。</w:t>
      </w:r>
      <w:r>
        <w:rPr>
          <w:rFonts w:hint="default" w:ascii="Times New Roman" w:hAnsi="Times New Roman" w:eastAsia="宋体" w:cs="Times New Roman"/>
          <w:b/>
          <w:bCs/>
          <w:color w:val="000000"/>
          <w:sz w:val="24"/>
          <w:szCs w:val="24"/>
        </w:rPr>
        <w:t>若未提供相应业绩证明，根据技术标评分规则，将影响现场评标专家组对投标单位业绩判定打分</w:t>
      </w:r>
      <w:r>
        <w:rPr>
          <w:rFonts w:hint="default" w:ascii="Times New Roman" w:hAnsi="Times New Roman" w:eastAsia="宋体" w:cs="Times New Roman"/>
          <w:b/>
          <w:color w:val="000000"/>
          <w:sz w:val="24"/>
          <w:szCs w:val="24"/>
        </w:rPr>
        <w:t>；</w:t>
      </w:r>
    </w:p>
    <w:p w14:paraId="76416F49">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2.4供货期及保证措施；</w:t>
      </w:r>
    </w:p>
    <w:p w14:paraId="7904337B">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2.5产品的技术服务和售后服务内容及措施；</w:t>
      </w:r>
    </w:p>
    <w:p w14:paraId="3808C3B1">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2.6交货进度及计划；</w:t>
      </w:r>
    </w:p>
    <w:p w14:paraId="4C65CA57">
      <w:pPr>
        <w:spacing w:line="360" w:lineRule="auto"/>
        <w:ind w:firstLine="480" w:firstLineChars="200"/>
        <w:rPr>
          <w:rFonts w:hint="default" w:ascii="Times New Roman" w:hAnsi="Times New Roman" w:eastAsia="宋体" w:cs="Times New Roman"/>
          <w:color w:val="000000"/>
          <w:sz w:val="24"/>
          <w:szCs w:val="24"/>
        </w:rPr>
      </w:pPr>
      <w:bookmarkStart w:id="10" w:name="_Toc536542319"/>
      <w:r>
        <w:rPr>
          <w:rFonts w:hint="default" w:ascii="Times New Roman" w:hAnsi="Times New Roman" w:eastAsia="宋体" w:cs="Times New Roman"/>
          <w:color w:val="000000"/>
          <w:sz w:val="24"/>
          <w:szCs w:val="24"/>
        </w:rPr>
        <w:t>2.7投标产品技术支持材料</w:t>
      </w:r>
      <w:bookmarkEnd w:id="10"/>
      <w:r>
        <w:rPr>
          <w:rFonts w:hint="default" w:ascii="Times New Roman" w:hAnsi="Times New Roman" w:eastAsia="宋体" w:cs="Times New Roman"/>
          <w:color w:val="000000"/>
          <w:sz w:val="24"/>
          <w:szCs w:val="24"/>
        </w:rPr>
        <w:t>，投标人所投标设备详细技术资料清单；</w:t>
      </w:r>
    </w:p>
    <w:p w14:paraId="64C4E19D">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2.8设备质量承诺函（附件7）；</w:t>
      </w:r>
    </w:p>
    <w:p w14:paraId="7BF0BD58">
      <w:pPr>
        <w:pStyle w:val="19"/>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rPr>
      </w:pPr>
      <w:r>
        <w:rPr>
          <w:rFonts w:hint="default" w:ascii="Times New Roman" w:hAnsi="Times New Roman" w:eastAsia="宋体" w:cs="Times New Roman"/>
          <w:color w:val="000000"/>
          <w:sz w:val="24"/>
          <w:szCs w:val="24"/>
        </w:rPr>
        <w:t>2.9投标人需提交的其它资料。</w:t>
      </w:r>
    </w:p>
    <w:p w14:paraId="42CA340F">
      <w:pPr>
        <w:pStyle w:val="19"/>
        <w:rPr>
          <w:rFonts w:hint="eastAsia"/>
          <w:lang w:val="en-US" w:eastAsia="zh-CN"/>
        </w:rPr>
      </w:pPr>
    </w:p>
    <w:p w14:paraId="5770A387">
      <w:pPr>
        <w:pStyle w:val="151"/>
        <w:numPr>
          <w:ilvl w:val="0"/>
          <w:numId w:val="5"/>
        </w:numPr>
        <w:tabs>
          <w:tab w:val="left" w:pos="454"/>
        </w:tabs>
        <w:adjustRightInd w:val="0"/>
        <w:snapToGrid w:val="0"/>
        <w:spacing w:line="360" w:lineRule="auto"/>
        <w:ind w:left="420" w:firstLineChars="0"/>
        <w:jc w:val="left"/>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商务标书</w:t>
      </w:r>
    </w:p>
    <w:p w14:paraId="39730157">
      <w:pPr>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3.1开标一览表（附件8）；</w:t>
      </w:r>
    </w:p>
    <w:p w14:paraId="7A194CBA">
      <w:pPr>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3.2投标报价明细表（附件9-1至9-5）</w:t>
      </w:r>
      <w:r>
        <w:rPr>
          <w:rFonts w:hint="default" w:ascii="Times New Roman" w:hAnsi="Times New Roman" w:eastAsia="宋体" w:cs="Times New Roman"/>
          <w:b/>
          <w:color w:val="000000"/>
          <w:sz w:val="24"/>
          <w:szCs w:val="24"/>
          <w:highlight w:val="none"/>
        </w:rPr>
        <w:t>；</w:t>
      </w:r>
    </w:p>
    <w:p w14:paraId="0472ED7D">
      <w:pPr>
        <w:spacing w:line="360" w:lineRule="auto"/>
        <w:ind w:firstLine="480" w:firstLineChars="200"/>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3.3商务条款偏离表（附件10）</w:t>
      </w:r>
      <w:bookmarkStart w:id="11" w:name="OLE_LINK18"/>
      <w:bookmarkStart w:id="12" w:name="OLE_LINK19"/>
      <w:r>
        <w:rPr>
          <w:rFonts w:hint="default" w:ascii="Times New Roman" w:hAnsi="Times New Roman" w:eastAsia="宋体" w:cs="Times New Roman"/>
          <w:b/>
          <w:color w:val="000000"/>
          <w:sz w:val="24"/>
          <w:szCs w:val="24"/>
          <w:highlight w:val="none"/>
        </w:rPr>
        <w:t>；</w:t>
      </w:r>
      <w:bookmarkEnd w:id="11"/>
      <w:bookmarkEnd w:id="12"/>
      <w:r>
        <w:rPr>
          <w:rFonts w:hint="default" w:ascii="Times New Roman" w:hAnsi="Times New Roman" w:eastAsia="宋体" w:cs="Times New Roman"/>
          <w:color w:val="000000"/>
          <w:sz w:val="24"/>
          <w:szCs w:val="24"/>
          <w:highlight w:val="none"/>
        </w:rPr>
        <w:t xml:space="preserve"> </w:t>
      </w:r>
    </w:p>
    <w:p w14:paraId="3C767BBB">
      <w:pPr>
        <w:spacing w:line="360" w:lineRule="auto"/>
        <w:ind w:firstLine="480" w:firstLineChars="200"/>
        <w:rPr>
          <w:rFonts w:hint="default" w:ascii="Times New Roman" w:hAnsi="Times New Roman" w:eastAsia="宋体" w:cs="Times New Roman"/>
          <w:b/>
          <w:color w:val="000000"/>
          <w:sz w:val="24"/>
          <w:szCs w:val="24"/>
          <w:highlight w:val="none"/>
        </w:rPr>
      </w:pPr>
      <w:r>
        <w:rPr>
          <w:rFonts w:hint="default" w:ascii="Times New Roman" w:hAnsi="Times New Roman" w:eastAsia="宋体" w:cs="Times New Roman"/>
          <w:color w:val="000000"/>
          <w:sz w:val="24"/>
          <w:szCs w:val="24"/>
          <w:highlight w:val="none"/>
        </w:rPr>
        <w:t>3.4投标人承诺（附件11）</w:t>
      </w:r>
      <w:r>
        <w:rPr>
          <w:rFonts w:hint="default" w:ascii="Times New Roman" w:hAnsi="Times New Roman" w:eastAsia="宋体" w:cs="Times New Roman"/>
          <w:b/>
          <w:color w:val="000000"/>
          <w:sz w:val="24"/>
          <w:szCs w:val="24"/>
          <w:highlight w:val="none"/>
        </w:rPr>
        <w:t>；</w:t>
      </w:r>
    </w:p>
    <w:p w14:paraId="2889554B">
      <w:pPr>
        <w:spacing w:line="360" w:lineRule="auto"/>
        <w:ind w:firstLine="480" w:firstLineChars="200"/>
        <w:rPr>
          <w:rFonts w:hint="default" w:ascii="Times New Roman" w:hAnsi="Times New Roman" w:eastAsia="宋体" w:cs="Times New Roman"/>
          <w:b/>
          <w:color w:val="000000"/>
          <w:sz w:val="24"/>
          <w:szCs w:val="24"/>
          <w:highlight w:val="none"/>
        </w:rPr>
      </w:pPr>
      <w:r>
        <w:rPr>
          <w:rFonts w:hint="default" w:ascii="Times New Roman" w:hAnsi="Times New Roman" w:eastAsia="宋体" w:cs="Times New Roman"/>
          <w:color w:val="000000"/>
          <w:sz w:val="24"/>
          <w:szCs w:val="24"/>
          <w:highlight w:val="none"/>
        </w:rPr>
        <w:t>3.5服务承诺函（附件12），</w:t>
      </w:r>
      <w:r>
        <w:rPr>
          <w:rFonts w:hint="default" w:ascii="Times New Roman" w:hAnsi="Times New Roman" w:eastAsia="宋体" w:cs="Times New Roman"/>
          <w:b/>
          <w:color w:val="000000"/>
          <w:sz w:val="24"/>
          <w:szCs w:val="24"/>
          <w:highlight w:val="none"/>
        </w:rPr>
        <w:t>需写明质保期以外服务费用情况</w:t>
      </w:r>
      <w:r>
        <w:rPr>
          <w:rFonts w:hint="default" w:ascii="Times New Roman" w:hAnsi="Times New Roman" w:eastAsia="宋体" w:cs="Times New Roman"/>
          <w:color w:val="000000"/>
          <w:sz w:val="24"/>
          <w:szCs w:val="24"/>
          <w:highlight w:val="none"/>
        </w:rPr>
        <w:t>；</w:t>
      </w:r>
    </w:p>
    <w:p w14:paraId="71DA8E1C">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lang w:eastAsia="zh-CN"/>
        </w:rPr>
      </w:pPr>
      <w:r>
        <w:rPr>
          <w:rFonts w:hint="default" w:ascii="Times New Roman" w:hAnsi="Times New Roman" w:eastAsia="宋体" w:cs="Times New Roman"/>
          <w:color w:val="000000"/>
          <w:sz w:val="24"/>
          <w:szCs w:val="24"/>
          <w:highlight w:val="none"/>
        </w:rPr>
        <w:t>3.6按招标文件投标人须知和技术规格书中要求提供的有关文件</w:t>
      </w:r>
      <w:r>
        <w:rPr>
          <w:rFonts w:hint="eastAsia" w:asciiTheme="minorEastAsia" w:hAnsiTheme="minorEastAsia" w:eastAsiaTheme="minorEastAsia" w:cstheme="minorEastAsia"/>
          <w:bCs/>
          <w:sz w:val="24"/>
          <w:szCs w:val="24"/>
          <w:highlight w:val="none"/>
          <w:lang w:eastAsia="zh-CN"/>
        </w:rPr>
        <w:t>。</w:t>
      </w:r>
    </w:p>
    <w:p w14:paraId="22093644">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2、证明投标人所提供的货物及/或服务的合格性和符合招标文件规定的文件，包括但不限于：对招标技术文件的逐项应答、产品彩页，对于某项指标的数据存在证明文件内容不一致的情况，取指标较低的为准。</w:t>
      </w:r>
    </w:p>
    <w:p w14:paraId="30B19BB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rPr>
      </w:pPr>
      <w:r>
        <w:rPr>
          <w:rFonts w:hint="eastAsia" w:asciiTheme="minorEastAsia" w:hAnsiTheme="minorEastAsia" w:eastAsiaTheme="minorEastAsia" w:cstheme="minorEastAsia"/>
          <w:bCs/>
          <w:sz w:val="24"/>
          <w:szCs w:val="24"/>
          <w:lang w:val="en-US" w:eastAsia="zh-CN"/>
        </w:rPr>
        <w:t>3</w:t>
      </w:r>
      <w:r>
        <w:rPr>
          <w:rFonts w:hint="eastAsia" w:asciiTheme="minorEastAsia" w:hAnsiTheme="minorEastAsia" w:eastAsiaTheme="minorEastAsia" w:cstheme="minorEastAsia"/>
          <w:bCs/>
          <w:sz w:val="24"/>
          <w:szCs w:val="24"/>
        </w:rPr>
        <w:t>、商务文件至少应对招标设备（或材料）“商务偏离”做出有无说明，若有，应予以详细填写和说明</w:t>
      </w:r>
      <w:r>
        <w:rPr>
          <w:rFonts w:hint="eastAsia" w:asciiTheme="minorEastAsia" w:hAnsiTheme="minorEastAsia" w:eastAsiaTheme="minorEastAsia" w:cstheme="minorEastAsia"/>
          <w:bCs/>
          <w:sz w:val="24"/>
          <w:szCs w:val="24"/>
          <w:highlight w:val="none"/>
        </w:rPr>
        <w:t>。</w:t>
      </w:r>
    </w:p>
    <w:p w14:paraId="19A1222C">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highlight w:val="none"/>
          <w:lang w:val="en-US" w:eastAsia="zh-CN"/>
        </w:rPr>
        <w:t>4</w:t>
      </w:r>
      <w:r>
        <w:rPr>
          <w:rFonts w:hint="eastAsia" w:asciiTheme="minorEastAsia" w:hAnsiTheme="minorEastAsia" w:eastAsiaTheme="minorEastAsia" w:cstheme="minorEastAsia"/>
          <w:bCs/>
          <w:sz w:val="24"/>
          <w:szCs w:val="24"/>
          <w:highlight w:val="none"/>
        </w:rPr>
        <w:t>、投标文件不得涂改和增删，如有修改</w:t>
      </w:r>
      <w:r>
        <w:rPr>
          <w:rFonts w:hint="eastAsia" w:asciiTheme="minorEastAsia" w:hAnsiTheme="minorEastAsia" w:eastAsiaTheme="minorEastAsia" w:cstheme="minorEastAsia"/>
          <w:bCs/>
          <w:sz w:val="24"/>
          <w:szCs w:val="24"/>
        </w:rPr>
        <w:t>错漏的地方，必须由法人代表或授权代表签字或盖章。</w:t>
      </w:r>
    </w:p>
    <w:p w14:paraId="01B74508">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lang w:val="en-US" w:eastAsia="zh-CN"/>
        </w:rPr>
        <w:t>5</w:t>
      </w:r>
      <w:r>
        <w:rPr>
          <w:rFonts w:hint="eastAsia" w:asciiTheme="minorEastAsia" w:hAnsiTheme="minorEastAsia" w:eastAsiaTheme="minorEastAsia" w:cstheme="minorEastAsia"/>
          <w:bCs/>
          <w:sz w:val="24"/>
          <w:szCs w:val="24"/>
        </w:rPr>
        <w:t>、投标文件因字迹潦草或表达不清所引起的后果由投标人负责。</w:t>
      </w:r>
    </w:p>
    <w:p w14:paraId="745D0A25">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5AD286AF">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⑴本次招标为公开招标，报价应为：</w:t>
      </w:r>
    </w:p>
    <w:p w14:paraId="51AA1A4A">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经与招标人或其指派的答疑人员充分沟通确认基础上，由投标人在满足招标人所提出的、与本项目所有相关环节有关的所有费用；</w:t>
      </w:r>
    </w:p>
    <w:p w14:paraId="0DE5A19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⑵所有报价货币单位为：万元（人民币），</w:t>
      </w:r>
      <w:r>
        <w:rPr>
          <w:rFonts w:hint="eastAsia" w:asciiTheme="minorEastAsia" w:hAnsiTheme="minorEastAsia" w:eastAsiaTheme="minorEastAsia" w:cstheme="minorEastAsia"/>
          <w:b/>
          <w:bCs w:val="0"/>
          <w:sz w:val="24"/>
          <w:szCs w:val="24"/>
          <w:highlight w:val="none"/>
          <w:lang w:val="en-US" w:eastAsia="zh-CN"/>
        </w:rPr>
        <w:t>含税</w:t>
      </w:r>
      <w:r>
        <w:rPr>
          <w:rFonts w:hint="eastAsia" w:asciiTheme="minorEastAsia" w:hAnsiTheme="minorEastAsia" w:eastAsiaTheme="minorEastAsia" w:cstheme="minorEastAsia"/>
          <w:bCs/>
          <w:sz w:val="24"/>
          <w:szCs w:val="24"/>
          <w:highlight w:val="none"/>
          <w:lang w:val="en-US" w:eastAsia="zh-CN"/>
        </w:rPr>
        <w:t>；</w:t>
      </w:r>
    </w:p>
    <w:p w14:paraId="4AC9767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bCs/>
          <w:sz w:val="24"/>
          <w:szCs w:val="24"/>
          <w:highlight w:val="none"/>
          <w:lang w:val="en-US" w:eastAsia="zh-CN"/>
        </w:rPr>
        <w:t>⑶付款结算方式：</w:t>
      </w:r>
      <w:r>
        <w:rPr>
          <w:rFonts w:hint="eastAsia" w:asciiTheme="minorEastAsia" w:hAnsiTheme="minorEastAsia" w:eastAsiaTheme="minorEastAsia" w:cstheme="minorEastAsia"/>
          <w:b/>
          <w:bCs/>
          <w:color w:val="000000"/>
          <w:kern w:val="0"/>
          <w:sz w:val="24"/>
          <w:szCs w:val="24"/>
          <w:lang w:val="en-US" w:eastAsia="zh-CN" w:bidi="ar"/>
        </w:rPr>
        <w:t>半年期商业汇票(包括银行承兑汇票和商业承兑汇票)</w:t>
      </w:r>
    </w:p>
    <w:p w14:paraId="51013B8D">
      <w:pPr>
        <w:pStyle w:val="19"/>
        <w:keepNext w:val="0"/>
        <w:keepLines w:val="0"/>
        <w:pageBreakBefore w:val="0"/>
        <w:widowControl w:val="0"/>
        <w:kinsoku/>
        <w:wordWrap/>
        <w:topLinePunct w:val="0"/>
        <w:autoSpaceDE/>
        <w:autoSpaceDN/>
        <w:bidi w:val="0"/>
        <w:adjustRightInd w:val="0"/>
        <w:snapToGrid w:val="0"/>
        <w:spacing w:line="300" w:lineRule="auto"/>
        <w:ind w:left="273" w:right="150" w:firstLine="480" w:firstLineChars="200"/>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A. 设备全部到货、安装调试、验收合格后，中标人提供合同价款100%的增值税专用发票,经招标人依照财务制度审核通过后当月挂账、次月付款，支付合同价款的90%；</w:t>
      </w:r>
    </w:p>
    <w:p w14:paraId="7C7B2D91">
      <w:pPr>
        <w:pStyle w:val="19"/>
        <w:keepNext w:val="0"/>
        <w:keepLines w:val="0"/>
        <w:pageBreakBefore w:val="0"/>
        <w:widowControl w:val="0"/>
        <w:kinsoku/>
        <w:wordWrap/>
        <w:topLinePunct w:val="0"/>
        <w:autoSpaceDE/>
        <w:autoSpaceDN/>
        <w:bidi w:val="0"/>
        <w:adjustRightInd w:val="0"/>
        <w:snapToGrid w:val="0"/>
        <w:spacing w:line="300" w:lineRule="auto"/>
        <w:ind w:left="273" w:right="149" w:firstLine="480" w:firstLineChars="200"/>
        <w:textAlignment w:val="auto"/>
        <w:rPr>
          <w:rFonts w:hint="eastAsia" w:asciiTheme="minorEastAsia" w:hAnsiTheme="minorEastAsia" w:eastAsiaTheme="minorEastAsia" w:cstheme="minorEastAsia"/>
          <w:color w:val="000000"/>
          <w:kern w:val="0"/>
          <w:sz w:val="24"/>
          <w:szCs w:val="24"/>
          <w:lang w:val="en-US" w:eastAsia="zh-CN" w:bidi="ar"/>
        </w:rPr>
      </w:pPr>
      <w:r>
        <w:rPr>
          <w:rFonts w:hint="eastAsia" w:asciiTheme="minorEastAsia" w:hAnsiTheme="minorEastAsia" w:eastAsiaTheme="minorEastAsia" w:cstheme="minorEastAsia"/>
          <w:color w:val="000000"/>
          <w:kern w:val="0"/>
          <w:sz w:val="24"/>
          <w:szCs w:val="24"/>
          <w:lang w:val="en-US" w:eastAsia="zh-CN" w:bidi="ar"/>
        </w:rPr>
        <w:t>B. 合同总价款的10%作为本合同约定设备的质量保证金，质量保证金在质量保证期内不计利息。质保期届满后支付。</w:t>
      </w:r>
    </w:p>
    <w:p w14:paraId="2B2592F8">
      <w:pPr>
        <w:pStyle w:val="24"/>
        <w:keepNext w:val="0"/>
        <w:keepLines w:val="0"/>
        <w:pageBreakBefore w:val="0"/>
        <w:widowControl w:val="0"/>
        <w:kinsoku/>
        <w:wordWrap/>
        <w:topLinePunct w:val="0"/>
        <w:autoSpaceDE/>
        <w:autoSpaceDN/>
        <w:bidi w:val="0"/>
        <w:adjustRightInd w:val="0"/>
        <w:snapToGrid w:val="0"/>
        <w:spacing w:line="300" w:lineRule="auto"/>
        <w:ind w:firstLine="482" w:firstLineChars="200"/>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具体以双方最终签署的合同为准。</w:t>
      </w:r>
    </w:p>
    <w:p w14:paraId="71971907">
      <w:pPr>
        <w:pStyle w:val="57"/>
        <w:keepNext w:val="0"/>
        <w:keepLines w:val="0"/>
        <w:pageBreakBefore w:val="0"/>
        <w:widowControl w:val="0"/>
        <w:kinsoku/>
        <w:wordWrap/>
        <w:overflowPunct/>
        <w:topLinePunct w:val="0"/>
        <w:autoSpaceDE w:val="0"/>
        <w:autoSpaceDN w:val="0"/>
        <w:bidi w:val="0"/>
        <w:adjustRightInd w:val="0"/>
        <w:snapToGrid w:val="0"/>
        <w:spacing w:line="300" w:lineRule="auto"/>
        <w:ind w:firstLine="482" w:firstLineChars="200"/>
        <w:textAlignment w:val="auto"/>
        <w:rPr>
          <w:rFonts w:hint="default" w:asciiTheme="minorEastAsia" w:hAnsiTheme="minorEastAsia" w:eastAsiaTheme="minorEastAsia" w:cstheme="minorEastAsia"/>
          <w:b/>
          <w:bCs w:val="0"/>
          <w:color w:val="auto"/>
          <w:kern w:val="2"/>
          <w:sz w:val="24"/>
          <w:szCs w:val="24"/>
          <w:highlight w:val="none"/>
          <w:lang w:val="en-US" w:eastAsia="zh-CN" w:bidi="ar-SA"/>
        </w:rPr>
      </w:pPr>
      <w:r>
        <w:rPr>
          <w:rFonts w:hint="eastAsia" w:asciiTheme="minorEastAsia" w:hAnsiTheme="minorEastAsia" w:eastAsiaTheme="minorEastAsia" w:cstheme="minorEastAsia"/>
          <w:b/>
          <w:bCs w:val="0"/>
          <w:color w:val="auto"/>
          <w:kern w:val="2"/>
          <w:sz w:val="24"/>
          <w:szCs w:val="24"/>
          <w:highlight w:val="none"/>
          <w:lang w:val="en-US" w:eastAsia="zh-CN" w:bidi="ar-SA"/>
        </w:rPr>
        <w:t>注：付款方式和付款比例不允许偏离。</w:t>
      </w:r>
    </w:p>
    <w:p w14:paraId="3B981327">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7712300F">
      <w:pPr>
        <w:pStyle w:val="151"/>
        <w:numPr>
          <w:ilvl w:val="0"/>
          <w:numId w:val="6"/>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eastAsia="宋体" w:cs="宋体"/>
          <w:sz w:val="24"/>
          <w:szCs w:val="24"/>
          <w:highlight w:val="none"/>
          <w:lang w:val="en-US" w:eastAsia="zh-CN"/>
        </w:rPr>
        <w:t>银行基本账户转账</w:t>
      </w:r>
      <w:r>
        <w:rPr>
          <w:rFonts w:hint="eastAsia" w:asciiTheme="minorEastAsia" w:hAnsiTheme="minorEastAsia" w:eastAsiaTheme="minorEastAsia" w:cstheme="minorEastAsia"/>
          <w:color w:val="000000"/>
          <w:sz w:val="24"/>
          <w:szCs w:val="24"/>
        </w:rPr>
        <w:t>。</w:t>
      </w:r>
    </w:p>
    <w:p w14:paraId="44532940">
      <w:pPr>
        <w:pStyle w:val="151"/>
        <w:keepNext w:val="0"/>
        <w:keepLines w:val="0"/>
        <w:pageBreakBefore w:val="0"/>
        <w:widowControl w:val="0"/>
        <w:numPr>
          <w:ilvl w:val="0"/>
          <w:numId w:val="6"/>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w:t>
      </w:r>
      <w:r>
        <w:rPr>
          <w:rFonts w:hint="eastAsia" w:asciiTheme="minorEastAsia" w:hAnsiTheme="minorEastAsia" w:eastAsiaTheme="minorEastAsia" w:cstheme="minorEastAsia"/>
          <w:color w:val="000000"/>
          <w:sz w:val="24"/>
          <w:szCs w:val="24"/>
          <w:lang w:val="en-US" w:eastAsia="zh-CN"/>
        </w:rPr>
        <w:t>缴纳截止</w:t>
      </w:r>
      <w:r>
        <w:rPr>
          <w:rFonts w:hint="eastAsia" w:asciiTheme="minorEastAsia" w:hAnsiTheme="minorEastAsia" w:eastAsiaTheme="minorEastAsia" w:cstheme="minorEastAsia"/>
          <w:color w:val="000000"/>
          <w:sz w:val="24"/>
          <w:szCs w:val="24"/>
        </w:rPr>
        <w:t>时间</w:t>
      </w:r>
      <w:r>
        <w:rPr>
          <w:rFonts w:hint="eastAsia" w:asciiTheme="minorEastAsia" w:hAnsiTheme="minorEastAsia" w:eastAsiaTheme="minorEastAsia" w:cstheme="minorEastAsia"/>
          <w:color w:val="000000"/>
          <w:sz w:val="24"/>
          <w:szCs w:val="24"/>
          <w:lang w:eastAsia="zh-CN"/>
        </w:rPr>
        <w:t>：</w:t>
      </w:r>
      <w:r>
        <w:rPr>
          <w:rFonts w:hint="eastAsia" w:asciiTheme="minorEastAsia" w:hAnsiTheme="minorEastAsia" w:eastAsiaTheme="minorEastAsia" w:cstheme="minorEastAsia"/>
          <w:b/>
          <w:bCs/>
          <w:color w:val="000000"/>
          <w:sz w:val="24"/>
          <w:szCs w:val="24"/>
          <w:highlight w:val="yellow"/>
          <w:u w:val="single"/>
        </w:rPr>
        <w:t>202</w:t>
      </w:r>
      <w:r>
        <w:rPr>
          <w:rFonts w:hint="eastAsia" w:asciiTheme="minorEastAsia" w:hAnsiTheme="minorEastAsia" w:eastAsiaTheme="minorEastAsia" w:cstheme="minorEastAsia"/>
          <w:b/>
          <w:bCs/>
          <w:color w:val="000000"/>
          <w:sz w:val="24"/>
          <w:szCs w:val="24"/>
          <w:highlight w:val="yellow"/>
          <w:u w:val="single"/>
          <w:lang w:val="en-US" w:eastAsia="zh-CN"/>
        </w:rPr>
        <w:t>6</w:t>
      </w:r>
      <w:r>
        <w:rPr>
          <w:rFonts w:hint="eastAsia" w:asciiTheme="minorEastAsia" w:hAnsiTheme="minorEastAsia" w:eastAsiaTheme="minorEastAsia" w:cstheme="minorEastAsia"/>
          <w:b/>
          <w:bCs/>
          <w:color w:val="000000"/>
          <w:sz w:val="24"/>
          <w:szCs w:val="24"/>
          <w:highlight w:val="yellow"/>
          <w:u w:val="single"/>
        </w:rPr>
        <w:t>年</w:t>
      </w:r>
      <w:r>
        <w:rPr>
          <w:rFonts w:hint="eastAsia" w:asciiTheme="minorEastAsia" w:hAnsiTheme="minorEastAsia" w:eastAsiaTheme="minorEastAsia" w:cstheme="minorEastAsia"/>
          <w:b/>
          <w:bCs/>
          <w:color w:val="000000"/>
          <w:sz w:val="24"/>
          <w:szCs w:val="24"/>
          <w:highlight w:val="yellow"/>
          <w:u w:val="single"/>
          <w:lang w:val="en-US" w:eastAsia="zh-CN"/>
        </w:rPr>
        <w:t>9</w:t>
      </w:r>
      <w:r>
        <w:rPr>
          <w:rFonts w:hint="eastAsia" w:asciiTheme="minorEastAsia" w:hAnsiTheme="minorEastAsia" w:eastAsiaTheme="minorEastAsia" w:cstheme="minorEastAsia"/>
          <w:b/>
          <w:bCs/>
          <w:color w:val="000000"/>
          <w:sz w:val="24"/>
          <w:szCs w:val="24"/>
          <w:highlight w:val="yellow"/>
          <w:u w:val="single"/>
        </w:rPr>
        <w:t>月</w:t>
      </w:r>
      <w:r>
        <w:rPr>
          <w:rFonts w:hint="eastAsia" w:asciiTheme="minorEastAsia" w:hAnsiTheme="minorEastAsia" w:eastAsiaTheme="minorEastAsia" w:cstheme="minorEastAsia"/>
          <w:b/>
          <w:bCs/>
          <w:color w:val="000000"/>
          <w:sz w:val="24"/>
          <w:szCs w:val="24"/>
          <w:highlight w:val="yellow"/>
          <w:u w:val="single"/>
          <w:lang w:val="en-US" w:eastAsia="zh-CN"/>
        </w:rPr>
        <w:t>21</w:t>
      </w:r>
      <w:bookmarkStart w:id="32" w:name="_GoBack"/>
      <w:bookmarkEnd w:id="32"/>
      <w:r>
        <w:rPr>
          <w:rFonts w:hint="eastAsia" w:asciiTheme="minorEastAsia" w:hAnsiTheme="minorEastAsia" w:eastAsiaTheme="minorEastAsia" w:cstheme="minorEastAsia"/>
          <w:b/>
          <w:bCs/>
          <w:color w:val="000000"/>
          <w:sz w:val="24"/>
          <w:szCs w:val="24"/>
          <w:highlight w:val="yellow"/>
          <w:u w:val="single"/>
        </w:rPr>
        <w:t>日</w:t>
      </w:r>
      <w:r>
        <w:rPr>
          <w:rFonts w:hint="eastAsia" w:asciiTheme="minorEastAsia" w:hAnsiTheme="minorEastAsia" w:eastAsiaTheme="minorEastAsia" w:cstheme="minorEastAsia"/>
          <w:b/>
          <w:bCs/>
          <w:color w:val="000000"/>
          <w:sz w:val="24"/>
          <w:szCs w:val="24"/>
          <w:highlight w:val="yellow"/>
          <w:u w:val="single"/>
          <w:lang w:val="en-US" w:eastAsia="zh-CN"/>
        </w:rPr>
        <w:t>9</w:t>
      </w:r>
      <w:r>
        <w:rPr>
          <w:rFonts w:hint="eastAsia" w:asciiTheme="minorEastAsia" w:hAnsiTheme="minorEastAsia" w:eastAsiaTheme="minorEastAsia" w:cstheme="minorEastAsia"/>
          <w:b/>
          <w:bCs/>
          <w:color w:val="000000"/>
          <w:sz w:val="24"/>
          <w:szCs w:val="24"/>
          <w:highlight w:val="yellow"/>
          <w:u w:val="single"/>
        </w:rPr>
        <w:t xml:space="preserve">:00 </w:t>
      </w:r>
      <w:r>
        <w:rPr>
          <w:rFonts w:hint="eastAsia" w:asciiTheme="minorEastAsia" w:hAnsiTheme="minorEastAsia" w:eastAsiaTheme="minorEastAsia" w:cstheme="minorEastAsia"/>
          <w:b/>
          <w:color w:val="000000"/>
          <w:sz w:val="24"/>
          <w:szCs w:val="24"/>
          <w:highlight w:val="yellow"/>
          <w:u w:val="single"/>
        </w:rPr>
        <w:t>。</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5B9C0FB7">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p>
    <w:p w14:paraId="0A23C0D7">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单位名称：中国重汽集团济南动力有限公司</w:t>
      </w:r>
    </w:p>
    <w:p w14:paraId="059C65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收款账号：371899991010003152396</w:t>
      </w:r>
    </w:p>
    <w:p w14:paraId="3E5D2C87">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开户行名称：交通银行山东省分行</w:t>
      </w:r>
    </w:p>
    <w:p w14:paraId="669BB1C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bCs/>
          <w:color w:val="000000"/>
          <w:kern w:val="0"/>
          <w:sz w:val="24"/>
          <w:szCs w:val="24"/>
          <w:highlight w:val="yellow"/>
        </w:rPr>
      </w:pPr>
      <w:r>
        <w:rPr>
          <w:rFonts w:hint="eastAsia" w:ascii="宋体" w:hAnsi="宋体" w:eastAsia="宋体" w:cs="宋体"/>
          <w:b/>
          <w:bCs/>
          <w:color w:val="000000"/>
          <w:kern w:val="0"/>
          <w:sz w:val="24"/>
          <w:szCs w:val="24"/>
          <w:highlight w:val="yellow"/>
        </w:rPr>
        <w:t>开户行行号：301451000017</w:t>
      </w:r>
    </w:p>
    <w:p w14:paraId="6D1B5684">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BD4C3D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272031A3">
      <w:pPr>
        <w:pStyle w:val="151"/>
        <w:numPr>
          <w:ilvl w:val="0"/>
          <w:numId w:val="6"/>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5B643B97">
      <w:pPr>
        <w:pStyle w:val="151"/>
        <w:numPr>
          <w:ilvl w:val="0"/>
          <w:numId w:val="7"/>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73D0E26C">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1DE9F32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 xml:space="preserve"> 截至开标前3天，投标人无正当理由且未以书面形式递交说明而在投标截止日不来投标的；</w:t>
      </w:r>
    </w:p>
    <w:p w14:paraId="1B638225">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77CB7C58">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D72E01B">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69A453C8">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6914D304">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5BB7954A">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4E6E28C4">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3966A8F9">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6A250446">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66662032">
      <w:pPr>
        <w:pStyle w:val="151"/>
        <w:numPr>
          <w:ilvl w:val="0"/>
          <w:numId w:val="8"/>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3A0A8A59">
      <w:pPr>
        <w:pStyle w:val="151"/>
        <w:numPr>
          <w:ilvl w:val="0"/>
          <w:numId w:val="8"/>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134E6B77">
      <w:pPr>
        <w:pStyle w:val="151"/>
        <w:numPr>
          <w:ilvl w:val="0"/>
          <w:numId w:val="8"/>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若投标人已成为意向中标人，投标人必须无条件配合招标人完成核价流程的工作。</w:t>
      </w:r>
    </w:p>
    <w:p w14:paraId="46117E24">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55371443">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41B78866">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5CEFB2E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04346A46">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617F7CEB">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3FDAC2B2">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73844F6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1F55A904">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029966EE">
      <w:pPr>
        <w:pStyle w:val="24"/>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6A89D7E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5E062BB1">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24F84EE">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12528C2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049D1A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66BEAD71">
      <w:pPr>
        <w:pStyle w:val="24"/>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2E3C9F10">
      <w:pPr>
        <w:pStyle w:val="24"/>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C29EC17">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72FAC046">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5D7A3A92">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0AF201FA">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1EBBB2">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482D6ACB">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3" w:name="OLE_LINK26"/>
      <w:bookmarkStart w:id="14" w:name="OLE_LINK28"/>
      <w:bookmarkStart w:id="15" w:name="OLE_LINK25"/>
      <w:bookmarkStart w:id="16" w:name="OLE_LINK27"/>
      <w:bookmarkStart w:id="17" w:name="OLE_LINK29"/>
      <w:r>
        <w:rPr>
          <w:rFonts w:hint="eastAsia" w:ascii="宋体" w:hAnsi="宋体" w:eastAsia="宋体" w:cs="宋体"/>
          <w:bCs/>
          <w:sz w:val="24"/>
          <w:szCs w:val="24"/>
          <w:highlight w:val="none"/>
        </w:rPr>
        <w:t>；</w:t>
      </w:r>
      <w:bookmarkEnd w:id="13"/>
      <w:bookmarkEnd w:id="14"/>
      <w:bookmarkEnd w:id="15"/>
      <w:bookmarkEnd w:id="16"/>
      <w:bookmarkEnd w:id="17"/>
    </w:p>
    <w:p w14:paraId="2E81C72C">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40A50D63">
      <w:pPr>
        <w:pStyle w:val="24"/>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73713845">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09CA5B46">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82" w:firstLineChars="200"/>
        <w:textAlignment w:val="auto"/>
        <w:rPr>
          <w:rFonts w:hint="eastAsia" w:ascii="宋体" w:hAnsi="宋体" w:eastAsia="宋体" w:cs="宋体"/>
          <w:b/>
          <w:color w:val="auto"/>
          <w:sz w:val="44"/>
          <w:szCs w:val="36"/>
          <w:highlight w:val="none"/>
          <w:lang w:val="en-US" w:eastAsia="zh-CN"/>
        </w:rPr>
      </w:pPr>
      <w:r>
        <w:rPr>
          <w:rFonts w:ascii="宋体" w:hAnsi="宋体" w:eastAsia="宋体" w:cs="宋体"/>
          <w:sz w:val="24"/>
          <w:szCs w:val="24"/>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4"/>
          <w:szCs w:val="24"/>
          <w:lang w:eastAsia="zh-CN"/>
        </w:rPr>
        <w:t>。</w:t>
      </w:r>
      <w:r>
        <w:rPr>
          <w:rFonts w:hint="eastAsia" w:ascii="宋体" w:hAnsi="宋体" w:eastAsia="宋体" w:cs="宋体"/>
          <w:b/>
          <w:color w:val="auto"/>
          <w:sz w:val="44"/>
          <w:szCs w:val="36"/>
          <w:highlight w:val="none"/>
          <w:lang w:val="en-US" w:eastAsia="zh-CN"/>
        </w:rPr>
        <w:br w:type="page"/>
      </w:r>
    </w:p>
    <w:p w14:paraId="4C90C82C">
      <w:pPr>
        <w:pStyle w:val="24"/>
      </w:pPr>
    </w:p>
    <w:p w14:paraId="21DF26F9">
      <w:pPr>
        <w:jc w:val="center"/>
        <w:rPr>
          <w:rFonts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rPr>
        <w:t>中国重汽集团济南动力有限公司</w:t>
      </w:r>
    </w:p>
    <w:p w14:paraId="4BF3A237">
      <w:pPr>
        <w:jc w:val="center"/>
        <w:rPr>
          <w:rFonts w:hint="eastAsia" w:ascii="Calibri" w:hAnsi="宋体" w:eastAsia="宋体" w:cs="Times New Roman"/>
          <w:b/>
          <w:bCs/>
          <w:color w:val="000000"/>
          <w:spacing w:val="-8"/>
          <w:sz w:val="48"/>
          <w:szCs w:val="44"/>
        </w:rPr>
      </w:pPr>
      <w:r>
        <w:rPr>
          <w:rFonts w:hint="eastAsia" w:ascii="Calibri" w:hAnsi="宋体" w:eastAsia="宋体" w:cs="Times New Roman"/>
          <w:b/>
          <w:bCs/>
          <w:color w:val="000000"/>
          <w:spacing w:val="-8"/>
          <w:sz w:val="48"/>
          <w:szCs w:val="44"/>
        </w:rPr>
        <w:t>济南成型厂</w:t>
      </w:r>
      <w:r>
        <w:rPr>
          <w:rFonts w:hint="eastAsia" w:ascii="Calibri" w:hAnsi="宋体" w:cs="Times New Roman"/>
          <w:b/>
          <w:bCs/>
          <w:color w:val="000000"/>
          <w:spacing w:val="-8"/>
          <w:sz w:val="48"/>
          <w:szCs w:val="44"/>
          <w:lang w:val="en-US" w:eastAsia="zh-CN"/>
        </w:rPr>
        <w:t>颗粒物在线监测设备更新技改项目</w:t>
      </w:r>
    </w:p>
    <w:p w14:paraId="0DBDE4A6">
      <w:pPr>
        <w:pStyle w:val="24"/>
      </w:pPr>
    </w:p>
    <w:p w14:paraId="46FCB7A2">
      <w:pPr>
        <w:jc w:val="center"/>
        <w:rPr>
          <w:rFonts w:ascii="黑体" w:hAnsi="宋体" w:eastAsia="黑体" w:cs="Times New Roman"/>
          <w:color w:val="000000"/>
          <w:sz w:val="72"/>
          <w:szCs w:val="72"/>
        </w:rPr>
      </w:pPr>
    </w:p>
    <w:p w14:paraId="16D01C5E">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技</w:t>
      </w:r>
    </w:p>
    <w:p w14:paraId="363C8E07">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术</w:t>
      </w:r>
    </w:p>
    <w:p w14:paraId="67957404">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标</w:t>
      </w:r>
    </w:p>
    <w:p w14:paraId="7C4C5814">
      <w:pPr>
        <w:jc w:val="center"/>
        <w:rPr>
          <w:rFonts w:ascii="黑体" w:hAnsi="宋体" w:eastAsia="黑体" w:cs="Times New Roman"/>
          <w:color w:val="000000"/>
          <w:sz w:val="72"/>
          <w:szCs w:val="72"/>
        </w:rPr>
      </w:pPr>
      <w:r>
        <w:rPr>
          <w:rFonts w:hint="eastAsia" w:ascii="黑体" w:hAnsi="宋体" w:eastAsia="黑体" w:cs="Times New Roman"/>
          <w:color w:val="000000"/>
          <w:sz w:val="72"/>
          <w:szCs w:val="72"/>
        </w:rPr>
        <w:t>书</w:t>
      </w:r>
    </w:p>
    <w:p w14:paraId="25D33C95">
      <w:pPr>
        <w:pStyle w:val="24"/>
      </w:pPr>
    </w:p>
    <w:p w14:paraId="64B70D16">
      <w:pPr>
        <w:pStyle w:val="24"/>
        <w:rPr>
          <w:rFonts w:ascii="黑体" w:hAnsi="宋体" w:eastAsia="黑体" w:cs="Times New Roman"/>
          <w:color w:val="000000"/>
          <w:sz w:val="72"/>
          <w:szCs w:val="72"/>
        </w:rPr>
      </w:pPr>
    </w:p>
    <w:p w14:paraId="3B567B8D">
      <w:pPr>
        <w:spacing w:line="860" w:lineRule="exact"/>
        <w:rPr>
          <w:rFonts w:hint="eastAsia" w:ascii="华文仿宋" w:hAnsi="华文仿宋" w:eastAsia="华文仿宋"/>
          <w:b/>
          <w:bCs/>
          <w:sz w:val="32"/>
          <w:szCs w:val="28"/>
        </w:rPr>
      </w:pPr>
    </w:p>
    <w:p w14:paraId="674A9362">
      <w:pPr>
        <w:spacing w:line="860" w:lineRule="exact"/>
        <w:rPr>
          <w:rFonts w:ascii="华文仿宋" w:hAnsi="华文仿宋" w:eastAsia="华文仿宋"/>
          <w:b/>
          <w:bCs/>
          <w:sz w:val="32"/>
          <w:szCs w:val="28"/>
        </w:rPr>
      </w:pPr>
      <w:r>
        <w:rPr>
          <w:rFonts w:hint="eastAsia" w:ascii="华文仿宋" w:hAnsi="华文仿宋" w:eastAsia="华文仿宋"/>
          <w:b/>
          <w:bCs/>
          <w:sz w:val="32"/>
          <w:szCs w:val="28"/>
        </w:rPr>
        <w:t xml:space="preserve">     </w:t>
      </w:r>
    </w:p>
    <w:p w14:paraId="57A9498D">
      <w:pPr>
        <w:pStyle w:val="24"/>
        <w:rPr>
          <w:b/>
          <w:bCs/>
        </w:rPr>
      </w:pPr>
    </w:p>
    <w:p w14:paraId="0D04AB92">
      <w:pPr>
        <w:jc w:val="center"/>
        <w:rPr>
          <w:rFonts w:ascii="宋体" w:hAnsi="Calibri" w:eastAsia="宋体" w:cs="Times New Roman"/>
          <w:color w:val="000000"/>
          <w:sz w:val="28"/>
          <w:szCs w:val="28"/>
        </w:rPr>
      </w:pPr>
      <w:r>
        <w:rPr>
          <w:rFonts w:hint="eastAsia" w:ascii="宋体" w:hAnsi="宋体" w:eastAsia="宋体" w:cs="Times New Roman"/>
          <w:color w:val="000000"/>
          <w:sz w:val="28"/>
          <w:szCs w:val="28"/>
        </w:rPr>
        <w:t>招</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标</w:t>
      </w:r>
      <w:r>
        <w:rPr>
          <w:rFonts w:ascii="宋体" w:hAnsi="宋体" w:eastAsia="宋体" w:cs="Times New Roman"/>
          <w:color w:val="000000"/>
          <w:sz w:val="28"/>
          <w:szCs w:val="28"/>
        </w:rPr>
        <w:t xml:space="preserve"> </w:t>
      </w:r>
      <w:r>
        <w:rPr>
          <w:rFonts w:hint="eastAsia" w:ascii="宋体" w:hAnsi="宋体" w:eastAsia="宋体" w:cs="Times New Roman"/>
          <w:color w:val="000000"/>
          <w:sz w:val="28"/>
          <w:szCs w:val="28"/>
        </w:rPr>
        <w:t>人：中国重汽集团济南动力有限公司</w:t>
      </w:r>
    </w:p>
    <w:p w14:paraId="5B0368F8">
      <w:pPr>
        <w:jc w:val="center"/>
        <w:rPr>
          <w:rFonts w:hint="default" w:ascii="宋体" w:hAnsi="宋体" w:eastAsia="宋体" w:cs="宋体"/>
          <w:b/>
          <w:bCs/>
          <w:color w:val="000000"/>
          <w:sz w:val="44"/>
          <w:szCs w:val="44"/>
          <w:highlight w:val="none"/>
          <w:u w:val="none"/>
          <w:lang w:val="en-US" w:eastAsia="zh-CN" w:bidi="zh-CN"/>
        </w:rPr>
      </w:pPr>
      <w:r>
        <w:rPr>
          <w:rFonts w:hint="eastAsia" w:ascii="Calibri" w:hAnsi="Calibri" w:eastAsia="宋体" w:cs="Times New Roman"/>
          <w:color w:val="000000"/>
          <w:sz w:val="28"/>
          <w:szCs w:val="28"/>
        </w:rPr>
        <w:t>202</w:t>
      </w:r>
      <w:r>
        <w:rPr>
          <w:rFonts w:hint="eastAsia" w:ascii="Calibri" w:hAnsi="Calibri" w:eastAsia="宋体" w:cs="Times New Roman"/>
          <w:color w:val="000000"/>
          <w:sz w:val="28"/>
          <w:szCs w:val="28"/>
          <w:lang w:val="en-US" w:eastAsia="zh-CN"/>
        </w:rPr>
        <w:t>6</w:t>
      </w:r>
      <w:r>
        <w:rPr>
          <w:rFonts w:hint="eastAsia" w:ascii="Calibri" w:hAnsi="Calibri" w:eastAsia="宋体" w:cs="Times New Roman"/>
          <w:color w:val="000000"/>
          <w:sz w:val="28"/>
          <w:szCs w:val="28"/>
        </w:rPr>
        <w:t>年</w:t>
      </w:r>
      <w:r>
        <w:rPr>
          <w:rFonts w:hint="eastAsia" w:ascii="Calibri" w:hAnsi="Calibri" w:cs="Times New Roman"/>
          <w:color w:val="000000"/>
          <w:sz w:val="28"/>
          <w:szCs w:val="28"/>
          <w:lang w:val="en-US" w:eastAsia="zh-CN"/>
        </w:rPr>
        <w:t>9</w:t>
      </w:r>
      <w:r>
        <w:rPr>
          <w:rFonts w:hint="eastAsia" w:ascii="Calibri" w:hAnsi="Calibri" w:eastAsia="宋体" w:cs="Times New Roman"/>
          <w:color w:val="000000"/>
          <w:sz w:val="28"/>
          <w:szCs w:val="28"/>
        </w:rPr>
        <w:t>月</w:t>
      </w:r>
      <w:r>
        <w:rPr>
          <w:rFonts w:hint="default" w:ascii="宋体" w:hAnsi="宋体" w:eastAsia="宋体" w:cs="宋体"/>
          <w:b/>
          <w:bCs/>
          <w:color w:val="000000"/>
          <w:sz w:val="44"/>
          <w:szCs w:val="44"/>
          <w:highlight w:val="none"/>
          <w:u w:val="none"/>
          <w:lang w:val="en-US" w:eastAsia="zh-CN" w:bidi="zh-CN"/>
        </w:rPr>
        <w:br w:type="page"/>
      </w:r>
    </w:p>
    <w:p w14:paraId="72605B3C">
      <w:pPr>
        <w:keepNext/>
        <w:keepLines/>
        <w:spacing w:before="120" w:after="120" w:line="480" w:lineRule="exact"/>
        <w:jc w:val="center"/>
        <w:outlineLvl w:val="1"/>
        <w:rPr>
          <w:rFonts w:ascii="宋体" w:hAnsi="Calibri" w:eastAsia="宋体" w:cs="Times New Roman"/>
          <w:b/>
          <w:bCs/>
          <w:kern w:val="44"/>
          <w:sz w:val="28"/>
          <w:szCs w:val="28"/>
          <w:highlight w:val="none"/>
        </w:rPr>
      </w:pPr>
      <w:r>
        <w:rPr>
          <w:rFonts w:hint="eastAsia" w:ascii="黑体" w:eastAsia="黑体"/>
          <w:b/>
          <w:bCs/>
          <w:sz w:val="36"/>
          <w:szCs w:val="36"/>
        </w:rPr>
        <w:t xml:space="preserve"> </w:t>
      </w:r>
      <w:bookmarkStart w:id="18" w:name="_Toc169605877"/>
      <w:r>
        <w:rPr>
          <w:rFonts w:hint="eastAsia" w:ascii="宋体" w:hAnsi="宋体" w:eastAsia="宋体" w:cs="Times New Roman"/>
          <w:b/>
          <w:bCs/>
          <w:kern w:val="44"/>
          <w:sz w:val="28"/>
          <w:szCs w:val="28"/>
          <w:highlight w:val="none"/>
        </w:rPr>
        <w:t>第一章</w:t>
      </w:r>
      <w:r>
        <w:rPr>
          <w:rFonts w:ascii="宋体" w:hAnsi="宋体" w:eastAsia="宋体" w:cs="Times New Roman"/>
          <w:b/>
          <w:bCs/>
          <w:kern w:val="44"/>
          <w:sz w:val="28"/>
          <w:szCs w:val="28"/>
          <w:highlight w:val="none"/>
        </w:rPr>
        <w:t xml:space="preserve">  </w:t>
      </w:r>
      <w:r>
        <w:rPr>
          <w:rFonts w:hint="eastAsia" w:ascii="宋体" w:hAnsi="宋体" w:eastAsia="宋体" w:cs="Times New Roman"/>
          <w:b/>
          <w:bCs/>
          <w:kern w:val="44"/>
          <w:sz w:val="28"/>
          <w:szCs w:val="28"/>
          <w:highlight w:val="none"/>
        </w:rPr>
        <w:t>采购货物概况</w:t>
      </w:r>
      <w:bookmarkEnd w:id="18"/>
    </w:p>
    <w:p w14:paraId="0890D384">
      <w:pPr>
        <w:keepNext/>
        <w:keepLines/>
        <w:spacing w:before="120" w:after="120" w:line="480" w:lineRule="exact"/>
        <w:jc w:val="center"/>
        <w:outlineLvl w:val="2"/>
        <w:rPr>
          <w:rFonts w:ascii="Arial" w:hAnsi="Arial" w:eastAsia="宋体" w:cs="Times New Roman"/>
          <w:b/>
          <w:bCs/>
          <w:sz w:val="24"/>
          <w:highlight w:val="none"/>
        </w:rPr>
      </w:pPr>
      <w:bookmarkStart w:id="19" w:name="_Toc169605878"/>
      <w:r>
        <w:rPr>
          <w:rFonts w:hint="eastAsia" w:ascii="Arial" w:hAnsi="Arial" w:eastAsia="宋体" w:cs="Times New Roman"/>
          <w:b/>
          <w:bCs/>
          <w:sz w:val="24"/>
          <w:highlight w:val="none"/>
        </w:rPr>
        <w:t>第一节</w:t>
      </w:r>
      <w:r>
        <w:rPr>
          <w:rFonts w:ascii="Arial" w:hAnsi="Arial" w:eastAsia="宋体" w:cs="Times New Roman"/>
          <w:b/>
          <w:bCs/>
          <w:sz w:val="24"/>
          <w:highlight w:val="none"/>
        </w:rPr>
        <w:t xml:space="preserve">  </w:t>
      </w:r>
      <w:r>
        <w:rPr>
          <w:rFonts w:hint="eastAsia" w:ascii="Arial" w:hAnsi="Arial" w:eastAsia="宋体" w:cs="Times New Roman"/>
          <w:b/>
          <w:bCs/>
          <w:sz w:val="24"/>
          <w:highlight w:val="none"/>
        </w:rPr>
        <w:t>使用环境</w:t>
      </w:r>
      <w:bookmarkEnd w:id="19"/>
    </w:p>
    <w:p w14:paraId="0AB79557">
      <w:pPr>
        <w:spacing w:line="360" w:lineRule="auto"/>
        <w:outlineLvl w:val="3"/>
        <w:rPr>
          <w:rFonts w:ascii="宋体" w:hAnsi="宋体" w:eastAsia="宋体" w:cs="宋体"/>
          <w:color w:val="000000"/>
          <w:sz w:val="24"/>
          <w:highlight w:val="none"/>
        </w:rPr>
      </w:pPr>
      <w:r>
        <w:rPr>
          <w:rFonts w:hint="eastAsia" w:ascii="宋体" w:hAnsi="宋体" w:eastAsia="宋体" w:cs="宋体"/>
          <w:sz w:val="24"/>
          <w:highlight w:val="none"/>
        </w:rPr>
        <w:t>一、项目名称：</w:t>
      </w:r>
      <w:r>
        <w:rPr>
          <w:rFonts w:hint="eastAsia" w:ascii="宋体" w:hAnsi="宋体" w:eastAsia="宋体" w:cs="宋体"/>
          <w:sz w:val="24"/>
          <w:highlight w:val="none"/>
          <w:u w:val="single"/>
        </w:rPr>
        <w:t>济南成型厂</w:t>
      </w:r>
      <w:r>
        <w:rPr>
          <w:rFonts w:hint="eastAsia" w:ascii="宋体" w:hAnsi="宋体" w:cs="宋体"/>
          <w:sz w:val="24"/>
          <w:highlight w:val="none"/>
          <w:u w:val="single"/>
          <w:lang w:val="en-US" w:eastAsia="zh-CN"/>
        </w:rPr>
        <w:t>颗粒物在线监测设备更新技改项目</w:t>
      </w:r>
      <w:r>
        <w:rPr>
          <w:rFonts w:hint="eastAsia" w:ascii="宋体" w:hAnsi="宋体" w:eastAsia="宋体" w:cs="宋体"/>
          <w:color w:val="000000"/>
          <w:sz w:val="24"/>
          <w:highlight w:val="none"/>
        </w:rPr>
        <w:t>。</w:t>
      </w:r>
    </w:p>
    <w:p w14:paraId="779DF74A">
      <w:pPr>
        <w:spacing w:line="360" w:lineRule="auto"/>
        <w:outlineLvl w:val="3"/>
        <w:rPr>
          <w:rFonts w:ascii="宋体" w:hAnsi="宋体" w:eastAsia="宋体" w:cs="宋体"/>
          <w:sz w:val="24"/>
          <w:highlight w:val="none"/>
          <w:shd w:val="pct10" w:color="auto" w:fill="FFFFFF"/>
        </w:rPr>
      </w:pPr>
      <w:r>
        <w:rPr>
          <w:rFonts w:hint="eastAsia" w:ascii="宋体" w:hAnsi="宋体" w:eastAsia="宋体" w:cs="宋体"/>
          <w:sz w:val="24"/>
          <w:highlight w:val="none"/>
        </w:rPr>
        <w:t>二、建设地点：</w:t>
      </w:r>
      <w:r>
        <w:rPr>
          <w:rFonts w:hint="eastAsia" w:ascii="宋体" w:hAnsi="宋体" w:eastAsia="宋体" w:cs="宋体"/>
          <w:color w:val="000000"/>
          <w:sz w:val="24"/>
          <w:highlight w:val="none"/>
        </w:rPr>
        <w:t>济南成型厂</w:t>
      </w:r>
      <w:r>
        <w:rPr>
          <w:rFonts w:hint="eastAsia" w:ascii="宋体" w:hAnsi="宋体" w:cs="宋体"/>
          <w:color w:val="000000"/>
          <w:sz w:val="24"/>
          <w:highlight w:val="none"/>
          <w:lang w:val="en-US" w:eastAsia="zh-CN"/>
        </w:rPr>
        <w:t>铸造二部</w:t>
      </w:r>
      <w:r>
        <w:rPr>
          <w:rFonts w:hint="eastAsia" w:ascii="宋体" w:hAnsi="宋体" w:eastAsia="宋体" w:cs="宋体"/>
          <w:color w:val="000000"/>
          <w:sz w:val="24"/>
          <w:highlight w:val="none"/>
        </w:rPr>
        <w:t>。</w:t>
      </w:r>
    </w:p>
    <w:p w14:paraId="688A6C96">
      <w:pPr>
        <w:spacing w:line="360" w:lineRule="auto"/>
        <w:outlineLvl w:val="3"/>
        <w:rPr>
          <w:rFonts w:ascii="宋体" w:hAnsi="宋体" w:eastAsia="宋体" w:cs="宋体"/>
          <w:sz w:val="24"/>
          <w:highlight w:val="none"/>
        </w:rPr>
      </w:pPr>
      <w:r>
        <w:rPr>
          <w:rFonts w:hint="eastAsia" w:ascii="宋体" w:hAnsi="宋体" w:eastAsia="宋体" w:cs="宋体"/>
          <w:sz w:val="24"/>
          <w:highlight w:val="none"/>
        </w:rPr>
        <w:t>三、使用地点：</w:t>
      </w:r>
      <w:r>
        <w:rPr>
          <w:rFonts w:hint="eastAsia" w:ascii="宋体" w:hAnsi="宋体" w:eastAsia="宋体" w:cs="宋体"/>
          <w:color w:val="000000"/>
          <w:sz w:val="24"/>
          <w:highlight w:val="none"/>
        </w:rPr>
        <w:t>济南成型厂</w:t>
      </w:r>
      <w:r>
        <w:rPr>
          <w:rFonts w:hint="eastAsia" w:ascii="宋体" w:hAnsi="宋体" w:cs="宋体"/>
          <w:color w:val="000000"/>
          <w:sz w:val="24"/>
          <w:highlight w:val="none"/>
          <w:lang w:val="en-US" w:eastAsia="zh-CN"/>
        </w:rPr>
        <w:t>铸造二部</w:t>
      </w:r>
      <w:r>
        <w:rPr>
          <w:rFonts w:hint="eastAsia" w:ascii="宋体" w:hAnsi="宋体" w:eastAsia="宋体" w:cs="宋体"/>
          <w:color w:val="000000"/>
          <w:sz w:val="24"/>
          <w:highlight w:val="none"/>
        </w:rPr>
        <w:t>。</w:t>
      </w:r>
    </w:p>
    <w:p w14:paraId="5EED640D">
      <w:pPr>
        <w:spacing w:line="360" w:lineRule="auto"/>
        <w:outlineLvl w:val="3"/>
        <w:rPr>
          <w:rFonts w:ascii="宋体" w:hAnsi="宋体" w:eastAsia="宋体" w:cs="宋体"/>
          <w:bCs/>
          <w:sz w:val="24"/>
          <w:highlight w:val="none"/>
        </w:rPr>
      </w:pPr>
      <w:r>
        <w:rPr>
          <w:rFonts w:hint="eastAsia" w:ascii="宋体" w:hAnsi="宋体" w:eastAsia="宋体" w:cs="宋体"/>
          <w:sz w:val="24"/>
          <w:highlight w:val="none"/>
        </w:rPr>
        <w:t>四、工作制度：</w:t>
      </w:r>
      <w:r>
        <w:rPr>
          <w:rFonts w:hint="eastAsia" w:ascii="宋体" w:hAnsi="宋体" w:eastAsia="宋体" w:cs="宋体"/>
          <w:bCs/>
          <w:sz w:val="24"/>
          <w:highlight w:val="none"/>
        </w:rPr>
        <w:t>全年工作365天、双班制、设备年时基数</w:t>
      </w:r>
      <w:r>
        <w:rPr>
          <w:rFonts w:hint="eastAsia" w:ascii="宋体" w:hAnsi="宋体" w:cs="宋体"/>
          <w:bCs/>
          <w:sz w:val="24"/>
          <w:highlight w:val="none"/>
          <w:lang w:val="en-US" w:eastAsia="zh-CN"/>
        </w:rPr>
        <w:t>5840</w:t>
      </w:r>
      <w:r>
        <w:rPr>
          <w:rFonts w:hint="eastAsia" w:ascii="宋体" w:hAnsi="宋体" w:eastAsia="宋体" w:cs="宋体"/>
          <w:bCs/>
          <w:sz w:val="24"/>
          <w:highlight w:val="none"/>
        </w:rPr>
        <w:t>小时。</w:t>
      </w:r>
    </w:p>
    <w:p w14:paraId="149D5DEB">
      <w:pPr>
        <w:spacing w:line="360" w:lineRule="auto"/>
        <w:outlineLvl w:val="3"/>
        <w:rPr>
          <w:rFonts w:ascii="宋体" w:hAnsi="宋体" w:eastAsia="宋体" w:cs="宋体"/>
          <w:sz w:val="24"/>
          <w:highlight w:val="none"/>
        </w:rPr>
      </w:pPr>
      <w:r>
        <w:rPr>
          <w:rFonts w:hint="eastAsia" w:ascii="宋体" w:hAnsi="宋体" w:eastAsia="宋体" w:cs="宋体"/>
          <w:sz w:val="24"/>
          <w:highlight w:val="none"/>
        </w:rPr>
        <w:t>五、使用地点区域自然环境：</w:t>
      </w:r>
    </w:p>
    <w:p w14:paraId="07C8F5CB">
      <w:pPr>
        <w:spacing w:line="360" w:lineRule="auto"/>
        <w:ind w:firstLine="480" w:firstLineChars="200"/>
        <w:rPr>
          <w:rFonts w:ascii="宋体" w:hAnsi="宋体" w:eastAsia="宋体" w:cs="宋体"/>
          <w:bCs/>
          <w:sz w:val="24"/>
          <w:highlight w:val="none"/>
        </w:rPr>
      </w:pPr>
      <w:r>
        <w:rPr>
          <w:rFonts w:hint="eastAsia" w:ascii="宋体" w:hAnsi="宋体" w:eastAsia="宋体" w:cs="宋体"/>
          <w:bCs/>
          <w:sz w:val="24"/>
          <w:highlight w:val="none"/>
        </w:rPr>
        <w:t>5.1.海拔高度：1000m以下。</w:t>
      </w:r>
    </w:p>
    <w:p w14:paraId="6E46EFEC">
      <w:pPr>
        <w:spacing w:line="360" w:lineRule="auto"/>
        <w:ind w:left="719" w:leftChars="228" w:hanging="240" w:hangingChars="100"/>
        <w:rPr>
          <w:rFonts w:ascii="宋体" w:hAnsi="宋体" w:eastAsia="宋体" w:cs="宋体"/>
          <w:bCs/>
          <w:sz w:val="24"/>
          <w:highlight w:val="none"/>
        </w:rPr>
      </w:pPr>
      <w:r>
        <w:rPr>
          <w:rFonts w:hint="eastAsia" w:ascii="宋体" w:hAnsi="宋体" w:eastAsia="宋体" w:cs="宋体"/>
          <w:bCs/>
          <w:sz w:val="24"/>
          <w:highlight w:val="none"/>
        </w:rPr>
        <w:t>5.2.环境温度：室外极端最低温度-</w:t>
      </w:r>
      <w:r>
        <w:rPr>
          <w:rFonts w:ascii="宋体" w:hAnsi="宋体" w:eastAsia="宋体" w:cs="宋体"/>
          <w:bCs/>
          <w:sz w:val="24"/>
          <w:highlight w:val="none"/>
        </w:rPr>
        <w:t>20</w:t>
      </w:r>
      <w:r>
        <w:rPr>
          <w:rFonts w:hint="eastAsia" w:ascii="宋体" w:hAnsi="宋体" w:eastAsia="宋体" w:cs="宋体"/>
          <w:bCs/>
          <w:sz w:val="24"/>
          <w:highlight w:val="none"/>
        </w:rPr>
        <w:t>℃、极端最高温度50℃，昼夜最大温差25℃；室内温度-10～42℃。</w:t>
      </w:r>
    </w:p>
    <w:p w14:paraId="290ED4C6">
      <w:pPr>
        <w:spacing w:line="360" w:lineRule="auto"/>
        <w:ind w:firstLine="480" w:firstLineChars="200"/>
        <w:rPr>
          <w:rFonts w:ascii="宋体" w:hAnsi="宋体" w:eastAsia="宋体" w:cs="宋体"/>
          <w:bCs/>
          <w:sz w:val="24"/>
          <w:highlight w:val="none"/>
        </w:rPr>
      </w:pPr>
      <w:r>
        <w:rPr>
          <w:rFonts w:hint="eastAsia" w:ascii="宋体" w:hAnsi="宋体" w:eastAsia="宋体" w:cs="宋体"/>
          <w:bCs/>
          <w:sz w:val="24"/>
          <w:highlight w:val="none"/>
        </w:rPr>
        <w:t>5.3.相对湿度：年平均59%，最大95%、最小15%。</w:t>
      </w:r>
    </w:p>
    <w:p w14:paraId="385EFEF9">
      <w:pPr>
        <w:spacing w:line="360" w:lineRule="auto"/>
        <w:ind w:firstLine="480" w:firstLineChars="200"/>
        <w:rPr>
          <w:rFonts w:ascii="宋体" w:hAnsi="宋体" w:eastAsia="宋体" w:cs="宋体"/>
          <w:bCs/>
          <w:sz w:val="24"/>
          <w:highlight w:val="none"/>
        </w:rPr>
      </w:pPr>
      <w:r>
        <w:rPr>
          <w:rFonts w:hint="eastAsia" w:ascii="宋体" w:hAnsi="宋体" w:eastAsia="宋体" w:cs="宋体"/>
          <w:bCs/>
          <w:sz w:val="24"/>
          <w:highlight w:val="none"/>
        </w:rPr>
        <w:t>5.4  降雨量：日最大降雨量298.4mm、年总降雨量685mm。</w:t>
      </w:r>
    </w:p>
    <w:p w14:paraId="35F6CC86">
      <w:pPr>
        <w:spacing w:line="360" w:lineRule="auto"/>
        <w:ind w:firstLine="480" w:firstLineChars="200"/>
        <w:rPr>
          <w:rFonts w:ascii="宋体" w:hAnsi="宋体" w:eastAsia="宋体" w:cs="宋体"/>
          <w:bCs/>
          <w:sz w:val="24"/>
          <w:highlight w:val="none"/>
        </w:rPr>
      </w:pPr>
      <w:r>
        <w:rPr>
          <w:rFonts w:hint="eastAsia" w:ascii="宋体" w:hAnsi="宋体" w:eastAsia="宋体" w:cs="宋体"/>
          <w:bCs/>
          <w:sz w:val="24"/>
          <w:highlight w:val="none"/>
        </w:rPr>
        <w:t>5.5  最大风速：15m/s。</w:t>
      </w:r>
    </w:p>
    <w:p w14:paraId="2ADD35A6">
      <w:pPr>
        <w:spacing w:line="360" w:lineRule="auto"/>
        <w:ind w:firstLine="480" w:firstLineChars="200"/>
        <w:rPr>
          <w:rFonts w:ascii="宋体" w:hAnsi="宋体" w:eastAsia="宋体" w:cs="宋体"/>
          <w:bCs/>
          <w:sz w:val="24"/>
          <w:highlight w:val="none"/>
        </w:rPr>
      </w:pPr>
      <w:r>
        <w:rPr>
          <w:rFonts w:hint="eastAsia" w:ascii="宋体" w:hAnsi="宋体" w:eastAsia="宋体" w:cs="宋体"/>
          <w:bCs/>
          <w:sz w:val="24"/>
          <w:highlight w:val="none"/>
        </w:rPr>
        <w:t>5.6  最大积雪厚度：190mm。</w:t>
      </w:r>
    </w:p>
    <w:p w14:paraId="38605157">
      <w:pPr>
        <w:spacing w:line="360" w:lineRule="auto"/>
        <w:ind w:firstLine="480" w:firstLineChars="200"/>
        <w:rPr>
          <w:rFonts w:ascii="宋体" w:hAnsi="宋体" w:eastAsia="宋体" w:cs="宋体"/>
          <w:bCs/>
          <w:sz w:val="24"/>
          <w:highlight w:val="none"/>
        </w:rPr>
      </w:pPr>
      <w:r>
        <w:rPr>
          <w:rFonts w:hint="eastAsia" w:ascii="宋体" w:hAnsi="宋体" w:eastAsia="宋体" w:cs="宋体"/>
          <w:bCs/>
          <w:sz w:val="24"/>
          <w:highlight w:val="none"/>
        </w:rPr>
        <w:t>5.7  地震烈度：七度。</w:t>
      </w:r>
    </w:p>
    <w:p w14:paraId="5BE842E5">
      <w:pPr>
        <w:spacing w:line="360" w:lineRule="auto"/>
        <w:outlineLvl w:val="3"/>
        <w:rPr>
          <w:rFonts w:ascii="宋体" w:hAnsi="宋体" w:eastAsia="宋体" w:cs="宋体"/>
          <w:sz w:val="24"/>
          <w:highlight w:val="none"/>
        </w:rPr>
      </w:pPr>
      <w:r>
        <w:rPr>
          <w:rFonts w:hint="eastAsia" w:ascii="宋体" w:hAnsi="宋体" w:eastAsia="宋体" w:cs="宋体"/>
          <w:sz w:val="24"/>
          <w:highlight w:val="none"/>
        </w:rPr>
        <w:t xml:space="preserve">六、能源环境： </w:t>
      </w:r>
    </w:p>
    <w:p w14:paraId="7F5125AB">
      <w:pPr>
        <w:spacing w:line="360" w:lineRule="auto"/>
        <w:ind w:firstLine="480" w:firstLineChars="200"/>
        <w:rPr>
          <w:rFonts w:ascii="宋体" w:hAnsi="宋体" w:eastAsia="宋体" w:cs="宋体"/>
          <w:bCs/>
          <w:sz w:val="24"/>
          <w:highlight w:val="none"/>
        </w:rPr>
      </w:pPr>
      <w:r>
        <w:rPr>
          <w:rFonts w:hint="eastAsia" w:ascii="宋体" w:hAnsi="宋体" w:eastAsia="宋体" w:cs="宋体"/>
          <w:bCs/>
          <w:sz w:val="24"/>
          <w:highlight w:val="none"/>
        </w:rPr>
        <w:t>6.1  电力：中国制式，供电电压380V±15%/220V±15%，供电频率50Hz±2%。</w:t>
      </w:r>
    </w:p>
    <w:p w14:paraId="28691B9A">
      <w:pPr>
        <w:spacing w:line="360" w:lineRule="auto"/>
        <w:ind w:firstLine="480" w:firstLineChars="200"/>
        <w:rPr>
          <w:rFonts w:ascii="宋体" w:hAnsi="宋体" w:eastAsia="宋体" w:cs="宋体"/>
          <w:bCs/>
          <w:sz w:val="24"/>
          <w:highlight w:val="none"/>
        </w:rPr>
      </w:pPr>
      <w:r>
        <w:rPr>
          <w:rFonts w:hint="eastAsia" w:ascii="宋体" w:hAnsi="宋体" w:eastAsia="宋体" w:cs="宋体"/>
          <w:bCs/>
          <w:sz w:val="24"/>
          <w:highlight w:val="none"/>
        </w:rPr>
        <w:t>6.2  给水：市政自来水，0.20 MPa。</w:t>
      </w:r>
    </w:p>
    <w:p w14:paraId="77A9CE31">
      <w:pPr>
        <w:spacing w:line="360" w:lineRule="auto"/>
        <w:ind w:firstLine="480" w:firstLineChars="200"/>
        <w:rPr>
          <w:rFonts w:ascii="宋体" w:hAnsi="宋体" w:eastAsia="宋体" w:cs="宋体"/>
          <w:bCs/>
          <w:sz w:val="24"/>
          <w:highlight w:val="none"/>
        </w:rPr>
      </w:pPr>
      <w:r>
        <w:rPr>
          <w:rFonts w:hint="eastAsia" w:ascii="宋体" w:hAnsi="宋体" w:eastAsia="宋体" w:cs="宋体"/>
          <w:bCs/>
          <w:sz w:val="24"/>
          <w:highlight w:val="none"/>
        </w:rPr>
        <w:t>6.3  蒸汽：市政蒸汽，0.6 MPa±0.1。</w:t>
      </w:r>
    </w:p>
    <w:p w14:paraId="02FE25A9">
      <w:pPr>
        <w:spacing w:line="360" w:lineRule="auto"/>
        <w:ind w:firstLine="480" w:firstLineChars="200"/>
        <w:rPr>
          <w:rFonts w:ascii="宋体" w:hAnsi="宋体" w:eastAsia="宋体" w:cs="宋体"/>
          <w:bCs/>
          <w:sz w:val="24"/>
          <w:highlight w:val="none"/>
        </w:rPr>
      </w:pPr>
      <w:r>
        <w:rPr>
          <w:rFonts w:hint="eastAsia" w:ascii="宋体" w:hAnsi="宋体" w:eastAsia="宋体" w:cs="宋体"/>
          <w:bCs/>
          <w:sz w:val="24"/>
          <w:highlight w:val="none"/>
        </w:rPr>
        <w:t>6.4  压缩空气：自备空压机自产压缩空气，0.5-0.7MPa。</w:t>
      </w:r>
    </w:p>
    <w:p w14:paraId="399DC37B">
      <w:pPr>
        <w:bidi w:val="0"/>
        <w:rPr>
          <w:rFonts w:hint="eastAsia"/>
        </w:rPr>
      </w:pPr>
    </w:p>
    <w:p w14:paraId="52D5CD59">
      <w:pPr>
        <w:bidi w:val="0"/>
        <w:rPr>
          <w:rFonts w:hint="eastAsia"/>
        </w:rPr>
      </w:pPr>
    </w:p>
    <w:p w14:paraId="764999C9">
      <w:pPr>
        <w:bidi w:val="0"/>
        <w:rPr>
          <w:rFonts w:hint="eastAsia"/>
        </w:rPr>
      </w:pPr>
    </w:p>
    <w:p w14:paraId="7D0A0FEC">
      <w:pPr>
        <w:rPr>
          <w:rFonts w:hint="eastAsia" w:ascii="宋体" w:hAnsi="宋体" w:eastAsia="宋体" w:cs="Times New Roman"/>
          <w:b/>
          <w:bCs/>
          <w:sz w:val="24"/>
          <w:szCs w:val="24"/>
        </w:rPr>
      </w:pPr>
      <w:r>
        <w:rPr>
          <w:rFonts w:hint="eastAsia" w:ascii="宋体" w:hAnsi="宋体" w:eastAsia="宋体" w:cs="Times New Roman"/>
          <w:b/>
          <w:bCs/>
          <w:sz w:val="24"/>
          <w:szCs w:val="24"/>
        </w:rPr>
        <w:br w:type="page"/>
      </w:r>
    </w:p>
    <w:p w14:paraId="446933F0">
      <w:pPr>
        <w:keepNext/>
        <w:keepLines/>
        <w:spacing w:before="120" w:after="120" w:line="480" w:lineRule="exact"/>
        <w:jc w:val="center"/>
        <w:outlineLvl w:val="2"/>
        <w:rPr>
          <w:rFonts w:ascii="宋体" w:hAnsi="Arial" w:eastAsia="宋体" w:cs="Times New Roman"/>
          <w:b/>
          <w:bCs/>
          <w:sz w:val="24"/>
          <w:szCs w:val="24"/>
        </w:rPr>
      </w:pPr>
      <w:r>
        <w:rPr>
          <w:rFonts w:hint="eastAsia" w:ascii="宋体" w:hAnsi="宋体" w:eastAsia="宋体" w:cs="Times New Roman"/>
          <w:b/>
          <w:bCs/>
          <w:sz w:val="24"/>
          <w:szCs w:val="24"/>
        </w:rPr>
        <w:t>第二节</w:t>
      </w:r>
      <w:r>
        <w:rPr>
          <w:rFonts w:ascii="宋体" w:hAnsi="宋体" w:eastAsia="宋体" w:cs="Times New Roman"/>
          <w:b/>
          <w:bCs/>
          <w:sz w:val="24"/>
          <w:szCs w:val="24"/>
        </w:rPr>
        <w:t xml:space="preserve">  </w:t>
      </w:r>
      <w:r>
        <w:rPr>
          <w:rFonts w:hint="eastAsia" w:ascii="宋体" w:hAnsi="宋体" w:eastAsia="宋体" w:cs="Times New Roman"/>
          <w:b/>
          <w:bCs/>
          <w:sz w:val="24"/>
          <w:szCs w:val="24"/>
        </w:rPr>
        <w:t>采购货物概况</w:t>
      </w:r>
    </w:p>
    <w:p w14:paraId="705606E6">
      <w:pPr>
        <w:spacing w:line="360" w:lineRule="auto"/>
        <w:outlineLvl w:val="3"/>
        <w:rPr>
          <w:rFonts w:ascii="宋体" w:hAnsi="宋体" w:eastAsia="宋体" w:cs="宋体"/>
          <w:sz w:val="24"/>
          <w:szCs w:val="24"/>
          <w:u w:val="single"/>
          <w:shd w:val="pct10" w:color="auto" w:fill="FFFFFF"/>
        </w:rPr>
      </w:pPr>
      <w:r>
        <w:rPr>
          <w:rFonts w:hint="eastAsia" w:ascii="宋体" w:hAnsi="宋体" w:eastAsia="宋体" w:cs="宋体"/>
          <w:b/>
          <w:sz w:val="24"/>
          <w:szCs w:val="24"/>
        </w:rPr>
        <w:t>一、货物名称：</w:t>
      </w:r>
      <w:r>
        <w:rPr>
          <w:rFonts w:hint="eastAsia" w:ascii="宋体" w:hAnsi="宋体" w:cs="宋体"/>
          <w:bCs/>
          <w:sz w:val="24"/>
          <w:szCs w:val="24"/>
          <w:u w:val="single"/>
          <w:lang w:val="en-US" w:eastAsia="zh-CN"/>
        </w:rPr>
        <w:t>烟尘浓度连续监测仪、温压流一体机、湿氧一体机、数采仪</w:t>
      </w:r>
      <w:r>
        <w:rPr>
          <w:rFonts w:hint="eastAsia" w:ascii="宋体" w:hAnsi="宋体" w:eastAsia="宋体" w:cs="宋体"/>
          <w:b w:val="0"/>
          <w:bCs w:val="0"/>
          <w:sz w:val="24"/>
          <w:szCs w:val="24"/>
          <w:highlight w:val="none"/>
          <w:u w:val="single"/>
          <w:lang w:eastAsia="zh-CN"/>
        </w:rPr>
        <w:t>（</w:t>
      </w:r>
      <w:r>
        <w:rPr>
          <w:rFonts w:hint="eastAsia" w:ascii="宋体" w:hAnsi="宋体" w:eastAsia="宋体" w:cs="宋体"/>
          <w:sz w:val="24"/>
          <w:szCs w:val="24"/>
        </w:rPr>
        <w:t>详见下表）</w:t>
      </w:r>
    </w:p>
    <w:p w14:paraId="44B7E356">
      <w:pPr>
        <w:spacing w:line="420" w:lineRule="exact"/>
        <w:outlineLvl w:val="3"/>
        <w:rPr>
          <w:rFonts w:ascii="宋体" w:hAnsi="宋体" w:eastAsia="宋体" w:cs="宋体"/>
          <w:sz w:val="24"/>
          <w:szCs w:val="24"/>
        </w:rPr>
      </w:pPr>
      <w:r>
        <w:rPr>
          <w:rFonts w:hint="eastAsia" w:ascii="宋体" w:hAnsi="宋体" w:eastAsia="宋体" w:cs="宋体"/>
          <w:b/>
          <w:sz w:val="24"/>
          <w:szCs w:val="24"/>
        </w:rPr>
        <w:t>二、货物数量：</w:t>
      </w:r>
      <w:r>
        <w:rPr>
          <w:rFonts w:hint="eastAsia" w:ascii="宋体" w:hAnsi="宋体" w:cs="宋体"/>
          <w:b/>
          <w:sz w:val="24"/>
          <w:szCs w:val="24"/>
          <w:u w:val="single"/>
          <w:lang w:val="en-US" w:eastAsia="zh-CN"/>
        </w:rPr>
        <w:t>2</w:t>
      </w:r>
      <w:r>
        <w:rPr>
          <w:rFonts w:hint="eastAsia" w:ascii="宋体" w:hAnsi="宋体" w:eastAsia="宋体" w:cs="宋体"/>
          <w:sz w:val="24"/>
          <w:szCs w:val="24"/>
          <w:u w:val="single"/>
          <w:shd w:val="pct10" w:color="auto" w:fill="FFFFFF"/>
          <w:lang w:val="en-US" w:eastAsia="zh-CN"/>
        </w:rPr>
        <w:t>台</w:t>
      </w:r>
      <w:r>
        <w:rPr>
          <w:rFonts w:hint="eastAsia" w:ascii="宋体" w:hAnsi="宋体" w:eastAsia="宋体" w:cs="宋体"/>
          <w:sz w:val="24"/>
          <w:szCs w:val="24"/>
        </w:rPr>
        <w:t>（详见下表）</w:t>
      </w:r>
    </w:p>
    <w:p w14:paraId="77AD2E70">
      <w:pPr>
        <w:spacing w:line="420" w:lineRule="exact"/>
        <w:outlineLvl w:val="3"/>
        <w:rPr>
          <w:rFonts w:ascii="宋体" w:hAnsi="宋体" w:eastAsia="宋体" w:cs="宋体"/>
          <w:b/>
          <w:sz w:val="24"/>
          <w:szCs w:val="24"/>
        </w:rPr>
      </w:pPr>
      <w:r>
        <w:rPr>
          <w:rFonts w:hint="eastAsia" w:ascii="宋体" w:hAnsi="宋体" w:eastAsia="宋体" w:cs="宋体"/>
          <w:b/>
          <w:sz w:val="24"/>
          <w:szCs w:val="24"/>
        </w:rPr>
        <w:t>三、分投分中：不允许</w:t>
      </w:r>
    </w:p>
    <w:p w14:paraId="3764496D">
      <w:pPr>
        <w:jc w:val="center"/>
        <w:rPr>
          <w:rFonts w:ascii="宋体" w:hAnsi="宋体" w:eastAsia="宋体" w:cs="宋体"/>
          <w:sz w:val="24"/>
          <w:szCs w:val="24"/>
        </w:rPr>
      </w:pPr>
      <w:r>
        <w:rPr>
          <w:rFonts w:hint="eastAsia" w:ascii="宋体" w:hAnsi="宋体" w:eastAsia="宋体" w:cs="宋体"/>
          <w:color w:val="000000"/>
          <w:sz w:val="24"/>
          <w:szCs w:val="24"/>
        </w:rPr>
        <w:t>采购货物主要构成</w:t>
      </w:r>
      <w:r>
        <w:rPr>
          <w:rFonts w:hint="eastAsia" w:ascii="宋体" w:hAnsi="宋体" w:eastAsia="宋体" w:cs="宋体"/>
          <w:sz w:val="24"/>
          <w:szCs w:val="24"/>
        </w:rPr>
        <w:t>一览表：</w:t>
      </w:r>
    </w:p>
    <w:tbl>
      <w:tblPr>
        <w:tblStyle w:val="48"/>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2416"/>
        <w:gridCol w:w="2431"/>
        <w:gridCol w:w="869"/>
        <w:gridCol w:w="1513"/>
        <w:gridCol w:w="1341"/>
      </w:tblGrid>
      <w:tr w14:paraId="313F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381" w:type="pct"/>
            <w:vAlign w:val="center"/>
          </w:tcPr>
          <w:p w14:paraId="330CB117">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rPr>
            </w:pPr>
            <w:r>
              <w:rPr>
                <w:rFonts w:hint="eastAsia" w:ascii="宋体" w:hAnsi="宋体" w:eastAsia="宋体" w:cs="宋体"/>
                <w:sz w:val="24"/>
                <w:szCs w:val="24"/>
              </w:rPr>
              <w:t>序号</w:t>
            </w:r>
          </w:p>
        </w:tc>
        <w:tc>
          <w:tcPr>
            <w:tcW w:w="1301" w:type="pct"/>
            <w:vAlign w:val="center"/>
          </w:tcPr>
          <w:p w14:paraId="3B75A394">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设备名称</w:t>
            </w:r>
          </w:p>
        </w:tc>
        <w:tc>
          <w:tcPr>
            <w:tcW w:w="1309" w:type="pct"/>
            <w:vAlign w:val="center"/>
          </w:tcPr>
          <w:p w14:paraId="73B71036">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品牌</w:t>
            </w:r>
          </w:p>
        </w:tc>
        <w:tc>
          <w:tcPr>
            <w:tcW w:w="468" w:type="pct"/>
            <w:vAlign w:val="center"/>
          </w:tcPr>
          <w:p w14:paraId="027393BD">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数量</w:t>
            </w:r>
          </w:p>
        </w:tc>
        <w:tc>
          <w:tcPr>
            <w:tcW w:w="815" w:type="pct"/>
            <w:vAlign w:val="center"/>
          </w:tcPr>
          <w:p w14:paraId="399FC1F9">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安装地点</w:t>
            </w:r>
          </w:p>
        </w:tc>
        <w:tc>
          <w:tcPr>
            <w:tcW w:w="722" w:type="pct"/>
            <w:vAlign w:val="center"/>
          </w:tcPr>
          <w:p w14:paraId="5F522426">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供货方式</w:t>
            </w:r>
          </w:p>
        </w:tc>
      </w:tr>
      <w:tr w14:paraId="39AEC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81" w:type="pct"/>
            <w:vAlign w:val="center"/>
          </w:tcPr>
          <w:p w14:paraId="349654A1">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p>
        </w:tc>
        <w:tc>
          <w:tcPr>
            <w:tcW w:w="1301" w:type="pct"/>
            <w:vAlign w:val="center"/>
          </w:tcPr>
          <w:p w14:paraId="344C8749">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烟尘浓度连续监测仪</w:t>
            </w:r>
          </w:p>
        </w:tc>
        <w:tc>
          <w:tcPr>
            <w:tcW w:w="1309" w:type="pct"/>
            <w:vAlign w:val="center"/>
          </w:tcPr>
          <w:p w14:paraId="15C17CDD">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安荣信、翠云谷等</w:t>
            </w:r>
          </w:p>
        </w:tc>
        <w:tc>
          <w:tcPr>
            <w:tcW w:w="468" w:type="pct"/>
            <w:vAlign w:val="center"/>
          </w:tcPr>
          <w:p w14:paraId="5920E0D9">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2台</w:t>
            </w:r>
          </w:p>
        </w:tc>
        <w:tc>
          <w:tcPr>
            <w:tcW w:w="815" w:type="pct"/>
            <w:vAlign w:val="center"/>
          </w:tcPr>
          <w:p w14:paraId="01117FFB">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济南成型厂</w:t>
            </w:r>
          </w:p>
        </w:tc>
        <w:tc>
          <w:tcPr>
            <w:tcW w:w="722" w:type="pct"/>
            <w:vAlign w:val="center"/>
          </w:tcPr>
          <w:p w14:paraId="32BD8A73">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交钥匙</w:t>
            </w:r>
          </w:p>
        </w:tc>
      </w:tr>
      <w:tr w14:paraId="7FF6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81" w:type="pct"/>
            <w:vAlign w:val="center"/>
          </w:tcPr>
          <w:p w14:paraId="434FA91A">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p>
        </w:tc>
        <w:tc>
          <w:tcPr>
            <w:tcW w:w="1301" w:type="pct"/>
            <w:vAlign w:val="center"/>
          </w:tcPr>
          <w:p w14:paraId="5ACA1260">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温压流一体机</w:t>
            </w:r>
          </w:p>
        </w:tc>
        <w:tc>
          <w:tcPr>
            <w:tcW w:w="1309" w:type="pct"/>
            <w:vAlign w:val="center"/>
          </w:tcPr>
          <w:p w14:paraId="70180201">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安荣信、翠云谷等</w:t>
            </w:r>
          </w:p>
        </w:tc>
        <w:tc>
          <w:tcPr>
            <w:tcW w:w="468" w:type="pct"/>
            <w:vAlign w:val="center"/>
          </w:tcPr>
          <w:p w14:paraId="259204F8">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2台</w:t>
            </w:r>
          </w:p>
        </w:tc>
        <w:tc>
          <w:tcPr>
            <w:tcW w:w="815" w:type="pct"/>
            <w:vAlign w:val="center"/>
          </w:tcPr>
          <w:p w14:paraId="0295FAA4">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济南成型厂</w:t>
            </w:r>
          </w:p>
        </w:tc>
        <w:tc>
          <w:tcPr>
            <w:tcW w:w="722" w:type="pct"/>
            <w:vAlign w:val="center"/>
          </w:tcPr>
          <w:p w14:paraId="4CCF9C61">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交钥匙</w:t>
            </w:r>
          </w:p>
        </w:tc>
      </w:tr>
      <w:tr w14:paraId="7625E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81" w:type="pct"/>
            <w:vAlign w:val="center"/>
          </w:tcPr>
          <w:p w14:paraId="117CBE8D">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1301" w:type="pct"/>
            <w:vAlign w:val="center"/>
          </w:tcPr>
          <w:p w14:paraId="53164509">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湿氧一体机</w:t>
            </w:r>
          </w:p>
        </w:tc>
        <w:tc>
          <w:tcPr>
            <w:tcW w:w="1309" w:type="pct"/>
            <w:vAlign w:val="center"/>
          </w:tcPr>
          <w:p w14:paraId="41175C6A">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安荣信、翠云谷等</w:t>
            </w:r>
          </w:p>
        </w:tc>
        <w:tc>
          <w:tcPr>
            <w:tcW w:w="468" w:type="pct"/>
            <w:vAlign w:val="center"/>
          </w:tcPr>
          <w:p w14:paraId="35786DD5">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2台</w:t>
            </w:r>
          </w:p>
        </w:tc>
        <w:tc>
          <w:tcPr>
            <w:tcW w:w="815" w:type="pct"/>
            <w:vAlign w:val="center"/>
          </w:tcPr>
          <w:p w14:paraId="7828B960">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济南成型厂</w:t>
            </w:r>
          </w:p>
        </w:tc>
        <w:tc>
          <w:tcPr>
            <w:tcW w:w="722" w:type="pct"/>
            <w:vAlign w:val="center"/>
          </w:tcPr>
          <w:p w14:paraId="3B662FB3">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交钥匙</w:t>
            </w:r>
          </w:p>
        </w:tc>
      </w:tr>
      <w:tr w14:paraId="7E9C9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81" w:type="pct"/>
            <w:vAlign w:val="center"/>
          </w:tcPr>
          <w:p w14:paraId="2A95C8A2">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1301" w:type="pct"/>
            <w:vAlign w:val="center"/>
          </w:tcPr>
          <w:p w14:paraId="67419CA3">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数采仪</w:t>
            </w:r>
          </w:p>
        </w:tc>
        <w:tc>
          <w:tcPr>
            <w:tcW w:w="1309" w:type="pct"/>
            <w:vAlign w:val="center"/>
          </w:tcPr>
          <w:p w14:paraId="2F5CFA4A">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博控、三希、万维等</w:t>
            </w:r>
          </w:p>
        </w:tc>
        <w:tc>
          <w:tcPr>
            <w:tcW w:w="468" w:type="pct"/>
            <w:vAlign w:val="center"/>
          </w:tcPr>
          <w:p w14:paraId="5D6AF8C1">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2台</w:t>
            </w:r>
          </w:p>
        </w:tc>
        <w:tc>
          <w:tcPr>
            <w:tcW w:w="815" w:type="pct"/>
            <w:vAlign w:val="center"/>
          </w:tcPr>
          <w:p w14:paraId="37A42B2E">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济南成型厂</w:t>
            </w:r>
          </w:p>
        </w:tc>
        <w:tc>
          <w:tcPr>
            <w:tcW w:w="722" w:type="pct"/>
            <w:vAlign w:val="center"/>
          </w:tcPr>
          <w:p w14:paraId="7573A572">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交钥匙</w:t>
            </w:r>
          </w:p>
        </w:tc>
      </w:tr>
      <w:tr w14:paraId="42AE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381" w:type="pct"/>
            <w:vAlign w:val="center"/>
          </w:tcPr>
          <w:p w14:paraId="17E53E8B">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1301" w:type="pct"/>
            <w:vAlign w:val="center"/>
          </w:tcPr>
          <w:p w14:paraId="4E47679C">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安装、调试</w:t>
            </w:r>
          </w:p>
        </w:tc>
        <w:tc>
          <w:tcPr>
            <w:tcW w:w="1309" w:type="pct"/>
            <w:vAlign w:val="center"/>
          </w:tcPr>
          <w:p w14:paraId="3C30C94A">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p>
        </w:tc>
        <w:tc>
          <w:tcPr>
            <w:tcW w:w="468" w:type="pct"/>
            <w:vAlign w:val="center"/>
          </w:tcPr>
          <w:p w14:paraId="5CF96AA9">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1套</w:t>
            </w:r>
          </w:p>
        </w:tc>
        <w:tc>
          <w:tcPr>
            <w:tcW w:w="815" w:type="pct"/>
            <w:vAlign w:val="center"/>
          </w:tcPr>
          <w:p w14:paraId="5C07CD45">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济南成型厂</w:t>
            </w:r>
          </w:p>
        </w:tc>
        <w:tc>
          <w:tcPr>
            <w:tcW w:w="722" w:type="pct"/>
            <w:vAlign w:val="center"/>
          </w:tcPr>
          <w:p w14:paraId="7786EC4F">
            <w:pPr>
              <w:keepNext w:val="0"/>
              <w:keepLines w:val="0"/>
              <w:pageBreakBefore w:val="0"/>
              <w:kinsoku/>
              <w:wordWrap/>
              <w:topLinePunct w:val="0"/>
              <w:autoSpaceDE/>
              <w:autoSpaceDN/>
              <w:bidi w:val="0"/>
              <w:snapToGrid/>
              <w:spacing w:line="560" w:lineRule="exact"/>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交钥匙</w:t>
            </w:r>
          </w:p>
        </w:tc>
      </w:tr>
    </w:tbl>
    <w:p w14:paraId="65D1B69E">
      <w:pPr>
        <w:spacing w:line="360" w:lineRule="auto"/>
        <w:ind w:firstLine="480" w:firstLineChars="200"/>
        <w:rPr>
          <w:rFonts w:hint="eastAsia" w:ascii="宋体" w:hAnsi="宋体" w:eastAsia="宋体" w:cs="宋体"/>
          <w:bCs/>
          <w:sz w:val="24"/>
          <w:szCs w:val="24"/>
        </w:rPr>
      </w:pPr>
    </w:p>
    <w:p w14:paraId="363A7985">
      <w:pPr>
        <w:spacing w:line="360" w:lineRule="auto"/>
        <w:ind w:firstLine="480" w:firstLineChars="200"/>
        <w:rPr>
          <w:rFonts w:ascii="宋体" w:hAnsi="宋体" w:eastAsia="宋体" w:cs="宋体"/>
          <w:bCs/>
          <w:sz w:val="24"/>
          <w:szCs w:val="24"/>
        </w:rPr>
      </w:pPr>
      <w:r>
        <w:rPr>
          <w:rFonts w:hint="eastAsia" w:ascii="宋体" w:hAnsi="宋体" w:eastAsia="宋体" w:cs="宋体"/>
          <w:bCs/>
          <w:sz w:val="24"/>
          <w:szCs w:val="24"/>
        </w:rPr>
        <w:t>备注：1.本表所列采购货物仅为货物的主要构成部分，应配套供货以及招标人所列其它货物（或设备）和服务，请投标人认真阅读“供货范围”。若有异议，不管是多么微小，都应在投标文件“商务偏离”章节中予以详细说明。</w:t>
      </w:r>
    </w:p>
    <w:p w14:paraId="122ACB26">
      <w:pPr>
        <w:numPr>
          <w:ilvl w:val="0"/>
          <w:numId w:val="0"/>
        </w:numPr>
        <w:spacing w:line="360" w:lineRule="auto"/>
        <w:ind w:left="630" w:leftChars="0"/>
        <w:rPr>
          <w:szCs w:val="21"/>
        </w:rPr>
      </w:pPr>
      <w:r>
        <w:rPr>
          <w:rFonts w:hint="eastAsia" w:ascii="宋体" w:hAnsi="宋体" w:cs="宋体"/>
          <w:bCs/>
          <w:sz w:val="24"/>
          <w:szCs w:val="24"/>
          <w:lang w:val="en-US" w:eastAsia="zh-CN"/>
        </w:rPr>
        <w:t>2.</w:t>
      </w:r>
      <w:r>
        <w:rPr>
          <w:rFonts w:hint="eastAsia" w:ascii="宋体" w:hAnsi="宋体" w:eastAsia="宋体" w:cs="宋体"/>
          <w:bCs/>
          <w:sz w:val="24"/>
          <w:szCs w:val="24"/>
        </w:rPr>
        <w:t>本表“供货方式”指：交钥匙方式——包括制造、运输、定点卸货、安装、调试</w:t>
      </w:r>
      <w:r>
        <w:rPr>
          <w:rFonts w:hint="eastAsia" w:ascii="宋体" w:hAnsi="宋体" w:eastAsia="宋体" w:cs="宋体"/>
          <w:bCs/>
          <w:sz w:val="24"/>
          <w:szCs w:val="24"/>
          <w:lang w:eastAsia="zh-CN"/>
        </w:rPr>
        <w:t>、</w:t>
      </w:r>
      <w:r>
        <w:rPr>
          <w:rFonts w:hint="eastAsia" w:ascii="宋体" w:hAnsi="宋体" w:eastAsia="宋体" w:cs="宋体"/>
          <w:bCs/>
          <w:sz w:val="24"/>
          <w:szCs w:val="24"/>
          <w:lang w:val="en-US" w:eastAsia="zh-CN"/>
        </w:rPr>
        <w:t>相关设备线路，特种设备登记检验等</w:t>
      </w:r>
      <w:r>
        <w:rPr>
          <w:rFonts w:hint="eastAsia" w:ascii="宋体" w:hAnsi="宋体" w:eastAsia="宋体" w:cs="宋体"/>
          <w:bCs/>
          <w:sz w:val="24"/>
          <w:szCs w:val="24"/>
        </w:rPr>
        <w:t>。</w:t>
      </w:r>
    </w:p>
    <w:p w14:paraId="7A06D69F">
      <w:pPr>
        <w:spacing w:line="360" w:lineRule="auto"/>
        <w:outlineLvl w:val="3"/>
        <w:rPr>
          <w:rFonts w:ascii="宋体" w:hAnsi="宋体" w:eastAsia="宋体" w:cs="宋体"/>
          <w:b/>
          <w:sz w:val="24"/>
          <w:szCs w:val="24"/>
        </w:rPr>
      </w:pPr>
      <w:r>
        <w:rPr>
          <w:rFonts w:hint="eastAsia" w:ascii="宋体" w:hAnsi="宋体" w:eastAsia="宋体" w:cs="宋体"/>
          <w:b/>
          <w:sz w:val="24"/>
          <w:szCs w:val="24"/>
        </w:rPr>
        <w:t>四、采购货物特别说明</w:t>
      </w:r>
    </w:p>
    <w:p w14:paraId="1CE3C9C7">
      <w:pPr>
        <w:spacing w:line="360" w:lineRule="auto"/>
        <w:ind w:firstLine="480" w:firstLineChars="200"/>
        <w:rPr>
          <w:rFonts w:ascii="宋体" w:hAnsi="宋体" w:eastAsia="宋体" w:cs="Times New Roman"/>
          <w:szCs w:val="20"/>
        </w:rPr>
      </w:pPr>
      <w:r>
        <w:rPr>
          <w:rFonts w:hint="eastAsia" w:ascii="宋体" w:hAnsi="宋体" w:eastAsia="宋体" w:cs="宋体"/>
          <w:sz w:val="24"/>
          <w:szCs w:val="24"/>
        </w:rPr>
        <w:t>招标人所列货物的名称和规格型号，如为某一供应商所特有，则该名称和规格型号可作参考，但要求投标人所提供的货物必须满足本技术标书实质性要求</w:t>
      </w:r>
      <w:r>
        <w:rPr>
          <w:rFonts w:hint="eastAsia" w:ascii="宋体" w:hAnsi="宋体" w:eastAsia="宋体" w:cs="Times New Roman"/>
          <w:szCs w:val="20"/>
        </w:rPr>
        <w:t>。</w:t>
      </w:r>
    </w:p>
    <w:p w14:paraId="39A7C3D8">
      <w:pPr>
        <w:widowControl/>
        <w:jc w:val="left"/>
      </w:pPr>
      <w:r>
        <w:br w:type="page"/>
      </w:r>
    </w:p>
    <w:p w14:paraId="1BB92EA2">
      <w:pPr>
        <w:keepNext/>
        <w:keepLines/>
        <w:spacing w:before="120" w:after="120" w:line="480" w:lineRule="exact"/>
        <w:jc w:val="center"/>
        <w:outlineLvl w:val="1"/>
        <w:rPr>
          <w:rFonts w:ascii="宋体" w:hAnsi="Calibri" w:eastAsia="宋体" w:cs="Times New Roman"/>
          <w:bCs/>
          <w:kern w:val="44"/>
          <w:sz w:val="28"/>
          <w:szCs w:val="28"/>
        </w:rPr>
      </w:pPr>
      <w:bookmarkStart w:id="20" w:name="_Toc169605880"/>
      <w:r>
        <w:rPr>
          <w:rFonts w:hint="eastAsia" w:ascii="宋体" w:hAnsi="宋体" w:eastAsia="宋体" w:cs="Times New Roman"/>
          <w:b/>
          <w:bCs/>
          <w:kern w:val="44"/>
          <w:sz w:val="28"/>
          <w:szCs w:val="28"/>
        </w:rPr>
        <w:t>第二章</w:t>
      </w:r>
      <w:r>
        <w:rPr>
          <w:rFonts w:ascii="宋体" w:hAnsi="宋体" w:eastAsia="宋体" w:cs="Times New Roman"/>
          <w:b/>
          <w:bCs/>
          <w:kern w:val="44"/>
          <w:sz w:val="28"/>
          <w:szCs w:val="28"/>
        </w:rPr>
        <w:t xml:space="preserve">  </w:t>
      </w:r>
      <w:r>
        <w:rPr>
          <w:rFonts w:hint="eastAsia" w:ascii="宋体" w:hAnsi="宋体" w:eastAsia="宋体" w:cs="Times New Roman"/>
          <w:b/>
          <w:bCs/>
          <w:kern w:val="44"/>
          <w:sz w:val="28"/>
          <w:szCs w:val="28"/>
        </w:rPr>
        <w:t>技术要求</w:t>
      </w:r>
      <w:bookmarkEnd w:id="20"/>
    </w:p>
    <w:p w14:paraId="4AA9C571">
      <w:pPr>
        <w:pStyle w:val="236"/>
        <w:numPr>
          <w:ilvl w:val="0"/>
          <w:numId w:val="9"/>
        </w:numPr>
        <w:spacing w:line="360" w:lineRule="auto"/>
        <w:ind w:left="0" w:leftChars="0" w:firstLine="420" w:firstLineChars="0"/>
        <w:outlineLvl w:val="2"/>
        <w:rPr>
          <w:rFonts w:eastAsia="宋体" w:cs="宋体"/>
          <w:b/>
          <w:bCs w:val="0"/>
          <w:sz w:val="24"/>
          <w:szCs w:val="24"/>
        </w:rPr>
      </w:pPr>
      <w:r>
        <w:rPr>
          <w:rFonts w:hint="eastAsia" w:eastAsia="宋体" w:cs="宋体"/>
          <w:b/>
          <w:bCs w:val="0"/>
          <w:sz w:val="24"/>
          <w:szCs w:val="24"/>
        </w:rPr>
        <w:t>特别提示</w:t>
      </w:r>
    </w:p>
    <w:p w14:paraId="76E25B80">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    1.本章技术要求，仅对功能、设计、结构、性能、安装和试验检验等方面，提出了最低和一般性的技术要求，并未对一切技术细节作出规定。</w:t>
      </w:r>
    </w:p>
    <w:p w14:paraId="425C4323">
      <w:pPr>
        <w:spacing w:line="360" w:lineRule="auto"/>
        <w:rPr>
          <w:rFonts w:ascii="宋体" w:hAnsi="宋体" w:eastAsia="宋体" w:cs="Times New Roman"/>
          <w:sz w:val="24"/>
          <w:szCs w:val="24"/>
        </w:rPr>
      </w:pPr>
      <w:r>
        <w:rPr>
          <w:rFonts w:hint="eastAsia" w:ascii="宋体" w:hAnsi="宋体" w:eastAsia="宋体" w:cs="Times New Roman"/>
          <w:sz w:val="24"/>
          <w:szCs w:val="24"/>
        </w:rPr>
        <w:t xml:space="preserve">    2.本技术要求所使用的标准、规范等，如与投标人所执行的标准、规范不一致时，应按高于本技术要求所列的标准、规范执行。</w:t>
      </w:r>
    </w:p>
    <w:p w14:paraId="0A2DDA45">
      <w:pPr>
        <w:spacing w:line="360" w:lineRule="auto"/>
        <w:ind w:firstLine="480" w:firstLineChars="200"/>
        <w:rPr>
          <w:rFonts w:ascii="宋体" w:hAnsi="Calibri"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.投标人认为所供货物必需由招标人配备、解决或提供的其它要求，如设备基础隔振和减振设施、软化水、洁净气源等，均应在投标文件“技术偏离”中予以充分说明。</w:t>
      </w:r>
    </w:p>
    <w:p w14:paraId="7F26E2CF">
      <w:pPr>
        <w:spacing w:line="360" w:lineRule="auto"/>
        <w:ind w:firstLine="480" w:firstLineChars="200"/>
        <w:rPr>
          <w:rFonts w:ascii="宋体" w:hAnsi="Calibri" w:eastAsia="宋体" w:cs="Times New Roman"/>
          <w:sz w:val="24"/>
          <w:szCs w:val="24"/>
        </w:rPr>
      </w:pPr>
      <w:r>
        <w:rPr>
          <w:rFonts w:ascii="宋体" w:hAnsi="宋体" w:eastAsia="宋体" w:cs="Times New Roman"/>
          <w:bCs/>
          <w:sz w:val="24"/>
          <w:szCs w:val="24"/>
        </w:rPr>
        <w:t>4</w:t>
      </w:r>
      <w:r>
        <w:rPr>
          <w:rFonts w:hint="eastAsia" w:ascii="宋体" w:hAnsi="宋体" w:eastAsia="宋体" w:cs="Times New Roman"/>
          <w:bCs/>
          <w:sz w:val="24"/>
          <w:szCs w:val="24"/>
        </w:rPr>
        <w:t>.投标人应根据招投标货物具体要求，提出</w:t>
      </w:r>
      <w:r>
        <w:rPr>
          <w:rFonts w:hint="eastAsia" w:ascii="宋体" w:hAnsi="宋体" w:eastAsia="宋体" w:cs="Times New Roman"/>
          <w:sz w:val="24"/>
          <w:szCs w:val="24"/>
        </w:rPr>
        <w:t>对厂房、设备基础（或安装平台）、公用设施、消防、环保等超出招标文件、投标文件、答疑文件、技术交流文件、技术协议书和合同等规定的、有特殊需要的解释、说明和要求。</w:t>
      </w:r>
    </w:p>
    <w:p w14:paraId="67C21823">
      <w:pPr>
        <w:spacing w:line="360" w:lineRule="auto"/>
        <w:rPr>
          <w:rFonts w:ascii="宋体" w:hAnsi="Calibri" w:eastAsia="宋体" w:cs="Times New Roman"/>
          <w:sz w:val="24"/>
          <w:szCs w:val="24"/>
        </w:rPr>
      </w:pPr>
      <w:r>
        <w:rPr>
          <w:rFonts w:hint="eastAsia" w:ascii="宋体" w:hAnsi="宋体" w:eastAsia="宋体" w:cs="Times New Roman"/>
          <w:sz w:val="24"/>
          <w:szCs w:val="24"/>
        </w:rPr>
        <w:t xml:space="preserve">    5.无论是否有技术偏离，投标人均应在投标文件“技术偏离”中明确作出有无说明。若有异议，不管是多么微小，投标人必须予以明确和详细的说明或澄清。</w:t>
      </w:r>
    </w:p>
    <w:p w14:paraId="5F1B71EE">
      <w:pPr>
        <w:spacing w:line="360" w:lineRule="auto"/>
        <w:ind w:firstLine="480" w:firstLineChars="200"/>
        <w:rPr>
          <w:rFonts w:ascii="宋体" w:hAnsi="Calibri"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.为避免投标人优势在招标评审时漏项，质保期超出本技术标书要求的，应当在投标文件“技术偏离”中特别注明。</w:t>
      </w:r>
    </w:p>
    <w:p w14:paraId="67A91BD3">
      <w:pPr>
        <w:spacing w:line="360" w:lineRule="auto"/>
        <w:ind w:firstLine="480" w:firstLineChars="200"/>
        <w:rPr>
          <w:rFonts w:ascii="宋体" w:hAnsi="Calibri" w:eastAsia="宋体" w:cs="Times New Roman"/>
          <w:sz w:val="24"/>
          <w:szCs w:val="24"/>
        </w:rPr>
      </w:pPr>
      <w:r>
        <w:rPr>
          <w:rFonts w:ascii="宋体" w:hAnsi="宋体" w:eastAsia="宋体" w:cs="Times New Roman"/>
          <w:sz w:val="24"/>
          <w:szCs w:val="24"/>
        </w:rPr>
        <w:t>7</w:t>
      </w:r>
      <w:r>
        <w:rPr>
          <w:rFonts w:hint="eastAsia" w:ascii="宋体" w:hAnsi="宋体" w:eastAsia="宋体" w:cs="Times New Roman"/>
          <w:sz w:val="24"/>
          <w:szCs w:val="24"/>
        </w:rPr>
        <w:t>.投标文件中，针对“特别提示”条款所做的回应，将作为投标人能否中标的重要依据之一。</w:t>
      </w:r>
    </w:p>
    <w:p w14:paraId="585A91C0">
      <w:pPr>
        <w:pStyle w:val="236"/>
        <w:numPr>
          <w:ilvl w:val="0"/>
          <w:numId w:val="9"/>
        </w:numPr>
        <w:spacing w:line="360" w:lineRule="auto"/>
        <w:ind w:left="0" w:leftChars="0" w:firstLine="420" w:firstLineChars="0"/>
        <w:outlineLvl w:val="2"/>
        <w:rPr>
          <w:rFonts w:eastAsia="宋体" w:cs="宋体"/>
          <w:b/>
          <w:bCs w:val="0"/>
          <w:sz w:val="24"/>
          <w:szCs w:val="24"/>
        </w:rPr>
      </w:pPr>
      <w:r>
        <w:rPr>
          <w:rFonts w:hint="eastAsia" w:eastAsia="宋体" w:cs="宋体"/>
          <w:b/>
          <w:bCs w:val="0"/>
          <w:sz w:val="24"/>
          <w:szCs w:val="24"/>
        </w:rPr>
        <w:t>基本要求</w:t>
      </w:r>
    </w:p>
    <w:p w14:paraId="1B86CE23">
      <w:pPr>
        <w:spacing w:line="360" w:lineRule="auto"/>
        <w:ind w:firstLine="480" w:firstLineChars="200"/>
        <w:rPr>
          <w:rFonts w:ascii="宋体" w:hAnsi="Calibri" w:eastAsia="宋体" w:cs="Times New Roman"/>
          <w:sz w:val="24"/>
          <w:szCs w:val="24"/>
        </w:rPr>
      </w:pPr>
      <w:r>
        <w:rPr>
          <w:rFonts w:ascii="宋体" w:hAnsi="宋体" w:eastAsia="宋体" w:cs="Times New Roman"/>
          <w:sz w:val="24"/>
          <w:szCs w:val="24"/>
        </w:rPr>
        <w:t>1</w:t>
      </w:r>
      <w:r>
        <w:rPr>
          <w:rFonts w:hint="eastAsia" w:ascii="宋体" w:hAnsi="宋体" w:eastAsia="宋体" w:cs="Times New Roman"/>
          <w:sz w:val="24"/>
          <w:szCs w:val="24"/>
        </w:rPr>
        <w:t>.投标人所供的货物，必须符合中国最新版的法律、法规和相关标准、规范的要求，符合项目所在地政府有关特殊要求。</w:t>
      </w:r>
    </w:p>
    <w:p w14:paraId="29165982">
      <w:pPr>
        <w:spacing w:line="360" w:lineRule="auto"/>
        <w:ind w:firstLine="480" w:firstLineChars="200"/>
        <w:rPr>
          <w:rFonts w:ascii="宋体" w:hAnsi="Calibri" w:eastAsia="宋体" w:cs="Times New Roman"/>
          <w:sz w:val="24"/>
          <w:szCs w:val="24"/>
        </w:rPr>
      </w:pPr>
      <w:r>
        <w:rPr>
          <w:rFonts w:ascii="宋体" w:hAnsi="宋体" w:eastAsia="宋体" w:cs="Times New Roman"/>
          <w:sz w:val="24"/>
          <w:szCs w:val="24"/>
        </w:rPr>
        <w:t>2</w:t>
      </w:r>
      <w:r>
        <w:rPr>
          <w:rFonts w:hint="eastAsia" w:ascii="宋体" w:hAnsi="宋体" w:eastAsia="宋体" w:cs="Times New Roman"/>
          <w:sz w:val="24"/>
          <w:szCs w:val="24"/>
        </w:rPr>
        <w:t>.投标人所供货物涉及的专利权技术以及知识产权保护的其它技术等，应保证招标人不因此受到任何侵权指控以及实际损失。</w:t>
      </w:r>
    </w:p>
    <w:p w14:paraId="1FC59AE8">
      <w:pPr>
        <w:spacing w:line="360" w:lineRule="auto"/>
        <w:ind w:firstLine="480" w:firstLineChars="200"/>
        <w:rPr>
          <w:rFonts w:ascii="宋体" w:hAnsi="Calibri"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.投标人应保证所供货物的先进性、可靠性、经济性和实用性，并为全新货物（或设备）。</w:t>
      </w:r>
    </w:p>
    <w:p w14:paraId="707F2F91">
      <w:pPr>
        <w:spacing w:line="360" w:lineRule="auto"/>
        <w:ind w:firstLine="480" w:firstLineChars="200"/>
        <w:rPr>
          <w:rFonts w:ascii="宋体" w:hAnsi="Calibri" w:eastAsia="宋体" w:cs="Times New Roman"/>
          <w:sz w:val="24"/>
          <w:szCs w:val="24"/>
        </w:rPr>
      </w:pPr>
      <w:r>
        <w:rPr>
          <w:rFonts w:ascii="宋体" w:hAnsi="宋体" w:eastAsia="宋体" w:cs="Times New Roman"/>
          <w:sz w:val="24"/>
          <w:szCs w:val="24"/>
        </w:rPr>
        <w:t>4</w:t>
      </w:r>
      <w:r>
        <w:rPr>
          <w:rFonts w:hint="eastAsia" w:ascii="宋体" w:hAnsi="宋体" w:eastAsia="宋体" w:cs="Times New Roman"/>
          <w:sz w:val="24"/>
          <w:szCs w:val="24"/>
        </w:rPr>
        <w:t>.投标人应满足招标人提出的各项技术要求，必要时应当免费提供技术承诺或担保。</w:t>
      </w:r>
    </w:p>
    <w:p w14:paraId="52ABE22D">
      <w:pPr>
        <w:spacing w:line="360" w:lineRule="auto"/>
        <w:ind w:firstLine="480" w:firstLineChars="200"/>
        <w:rPr>
          <w:rFonts w:ascii="宋体" w:hAnsi="Calibri" w:eastAsia="宋体" w:cs="Times New Roman"/>
          <w:sz w:val="24"/>
          <w:szCs w:val="24"/>
        </w:rPr>
      </w:pPr>
      <w:r>
        <w:rPr>
          <w:rFonts w:ascii="宋体" w:hAnsi="宋体" w:eastAsia="宋体" w:cs="Times New Roman"/>
          <w:sz w:val="24"/>
          <w:szCs w:val="24"/>
        </w:rPr>
        <w:t>5</w:t>
      </w:r>
      <w:r>
        <w:rPr>
          <w:rFonts w:hint="eastAsia" w:ascii="宋体" w:hAnsi="宋体" w:eastAsia="宋体" w:cs="Times New Roman"/>
          <w:sz w:val="24"/>
          <w:szCs w:val="24"/>
        </w:rPr>
        <w:t>.投标人应保证所供货物（或设备）为中国政府指定或规定的主管部门公布的非淘汰货物（或设备），并尽力提供中国政府指定或规定的主管部门认可的环保型和节能型货物（或设备）。</w:t>
      </w:r>
    </w:p>
    <w:p w14:paraId="00C1C9F0">
      <w:pPr>
        <w:spacing w:line="360" w:lineRule="auto"/>
        <w:ind w:firstLine="480" w:firstLineChars="200"/>
        <w:rPr>
          <w:rFonts w:ascii="宋体" w:hAnsi="Calibri" w:eastAsia="宋体" w:cs="Times New Roman"/>
          <w:sz w:val="24"/>
          <w:szCs w:val="24"/>
        </w:rPr>
      </w:pPr>
      <w:r>
        <w:rPr>
          <w:rFonts w:ascii="宋体" w:hAnsi="宋体" w:eastAsia="宋体" w:cs="Times New Roman"/>
          <w:sz w:val="24"/>
          <w:szCs w:val="24"/>
        </w:rPr>
        <w:t>6</w:t>
      </w:r>
      <w:r>
        <w:rPr>
          <w:rFonts w:hint="eastAsia" w:ascii="宋体" w:hAnsi="宋体" w:eastAsia="宋体" w:cs="Times New Roman"/>
          <w:sz w:val="24"/>
          <w:szCs w:val="24"/>
        </w:rPr>
        <w:t>.投标人应保证所供货物的完整性和成套性，能保证货物的正常运行、使用。</w:t>
      </w:r>
    </w:p>
    <w:p w14:paraId="0FCD10D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7.</w:t>
      </w:r>
      <w:r>
        <w:rPr>
          <w:rFonts w:hint="eastAsia" w:ascii="宋体" w:hAnsi="宋体" w:eastAsia="宋体" w:cs="Times New Roman"/>
          <w:sz w:val="24"/>
          <w:szCs w:val="24"/>
          <w:lang w:val="en-US" w:eastAsia="zh-CN"/>
        </w:rPr>
        <w:t>程序</w:t>
      </w:r>
      <w:r>
        <w:rPr>
          <w:rFonts w:hint="eastAsia" w:ascii="宋体" w:hAnsi="宋体" w:eastAsia="宋体" w:cs="Times New Roman"/>
          <w:sz w:val="24"/>
          <w:szCs w:val="24"/>
        </w:rPr>
        <w:t>图纸要求</w:t>
      </w:r>
    </w:p>
    <w:p w14:paraId="0DA3C7D7">
      <w:pPr>
        <w:spacing w:line="360" w:lineRule="auto"/>
        <w:ind w:firstLine="480" w:firstLineChars="200"/>
        <w:rPr>
          <w:rFonts w:ascii="宋体" w:hAnsi="宋体" w:eastAsia="宋体" w:cs="Times New Roman"/>
          <w:sz w:val="24"/>
          <w:highlight w:val="none"/>
        </w:rPr>
      </w:pPr>
      <w:r>
        <w:rPr>
          <w:rFonts w:hint="eastAsia" w:ascii="宋体" w:hAnsi="宋体" w:eastAsia="宋体" w:cs="Times New Roman"/>
          <w:sz w:val="24"/>
          <w:highlight w:val="none"/>
        </w:rPr>
        <w:t>7.1 投标方必须提供所有设备程序的源代码，包括但不限于 PLC程序、HMI 程序、组态程序、机器人程序、视觉程序、伺服等。</w:t>
      </w:r>
    </w:p>
    <w:p w14:paraId="60DC13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Times New Roman"/>
          <w:sz w:val="24"/>
          <w:highlight w:val="none"/>
        </w:rPr>
      </w:pPr>
      <w:r>
        <w:rPr>
          <w:rFonts w:hint="eastAsia" w:ascii="宋体" w:hAnsi="宋体" w:eastAsia="宋体" w:cs="Times New Roman"/>
          <w:sz w:val="24"/>
          <w:highlight w:val="none"/>
        </w:rPr>
        <w:t>7.2 投标方所提供的程序不得设置任何密码、保护等限制手段，PLC 不得设置修改下载权限，功能块不得设置密码保护。</w:t>
      </w:r>
    </w:p>
    <w:p w14:paraId="646F25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Times New Roman"/>
          <w:sz w:val="24"/>
          <w:highlight w:val="none"/>
        </w:rPr>
      </w:pPr>
      <w:r>
        <w:rPr>
          <w:rFonts w:hint="eastAsia" w:ascii="宋体" w:hAnsi="宋体" w:eastAsia="宋体" w:cs="Times New Roman"/>
          <w:sz w:val="24"/>
          <w:highlight w:val="none"/>
        </w:rPr>
        <w:t>7.3 HMI界面等需要密码保护的程序，投标方必须提供所有级别的用户名、密码。</w:t>
      </w:r>
    </w:p>
    <w:p w14:paraId="5BDAE4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Times New Roman"/>
          <w:sz w:val="24"/>
          <w:highlight w:val="none"/>
        </w:rPr>
      </w:pPr>
      <w:r>
        <w:rPr>
          <w:rFonts w:hint="eastAsia" w:ascii="宋体" w:hAnsi="宋体" w:eastAsia="宋体" w:cs="Times New Roman"/>
          <w:sz w:val="24"/>
          <w:highlight w:val="none"/>
        </w:rPr>
        <w:t>7.4 投标方需在设备入场前提供设备程序源码，HMI 界面各级用户名和密码，并保证与现场程序一致。</w:t>
      </w:r>
    </w:p>
    <w:p w14:paraId="77273D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Times New Roman"/>
          <w:sz w:val="24"/>
          <w:highlight w:val="none"/>
        </w:rPr>
      </w:pPr>
      <w:r>
        <w:rPr>
          <w:rFonts w:hint="eastAsia" w:ascii="宋体" w:hAnsi="宋体" w:eastAsia="宋体" w:cs="Times New Roman"/>
          <w:sz w:val="24"/>
          <w:highlight w:val="none"/>
        </w:rPr>
        <w:t>7.5 投标方需在终验收前提供最新的设备程序源码和电气图纸，图纸要求为可编辑原格式（EPLAN、CAD 格式）且与实际接线一致。</w:t>
      </w:r>
    </w:p>
    <w:p w14:paraId="5680C7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Times New Roman"/>
          <w:sz w:val="24"/>
          <w:highlight w:val="none"/>
        </w:rPr>
      </w:pPr>
      <w:r>
        <w:rPr>
          <w:rFonts w:hint="eastAsia" w:ascii="宋体" w:hAnsi="宋体" w:eastAsia="宋体" w:cs="Times New Roman"/>
          <w:sz w:val="24"/>
          <w:highlight w:val="none"/>
        </w:rPr>
        <w:t>7.6投标方提供所有备件详细明细（excel），包括备件名称、规格型号、品牌、数量等，非标件需提供详细订货号。</w:t>
      </w:r>
    </w:p>
    <w:p w14:paraId="10F75D5F">
      <w:pPr>
        <w:spacing w:line="360" w:lineRule="auto"/>
        <w:ind w:firstLine="480" w:firstLineChars="200"/>
        <w:rPr>
          <w:rFonts w:ascii="宋体" w:hAnsi="宋体" w:eastAsia="宋体" w:cs="Times New Roman"/>
          <w:sz w:val="24"/>
          <w:highlight w:val="none"/>
        </w:rPr>
      </w:pPr>
      <w:r>
        <w:rPr>
          <w:rFonts w:hint="eastAsia" w:ascii="宋体" w:hAnsi="宋体" w:eastAsia="宋体" w:cs="Times New Roman"/>
          <w:sz w:val="24"/>
          <w:highlight w:val="none"/>
        </w:rPr>
        <w:t>7.7仪器、仪表、控制器、特殊用途传感器等，如伺服驱动器、变频器、称重传感器等，需提供设备使用说明书。</w:t>
      </w:r>
    </w:p>
    <w:p w14:paraId="477F862B">
      <w:pPr>
        <w:spacing w:line="360" w:lineRule="auto"/>
        <w:ind w:firstLine="480" w:firstLineChars="200"/>
        <w:rPr>
          <w:rFonts w:ascii="宋体" w:hAnsi="宋体" w:eastAsia="宋体" w:cs="Times New Roman"/>
          <w:sz w:val="24"/>
          <w:highlight w:val="none"/>
        </w:rPr>
      </w:pPr>
      <w:r>
        <w:rPr>
          <w:rFonts w:hint="eastAsia" w:ascii="宋体" w:hAnsi="宋体" w:eastAsia="宋体" w:cs="Times New Roman"/>
          <w:sz w:val="24"/>
          <w:highlight w:val="none"/>
        </w:rPr>
        <w:t>7.8提供所有信号对接表（excel）。</w:t>
      </w:r>
    </w:p>
    <w:p w14:paraId="13482A7D">
      <w:pPr>
        <w:spacing w:line="360" w:lineRule="auto"/>
        <w:ind w:firstLine="480" w:firstLineChars="200"/>
        <w:rPr>
          <w:rFonts w:ascii="宋体" w:hAnsi="宋体" w:eastAsia="宋体" w:cs="Times New Roman"/>
          <w:sz w:val="24"/>
          <w:highlight w:val="none"/>
        </w:rPr>
      </w:pPr>
      <w:r>
        <w:rPr>
          <w:rFonts w:hint="eastAsia" w:ascii="宋体" w:hAnsi="宋体" w:eastAsia="宋体" w:cs="Times New Roman"/>
          <w:sz w:val="24"/>
          <w:highlight w:val="none"/>
        </w:rPr>
        <w:t>8.接口协议要求</w:t>
      </w:r>
    </w:p>
    <w:p w14:paraId="06B9EFD6">
      <w:pPr>
        <w:spacing w:line="360" w:lineRule="auto"/>
        <w:ind w:firstLine="480" w:firstLineChars="200"/>
        <w:rPr>
          <w:rFonts w:ascii="宋体" w:hAnsi="宋体" w:eastAsia="宋体" w:cs="Times New Roman"/>
          <w:sz w:val="24"/>
          <w:highlight w:val="none"/>
        </w:rPr>
      </w:pPr>
      <w:r>
        <w:rPr>
          <w:rFonts w:hint="eastAsia" w:ascii="宋体" w:hAnsi="宋体" w:eastAsia="宋体" w:cs="Times New Roman"/>
          <w:sz w:val="24"/>
          <w:highlight w:val="none"/>
        </w:rPr>
        <w:t>8.1 投标方免费开放所有通讯接口，包括但不限于以太网、RS232、RS485、PROFIBUS、PROFINET、MODBUS 等常见接口，以及设备特有的专用接口。</w:t>
      </w:r>
    </w:p>
    <w:p w14:paraId="4BAE6974">
      <w:pPr>
        <w:spacing w:line="360" w:lineRule="auto"/>
        <w:ind w:firstLine="480" w:firstLineChars="200"/>
        <w:rPr>
          <w:rFonts w:ascii="宋体" w:hAnsi="宋体" w:eastAsia="宋体" w:cs="Times New Roman"/>
          <w:sz w:val="24"/>
          <w:highlight w:val="none"/>
        </w:rPr>
      </w:pPr>
      <w:r>
        <w:rPr>
          <w:rFonts w:hint="eastAsia" w:ascii="宋体" w:hAnsi="宋体" w:eastAsia="宋体" w:cs="Times New Roman"/>
          <w:sz w:val="24"/>
          <w:highlight w:val="none"/>
        </w:rPr>
        <w:t>8.2 投标方免费提供数据交互功能，交互数据包括但不限于实时数据、历史数据、报警信息等。</w:t>
      </w:r>
    </w:p>
    <w:p w14:paraId="558643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Times New Roman"/>
          <w:sz w:val="24"/>
          <w:highlight w:val="none"/>
        </w:rPr>
      </w:pPr>
      <w:r>
        <w:rPr>
          <w:rFonts w:hint="eastAsia" w:ascii="宋体" w:hAnsi="宋体" w:eastAsia="宋体" w:cs="Times New Roman"/>
          <w:sz w:val="24"/>
          <w:highlight w:val="none"/>
        </w:rPr>
        <w:t>8.3 投标方在设备入场前提供接口的技术文档和参数说明，包括但不限于接口协议、通讯速率、数据格式等。</w:t>
      </w:r>
    </w:p>
    <w:p w14:paraId="1B9DCA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Times New Roman"/>
          <w:sz w:val="24"/>
          <w:highlight w:val="none"/>
        </w:rPr>
      </w:pPr>
      <w:r>
        <w:rPr>
          <w:rFonts w:hint="eastAsia" w:ascii="宋体" w:hAnsi="宋体" w:eastAsia="宋体" w:cs="Times New Roman"/>
          <w:sz w:val="24"/>
          <w:highlight w:val="none"/>
        </w:rPr>
        <w:t>8.4 设备使用周期内，投标方免费派遣技术人员与招标方调试团队共同进行设备通讯接口的调试工作。</w:t>
      </w:r>
    </w:p>
    <w:p w14:paraId="3EF338E9">
      <w:pPr>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9.电机能效</w:t>
      </w:r>
    </w:p>
    <w:p w14:paraId="2EC88493">
      <w:pPr>
        <w:spacing w:line="360" w:lineRule="auto"/>
        <w:ind w:firstLine="480" w:firstLineChars="200"/>
        <w:rPr>
          <w:rFonts w:hint="eastAsia" w:eastAsia="宋体" w:cs="宋体"/>
          <w:b/>
          <w:bCs w:val="0"/>
          <w:color w:val="auto"/>
          <w:sz w:val="24"/>
          <w:szCs w:val="24"/>
          <w:highlight w:val="yellow"/>
        </w:rPr>
      </w:pPr>
      <w:r>
        <w:rPr>
          <w:rFonts w:ascii="宋体" w:hAnsi="宋体" w:eastAsia="宋体" w:cs="宋体"/>
          <w:sz w:val="24"/>
          <w:szCs w:val="24"/>
        </w:rPr>
        <w:t>国产配套电机须满足《GB 18613-2020》《GB 30253-2024》一级能效规范；进口配套电机执行 IEC 能效标准，选用符合《IEC-60034-30-2》的 IE5 超高效电机。场内配电变压器统一选用一级能效产品，性能指标严格遵循《GB 20052-2024》现行国家标准</w:t>
      </w:r>
      <w:r>
        <w:rPr>
          <w:rFonts w:hint="eastAsia" w:ascii="宋体" w:hAnsi="宋体" w:eastAsia="宋体" w:cs="Times New Roman"/>
          <w:color w:val="auto"/>
          <w:sz w:val="24"/>
          <w:highlight w:val="none"/>
          <w:lang w:val="en-US" w:eastAsia="zh-CN"/>
        </w:rPr>
        <w:t>。</w:t>
      </w:r>
    </w:p>
    <w:p w14:paraId="173A5E81">
      <w:pPr>
        <w:pStyle w:val="236"/>
        <w:numPr>
          <w:ilvl w:val="0"/>
          <w:numId w:val="9"/>
        </w:numPr>
        <w:spacing w:line="360" w:lineRule="auto"/>
        <w:ind w:left="0" w:leftChars="0" w:firstLine="420" w:firstLineChars="0"/>
        <w:outlineLvl w:val="2"/>
        <w:rPr>
          <w:rFonts w:hint="eastAsia" w:ascii="宋体" w:hAnsi="宋体" w:eastAsia="宋体" w:cs="宋体"/>
          <w:b w:val="0"/>
          <w:kern w:val="2"/>
          <w:sz w:val="24"/>
          <w:szCs w:val="24"/>
          <w:lang w:val="en-US" w:eastAsia="zh-CN" w:bidi="ar-SA"/>
        </w:rPr>
      </w:pPr>
      <w:r>
        <w:rPr>
          <w:rFonts w:hint="eastAsia" w:eastAsia="宋体" w:cs="宋体"/>
          <w:b/>
          <w:bCs w:val="0"/>
          <w:sz w:val="24"/>
          <w:szCs w:val="24"/>
          <w:highlight w:val="none"/>
        </w:rPr>
        <w:t>技术要求</w:t>
      </w:r>
      <w:bookmarkStart w:id="21" w:name="_Toc169605881"/>
    </w:p>
    <w:p w14:paraId="6904865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kern w:val="2"/>
          <w:sz w:val="24"/>
          <w:szCs w:val="24"/>
          <w:lang w:val="en-US" w:eastAsia="zh-CN" w:bidi="ar-SA"/>
        </w:rPr>
        <w:t>3.1</w:t>
      </w:r>
      <w:r>
        <w:rPr>
          <w:rFonts w:hint="eastAsia" w:ascii="宋体" w:hAnsi="宋体" w:eastAsia="宋体" w:cs="宋体"/>
          <w:b/>
          <w:bCs/>
          <w:sz w:val="24"/>
          <w:szCs w:val="24"/>
          <w:lang w:val="en-US" w:eastAsia="zh-CN"/>
        </w:rPr>
        <w:t>设备通用资质硬性要求</w:t>
      </w:r>
    </w:p>
    <w:p w14:paraId="06B393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3.1.1 CEMS整机/颗粒物分析仪必须具备有效CCEP中国环境保护产品认证证书，证书型号与投标型号完全一致，证书在有效期内；</w:t>
      </w:r>
    </w:p>
    <w:p w14:paraId="1399E0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3.1.2 投标型号必须在中国环境监测总站HJ76</w:t>
      </w:r>
      <w:r>
        <w:rPr>
          <w:rFonts w:hint="eastAsia" w:ascii="宋体" w:hAnsi="宋体" w:eastAsia="宋体" w:cs="宋体"/>
          <w:sz w:val="24"/>
          <w:szCs w:val="24"/>
          <w:lang w:val="en-US" w:eastAsia="zh-CN"/>
        </w:rPr>
        <w:noBreakHyphen/>
      </w:r>
      <w:r>
        <w:rPr>
          <w:rFonts w:hint="eastAsia" w:ascii="宋体" w:hAnsi="宋体" w:eastAsia="宋体" w:cs="宋体"/>
          <w:sz w:val="24"/>
          <w:szCs w:val="24"/>
          <w:lang w:val="en-US" w:eastAsia="zh-CN"/>
        </w:rPr>
        <w:t>2017适用性检测合格名录内，提供完整适用性检测报告扫描件，报告型号与投标设备型号完全匹配；</w:t>
      </w:r>
    </w:p>
    <w:p w14:paraId="21E3F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3.1.3 数采仪单独具备CCEP认证，原生硬件支持HJ212</w:t>
      </w:r>
      <w:r>
        <w:rPr>
          <w:rFonts w:hint="eastAsia" w:ascii="宋体" w:hAnsi="宋体" w:eastAsia="宋体" w:cs="宋体"/>
          <w:sz w:val="24"/>
          <w:szCs w:val="24"/>
          <w:lang w:val="en-US" w:eastAsia="zh-CN"/>
        </w:rPr>
        <w:noBreakHyphen/>
      </w:r>
      <w:r>
        <w:rPr>
          <w:rFonts w:hint="eastAsia" w:ascii="宋体" w:hAnsi="宋体" w:eastAsia="宋体" w:cs="宋体"/>
          <w:sz w:val="24"/>
          <w:szCs w:val="24"/>
          <w:lang w:val="en-US" w:eastAsia="zh-CN"/>
        </w:rPr>
        <w:t>2025协议，不接受后期软件升级补丁方式实现；</w:t>
      </w:r>
    </w:p>
    <w:p w14:paraId="39D5B7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3.1.4 具备CPA计量器具型式批准证书；</w:t>
      </w:r>
    </w:p>
    <w:p w14:paraId="14A7A4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3.1.5 不接受厂家自检报告替代总站适用性检测报告；</w:t>
      </w:r>
    </w:p>
    <w:p w14:paraId="5A18169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*上述认证证书、检测报告必须附在技术标书内。</w:t>
      </w:r>
    </w:p>
    <w:p w14:paraId="283E508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3.1.6 通用技术要求</w:t>
      </w:r>
    </w:p>
    <w:p w14:paraId="59951A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（1）外观要求：</w:t>
      </w:r>
    </w:p>
    <w:p w14:paraId="0B0A82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①CEMS应具有产品铭牌，铭牌上应标有仪器名称、型号、生产单位、出厂编号、制造日期等信息。</w:t>
      </w:r>
    </w:p>
    <w:p w14:paraId="513F7D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②CEMS仪器表面应完好无损，无明显缺陷，各零、部件连接可靠，各操作键、按钮使用灵活，定位准确。</w:t>
      </w:r>
    </w:p>
    <w:p w14:paraId="33ABA3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③CEMS主机面板显示清晰，涂色牢固，字符、标识易于识别，不应有影响读数的缺陷。</w:t>
      </w:r>
    </w:p>
    <w:p w14:paraId="350FDE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④CEMS外壳或外罩应耐腐蚀、密封性能良好、防尘、防雨。</w:t>
      </w:r>
    </w:p>
    <w:p w14:paraId="16A42D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b w:val="0"/>
          <w:bCs w:val="0"/>
          <w:kern w:val="2"/>
          <w:sz w:val="24"/>
          <w:szCs w:val="24"/>
          <w:lang w:val="en-US" w:eastAsia="zh-CN" w:bidi="ar-SA"/>
        </w:rPr>
        <w:t>注：低温</w:t>
      </w:r>
      <w:r>
        <w:rPr>
          <w:rFonts w:hint="default" w:ascii="宋体" w:hAnsi="宋体" w:eastAsia="宋体" w:cs="宋体"/>
          <w:sz w:val="24"/>
          <w:szCs w:val="24"/>
          <w:lang w:val="en-US" w:eastAsia="zh-CN"/>
        </w:rPr>
        <w:t>、低压等特殊环境条件下，仪器设备的配置应满足当地环境条件的使用要求。</w:t>
      </w:r>
    </w:p>
    <w:p w14:paraId="7A8F6A4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（2）安全要求：</w:t>
      </w:r>
    </w:p>
    <w:p w14:paraId="7BD93F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①在环境温度为15-35℃，相对湿度≤85%条件下，系统电源端子对地或机壳的绝缘电阻不小于20MΩ；</w:t>
      </w:r>
    </w:p>
    <w:p w14:paraId="3D1474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②在环境温度为15-35℃，相对湿度≤85%条件下，系统在1500V（有效值）</w:t>
      </w:r>
      <w:r>
        <w:rPr>
          <w:rFonts w:hint="default" w:ascii="宋体" w:hAnsi="宋体" w:eastAsia="宋体" w:cs="宋体"/>
          <w:sz w:val="24"/>
          <w:szCs w:val="24"/>
          <w:lang w:val="en-US" w:eastAsia="zh-CN"/>
        </w:rPr>
        <w:t>、</w:t>
      </w:r>
      <w:r>
        <w:rPr>
          <w:rFonts w:hint="default" w:ascii="宋体" w:hAnsi="宋体" w:eastAsia="宋体" w:cs="宋体"/>
          <w:b w:val="0"/>
          <w:bCs w:val="0"/>
          <w:kern w:val="2"/>
          <w:sz w:val="24"/>
          <w:szCs w:val="24"/>
          <w:lang w:val="en-US" w:eastAsia="zh-CN" w:bidi="ar-SA"/>
        </w:rPr>
        <w:t>50Hz正弦波实验电压下持续1min，不应出现击穿或飞弧现象。</w:t>
      </w:r>
    </w:p>
    <w:p w14:paraId="2BACAA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③系统应具有漏电保护装置，具备良好的接地措施，防止雷击等对系统造成损坏。</w:t>
      </w:r>
    </w:p>
    <w:p w14:paraId="504AFC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（3）样品采集和传输装置要求：</w:t>
      </w:r>
    </w:p>
    <w:p w14:paraId="1828A2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①样品采集装置应具备加热、保温和反吹净化功能。其加热温度一般在120℃以上，且应高于烟气露点温度10℃以上，其实际温度值应能够在机柜或系统软件中显示查询。</w:t>
      </w:r>
    </w:p>
    <w:p w14:paraId="7364AB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②样品采集装置的材质应选用耐高温、防腐蚀和不吸附、不与气态污染物发生反应的材料，应不影响待测污染物的正常测量。</w:t>
      </w:r>
    </w:p>
    <w:p w14:paraId="670B03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③气态污染物样品采集装置应具备颗粒物过滤功能。其采样设备的前端或后端应具备便于更换或清洗的颗粒物过滤器，过滤器滤料的材质应不吸附和不与气态污染物发生反应，过滤器应至少能过滤（5-10）um粒径以上的颗粒物。</w:t>
      </w:r>
    </w:p>
    <w:p w14:paraId="26BE28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④样品传输管线内包覆的气体传输管应至少为两根，一根用于样品气体的采集传输，另一根用于标准气体的全系统校准；CEMS样品采集和传输装置应具备完成CEMS全系统校准的功能要求。</w:t>
      </w:r>
    </w:p>
    <w:p w14:paraId="7E0D42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⑤采用抽取测量方式的颗粒物CEMS，其抽取采样装置应具备自动跟踪烟气流速变化调节采样流量的等速跟踪采样功能，等速跟踪吸引误差应不超过</w:t>
      </w:r>
      <w:r>
        <w:rPr>
          <w:rFonts w:hint="eastAsia" w:ascii="宋体" w:hAnsi="宋体" w:cs="宋体"/>
          <w:b w:val="0"/>
          <w:bCs w:val="0"/>
          <w:kern w:val="2"/>
          <w:sz w:val="24"/>
          <w:szCs w:val="24"/>
          <w:lang w:val="en-US" w:eastAsia="zh-CN" w:bidi="ar-SA"/>
        </w:rPr>
        <w:t>±</w:t>
      </w:r>
      <w:r>
        <w:rPr>
          <w:rFonts w:hint="default" w:ascii="宋体" w:hAnsi="宋体" w:eastAsia="宋体" w:cs="宋体"/>
          <w:b w:val="0"/>
          <w:bCs w:val="0"/>
          <w:kern w:val="2"/>
          <w:sz w:val="24"/>
          <w:szCs w:val="24"/>
          <w:lang w:val="en-US" w:eastAsia="zh-CN" w:bidi="ar-SA"/>
        </w:rPr>
        <w:t>8%。</w:t>
      </w:r>
    </w:p>
    <w:p w14:paraId="74647E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（4）预处理设备要求：</w:t>
      </w:r>
    </w:p>
    <w:p w14:paraId="451E39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①CEMS预处理设备及其部件应方便清理和更换。</w:t>
      </w:r>
    </w:p>
    <w:p w14:paraId="67A026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②CEMS除湿设备的设置温度应保持在4℃左右（设备出口烟气露点温度应≤4℃），正常波动在</w:t>
      </w:r>
      <w:r>
        <w:rPr>
          <w:rFonts w:hint="eastAsia" w:ascii="宋体" w:hAnsi="宋体" w:cs="宋体"/>
          <w:b w:val="0"/>
          <w:bCs w:val="0"/>
          <w:kern w:val="2"/>
          <w:sz w:val="24"/>
          <w:szCs w:val="24"/>
          <w:lang w:val="en-US" w:eastAsia="zh-CN" w:bidi="ar-SA"/>
        </w:rPr>
        <w:t>±</w:t>
      </w:r>
      <w:r>
        <w:rPr>
          <w:rFonts w:hint="default" w:ascii="宋体" w:hAnsi="宋体" w:eastAsia="宋体" w:cs="宋体"/>
          <w:b w:val="0"/>
          <w:bCs w:val="0"/>
          <w:kern w:val="2"/>
          <w:sz w:val="24"/>
          <w:szCs w:val="24"/>
          <w:lang w:val="en-US" w:eastAsia="zh-CN" w:bidi="ar-SA"/>
        </w:rPr>
        <w:t>2℃以内，其实际温度数值应能够在机柜或系统软件中显示查询。</w:t>
      </w:r>
    </w:p>
    <w:p w14:paraId="06A487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③除湿设备除湿过程产生的冷凝液应采用自动方式通过冷凝液收集和排放装置及时、顺畅排出。</w:t>
      </w:r>
    </w:p>
    <w:p w14:paraId="17B42F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（5）辅助设备要求：</w:t>
      </w:r>
    </w:p>
    <w:p w14:paraId="4B975A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①CEMS排气管路应规范敷设，不应随意放置，防止排放尾气污染周围环境。</w:t>
      </w:r>
    </w:p>
    <w:p w14:paraId="6BF05F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②当室外环境温度低于0℃时，CEMS尾气排放管应配套加热或伴热装置，确保排放尾气中的水分不冷凝或结冰，造成尾气排放管堵塞和排气不畅。</w:t>
      </w:r>
    </w:p>
    <w:p w14:paraId="130327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③CEMS应配备定期反吹装置，用以定期对样品采集装置等其他测量部件进行反吹，避免出现由于颗粒物等累积造成的堵塞状况。</w:t>
      </w:r>
    </w:p>
    <w:p w14:paraId="0D3AA4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④CEMS应具有防止外部光学镜头和插入烟囱或烟道内的反射或测量光学镜头被烟气污染的净化系统（即气幕保护系统）；净化系统应能克服烟气压力，保持光学镜头的清洁：净化系统使用的净化气体应经过适当预处理确保其不影响测量结果。</w:t>
      </w:r>
    </w:p>
    <w:p w14:paraId="0CA67D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⑤具备除湿冷凝设备的CEMS，其除湿过程产生的冷凝液应通过冷凝液排放装置及时、顺畅排出。</w:t>
      </w:r>
    </w:p>
    <w:p w14:paraId="1DA1BC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⑥具备稀释采样系统的CEMS，其稀释零空气必须配备完备的气体预处理系统，主要包括气体的过滤、除水、除油、除烃以及除二氧化硫和氮氧化物等环节。</w:t>
      </w:r>
    </w:p>
    <w:p w14:paraId="01F7BB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⑦CEMS机柜内部气体管路以及电路、数据传输线路等应规范敷设，同类管路应尽可能集中汇总设置：不同类型的管路或不同作用、方向的管路应采用明确标识加以区分；各种走线应安全合理，便于查找维护维修。</w:t>
      </w:r>
    </w:p>
    <w:p w14:paraId="3D7C0F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（6）校准功能要求：</w:t>
      </w:r>
    </w:p>
    <w:p w14:paraId="3BE4A6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①CEMS应能用手动和（或）自动方式进行零点和量程校准。</w:t>
      </w:r>
    </w:p>
    <w:p w14:paraId="0D2894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②采用抽取测量方式的气态污染物CEMS，应具备固定的和便于操作的标准气体全系统校准功能；即能够完成从样品采集和传输装置、预处理设备和分析仪器的全系统校准。</w:t>
      </w:r>
    </w:p>
    <w:p w14:paraId="0F03A2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（7）数据采集和传输设备要求：</w:t>
      </w:r>
    </w:p>
    <w:p w14:paraId="22695E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①应显示和记录超出其零点以下和量程以上至少10%的数据值。当测量结果超过零点以下和量程以上10%时，数据记录存储其最小或最大值。</w:t>
      </w:r>
    </w:p>
    <w:p w14:paraId="0627AD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②应具备显示、设置系统时间和时间标签功能，数据为设置时段的平均值。</w:t>
      </w:r>
    </w:p>
    <w:p w14:paraId="5E7CC6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③能够显示实时数据，具备查询历史数据的功能，并能以报表或报告形式输出。</w:t>
      </w:r>
    </w:p>
    <w:p w14:paraId="095726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④具备数字信号输出功能。</w:t>
      </w:r>
    </w:p>
    <w:p w14:paraId="28D492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⑤具有中文数据采集、记录、处理和控制软件。</w:t>
      </w:r>
    </w:p>
    <w:p w14:paraId="175AEE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⑥仪器掉电后，能自动保存数据:恢复供电后系统可自动启动，恢复运行状态并正常开始工作。</w:t>
      </w:r>
    </w:p>
    <w:p w14:paraId="4BAA56F3">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3.2 各子系统详细技术参数</w:t>
      </w:r>
    </w:p>
    <w:p w14:paraId="367B0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3.2.</w:t>
      </w:r>
      <w:r>
        <w:rPr>
          <w:rFonts w:hint="default" w:ascii="宋体" w:hAnsi="宋体" w:eastAsia="宋体" w:cs="宋体"/>
          <w:b w:val="0"/>
          <w:bCs w:val="0"/>
          <w:kern w:val="2"/>
          <w:sz w:val="24"/>
          <w:szCs w:val="24"/>
          <w:lang w:val="en-US" w:eastAsia="zh-CN" w:bidi="ar-SA"/>
        </w:rPr>
        <w:t>1颗粒物监测单元</w:t>
      </w:r>
    </w:p>
    <w:p w14:paraId="2A9A08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（1）测量原理：直接抽取法取样</w:t>
      </w:r>
    </w:p>
    <w:p w14:paraId="10C9ED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（2）测量量程：具备自动零点和量程校准功能；且具备多量程输出，且满足环保要求的双量程自动切换。</w:t>
      </w:r>
    </w:p>
    <w:p w14:paraId="5B5617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（3）具备自动反吹镜片/采样探头功能，防止粉尘黏附污染光学窗口；反吹周期可组态设置。</w:t>
      </w:r>
    </w:p>
    <w:p w14:paraId="2C6DB2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（4）高湿烟气适应性：可耐受烟气高湿、少量结露工况，探头防冷凝设计。</w:t>
      </w:r>
    </w:p>
    <w:p w14:paraId="3E130C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（5）防护等级：现场探头IP65以上。</w:t>
      </w:r>
    </w:p>
    <w:p w14:paraId="158177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（6）颗粒物CEMS24h零点漂移和量程漂移：不超过±2%满量程。（7）颗粒物CEMS 线性相关校准曲线应符合下列条件：</w:t>
      </w:r>
    </w:p>
    <w:p w14:paraId="527F18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①相关系数：≥0.85（当测量范围上限小于或等于50mg/m3时，相关系数≥0.75）;</w:t>
      </w:r>
    </w:p>
    <w:p w14:paraId="4FBD62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②置信区间：95%的置信水平区间应落在由距校准曲线适合的颗粒物排放浓度限值±10%的两条直线组成的区间内。</w:t>
      </w:r>
    </w:p>
    <w:p w14:paraId="50D16A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③允许区间：允许区间应具有95%的置信水平，即75%的测定值应落在由距校准曲线适合的颗粒物排放浓度限值+25%的两条直线组成的区间内。</w:t>
      </w:r>
    </w:p>
    <w:p w14:paraId="0296AC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（8）当参比方法测量烟气中颗粒物排放浓度的平均值：</w:t>
      </w:r>
    </w:p>
    <w:p w14:paraId="537B0C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①&gt;200mg/m3时，CEMS与参比方法比对测试结果平均值的相对误差：不超过±15%;</w:t>
      </w:r>
    </w:p>
    <w:p w14:paraId="7CFA8F9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②&gt;100mg/m3~≤200mg/m3时，CEMS与参比方法测量结果平均值的相对误差：不超过±20%;</w:t>
      </w:r>
    </w:p>
    <w:p w14:paraId="115DDC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③&gt;50mg/m3~≤100mg/m3时，CEMS与参比方法测量结果平均值的相对误差：不超过±25%;</w:t>
      </w:r>
    </w:p>
    <w:p w14:paraId="12382C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④&gt;20mg/m3~≤50mg/m3时，CEMS与参比方法测量结果平均值的相对误差：不超过±30%;</w:t>
      </w:r>
    </w:p>
    <w:p w14:paraId="2AB3D8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⑤&gt;10mg/m3~≤20mg/m3时，CEMS与参比方法测量结果平均值的绝对误差：不超过±6mg/m3;</w:t>
      </w:r>
    </w:p>
    <w:p w14:paraId="77C9FA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⑥≤10mg/m3时，CEMS与参比方法测量结果平均值的绝对误差：不超过±5mg/m3。</w:t>
      </w:r>
    </w:p>
    <w:p w14:paraId="5A198B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3.2.</w:t>
      </w:r>
      <w:r>
        <w:rPr>
          <w:rFonts w:hint="default" w:ascii="宋体" w:hAnsi="宋体" w:eastAsia="宋体" w:cs="宋体"/>
          <w:b w:val="0"/>
          <w:bCs w:val="0"/>
          <w:kern w:val="2"/>
          <w:sz w:val="24"/>
          <w:szCs w:val="24"/>
          <w:lang w:val="en-US" w:eastAsia="zh-CN" w:bidi="ar-SA"/>
        </w:rPr>
        <w:t>2烟气参数子系统</w:t>
      </w:r>
    </w:p>
    <w:p w14:paraId="638BA7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（1）烟气流速连续测量系统，测量范围：测量范围上限≥30m/s。</w:t>
      </w:r>
    </w:p>
    <w:p w14:paraId="7DA318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（2）速度场系数精密度：速度场系数的相对标准偏差≤5%。</w:t>
      </w:r>
    </w:p>
    <w:p w14:paraId="2C81C4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（3）准确度，当参比方法测量烟气流速的平均值：</w:t>
      </w:r>
    </w:p>
    <w:p w14:paraId="7C2E6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①&gt;10m/s时，CEMS与参比方法测量结果平均值的相对误差：不超过±10%;</w:t>
      </w:r>
    </w:p>
    <w:p w14:paraId="48D282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②≤10m/s时，CEMS与参比方法测量结果平均值的相对误差：不超过±12%。</w:t>
      </w:r>
    </w:p>
    <w:p w14:paraId="531CDB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（4）烟气温度连续测量系统，准确度：CEMS与参比方法测量结果平均值的绝对误差：不超过</w:t>
      </w:r>
      <w:r>
        <w:rPr>
          <w:rFonts w:hint="eastAsia" w:ascii="宋体" w:hAnsi="宋体" w:cs="宋体"/>
          <w:b w:val="0"/>
          <w:bCs w:val="0"/>
          <w:kern w:val="2"/>
          <w:sz w:val="24"/>
          <w:szCs w:val="24"/>
          <w:lang w:val="en-US" w:eastAsia="zh-CN" w:bidi="ar-SA"/>
        </w:rPr>
        <w:t>±</w:t>
      </w:r>
      <w:r>
        <w:rPr>
          <w:rFonts w:hint="default" w:ascii="宋体" w:hAnsi="宋体" w:eastAsia="宋体" w:cs="宋体"/>
          <w:b w:val="0"/>
          <w:bCs w:val="0"/>
          <w:kern w:val="2"/>
          <w:sz w:val="24"/>
          <w:szCs w:val="24"/>
          <w:lang w:val="en-US" w:eastAsia="zh-CN" w:bidi="ar-SA"/>
        </w:rPr>
        <w:t>3°C。</w:t>
      </w:r>
    </w:p>
    <w:p w14:paraId="558B83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（5）烟气湿度连续测量系统，准确度，当参比方法测量烟气绝对湿度的平均值：</w:t>
      </w:r>
    </w:p>
    <w:p w14:paraId="29FF2B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①&gt;5.0%时，CEMS与参比方法测量结果平均值的相对误差：不超过</w:t>
      </w:r>
      <w:r>
        <w:rPr>
          <w:rFonts w:hint="eastAsia" w:ascii="宋体" w:hAnsi="宋体" w:cs="宋体"/>
          <w:b w:val="0"/>
          <w:bCs w:val="0"/>
          <w:kern w:val="2"/>
          <w:sz w:val="24"/>
          <w:szCs w:val="24"/>
          <w:lang w:val="en-US" w:eastAsia="zh-CN" w:bidi="ar-SA"/>
        </w:rPr>
        <w:t>±</w:t>
      </w:r>
      <w:r>
        <w:rPr>
          <w:rFonts w:hint="default" w:ascii="宋体" w:hAnsi="宋体" w:eastAsia="宋体" w:cs="宋体"/>
          <w:b w:val="0"/>
          <w:bCs w:val="0"/>
          <w:kern w:val="2"/>
          <w:sz w:val="24"/>
          <w:szCs w:val="24"/>
          <w:lang w:val="en-US" w:eastAsia="zh-CN" w:bidi="ar-SA"/>
        </w:rPr>
        <w:t>25%;</w:t>
      </w:r>
    </w:p>
    <w:p w14:paraId="65F4ED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②≤5.0%时，CEMS与参比方法测量结果平均值的绝对误差：不超过</w:t>
      </w:r>
      <w:r>
        <w:rPr>
          <w:rFonts w:hint="eastAsia" w:ascii="宋体" w:hAnsi="宋体" w:cs="宋体"/>
          <w:b w:val="0"/>
          <w:bCs w:val="0"/>
          <w:kern w:val="2"/>
          <w:sz w:val="24"/>
          <w:szCs w:val="24"/>
          <w:lang w:val="en-US" w:eastAsia="zh-CN" w:bidi="ar-SA"/>
        </w:rPr>
        <w:t>±</w:t>
      </w:r>
      <w:r>
        <w:rPr>
          <w:rFonts w:hint="default" w:ascii="宋体" w:hAnsi="宋体" w:eastAsia="宋体" w:cs="宋体"/>
          <w:b w:val="0"/>
          <w:bCs w:val="0"/>
          <w:kern w:val="2"/>
          <w:sz w:val="24"/>
          <w:szCs w:val="24"/>
          <w:lang w:val="en-US" w:eastAsia="zh-CN" w:bidi="ar-SA"/>
        </w:rPr>
        <w:t>1.5%。</w:t>
      </w:r>
    </w:p>
    <w:p w14:paraId="670B17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（6）所有参数实时输出，参与颗粒物浓度折算（标干浓度、过量空气系数折算）。</w:t>
      </w:r>
    </w:p>
    <w:p w14:paraId="4D28E1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（7）流速测量具备防堵反吹。</w:t>
      </w:r>
    </w:p>
    <w:p w14:paraId="76ACAB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3.2.</w:t>
      </w:r>
      <w:r>
        <w:rPr>
          <w:rFonts w:hint="default" w:ascii="宋体" w:hAnsi="宋体" w:eastAsia="宋体" w:cs="宋体"/>
          <w:b w:val="0"/>
          <w:bCs w:val="0"/>
          <w:kern w:val="2"/>
          <w:sz w:val="24"/>
          <w:szCs w:val="24"/>
          <w:lang w:val="en-US" w:eastAsia="zh-CN" w:bidi="ar-SA"/>
        </w:rPr>
        <w:t>3采样预处理系统</w:t>
      </w:r>
    </w:p>
    <w:p w14:paraId="7D8EAC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（1）采样探头带陶瓷/金属过滤器；伴热管线≥120℃，高于烟气露点10℃以上，防止样品冷凝水腐蚀、组分损失。</w:t>
      </w:r>
    </w:p>
    <w:p w14:paraId="3A6475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（2）采样管路全程伴热，冷干法预处理，具备精密过滤、冷凝除水。</w:t>
      </w:r>
    </w:p>
    <w:p w14:paraId="2DF809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（3）系统具备自动、手动零点/量程校准功能；标气接口齐全。</w:t>
      </w:r>
    </w:p>
    <w:p w14:paraId="0D9E98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3.2.</w:t>
      </w:r>
      <w:r>
        <w:rPr>
          <w:rFonts w:hint="default" w:ascii="宋体" w:hAnsi="宋体" w:eastAsia="宋体" w:cs="宋体"/>
          <w:b w:val="0"/>
          <w:bCs w:val="0"/>
          <w:kern w:val="2"/>
          <w:sz w:val="24"/>
          <w:szCs w:val="24"/>
          <w:lang w:val="en-US" w:eastAsia="zh-CN" w:bidi="ar-SA"/>
        </w:rPr>
        <w:t>4工控主机与显示</w:t>
      </w:r>
    </w:p>
    <w:p w14:paraId="30E92E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（1）本地触摸屏显示实时浓度、标干浓度、温度压力流速湿度氧含量；显示设备故障、校准、反吹状态。</w:t>
      </w:r>
    </w:p>
    <w:p w14:paraId="0D8CBC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（2）具备分级密码权限管理，防止人为篡改参数</w:t>
      </w:r>
      <w:r>
        <w:rPr>
          <w:rFonts w:hint="eastAsia" w:ascii="宋体" w:hAnsi="宋体" w:eastAsia="宋体" w:cs="宋体"/>
          <w:b w:val="0"/>
          <w:bCs w:val="0"/>
          <w:kern w:val="2"/>
          <w:sz w:val="24"/>
          <w:szCs w:val="24"/>
          <w:lang w:val="en-US" w:eastAsia="zh-CN" w:bidi="ar-SA"/>
        </w:rPr>
        <w:t>。</w:t>
      </w:r>
    </w:p>
    <w:p w14:paraId="6E3B8B1C">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3.3 数采仪与通讯</w:t>
      </w:r>
    </w:p>
    <w:p w14:paraId="2B56B6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3.3.</w:t>
      </w:r>
      <w:r>
        <w:rPr>
          <w:rFonts w:hint="default" w:ascii="宋体" w:hAnsi="宋体" w:eastAsia="宋体" w:cs="宋体"/>
          <w:b w:val="0"/>
          <w:bCs w:val="0"/>
          <w:kern w:val="2"/>
          <w:sz w:val="24"/>
          <w:szCs w:val="24"/>
          <w:lang w:val="en-US" w:eastAsia="zh-CN" w:bidi="ar-SA"/>
        </w:rPr>
        <w:t>1原生完整支持 HJ212</w:t>
      </w:r>
      <w:r>
        <w:rPr>
          <w:rFonts w:hint="default" w:ascii="宋体" w:hAnsi="宋体" w:eastAsia="宋体" w:cs="宋体"/>
          <w:b w:val="0"/>
          <w:bCs w:val="0"/>
          <w:kern w:val="2"/>
          <w:sz w:val="24"/>
          <w:szCs w:val="24"/>
          <w:lang w:val="en-US" w:eastAsia="zh-CN" w:bidi="ar-SA"/>
        </w:rPr>
        <w:noBreakHyphen/>
      </w:r>
      <w:r>
        <w:rPr>
          <w:rFonts w:hint="default" w:ascii="宋体" w:hAnsi="宋体" w:eastAsia="宋体" w:cs="宋体"/>
          <w:b w:val="0"/>
          <w:bCs w:val="0"/>
          <w:kern w:val="2"/>
          <w:sz w:val="24"/>
          <w:szCs w:val="24"/>
          <w:lang w:val="en-US" w:eastAsia="zh-CN" w:bidi="ar-SA"/>
        </w:rPr>
        <w:t>2025 全部协议，不接受旧 212</w:t>
      </w:r>
      <w:r>
        <w:rPr>
          <w:rFonts w:hint="default" w:ascii="宋体" w:hAnsi="宋体" w:eastAsia="宋体" w:cs="宋体"/>
          <w:b w:val="0"/>
          <w:bCs w:val="0"/>
          <w:kern w:val="2"/>
          <w:sz w:val="24"/>
          <w:szCs w:val="24"/>
          <w:lang w:val="en-US" w:eastAsia="zh-CN" w:bidi="ar-SA"/>
        </w:rPr>
        <w:noBreakHyphen/>
      </w:r>
      <w:r>
        <w:rPr>
          <w:rFonts w:hint="default" w:ascii="宋体" w:hAnsi="宋体" w:eastAsia="宋体" w:cs="宋体"/>
          <w:b w:val="0"/>
          <w:bCs w:val="0"/>
          <w:kern w:val="2"/>
          <w:sz w:val="24"/>
          <w:szCs w:val="24"/>
          <w:lang w:val="en-US" w:eastAsia="zh-CN" w:bidi="ar-SA"/>
        </w:rPr>
        <w:t>2017 升级改造方案；提供厂家协议测试证明材料。</w:t>
      </w:r>
    </w:p>
    <w:p w14:paraId="05CF85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3.3.</w:t>
      </w:r>
      <w:r>
        <w:rPr>
          <w:rFonts w:hint="default" w:ascii="宋体" w:hAnsi="宋体" w:eastAsia="宋体" w:cs="宋体"/>
          <w:b w:val="0"/>
          <w:bCs w:val="0"/>
          <w:kern w:val="2"/>
          <w:sz w:val="24"/>
          <w:szCs w:val="24"/>
          <w:lang w:val="en-US" w:eastAsia="zh-CN" w:bidi="ar-SA"/>
        </w:rPr>
        <w:t>2数据标记完全按照 HJ212</w:t>
      </w:r>
      <w:r>
        <w:rPr>
          <w:rFonts w:hint="default" w:ascii="宋体" w:hAnsi="宋体" w:eastAsia="宋体" w:cs="宋体"/>
          <w:b w:val="0"/>
          <w:bCs w:val="0"/>
          <w:kern w:val="2"/>
          <w:sz w:val="24"/>
          <w:szCs w:val="24"/>
          <w:lang w:val="en-US" w:eastAsia="zh-CN" w:bidi="ar-SA"/>
        </w:rPr>
        <w:noBreakHyphen/>
      </w:r>
      <w:r>
        <w:rPr>
          <w:rFonts w:hint="default" w:ascii="宋体" w:hAnsi="宋体" w:eastAsia="宋体" w:cs="宋体"/>
          <w:b w:val="0"/>
          <w:bCs w:val="0"/>
          <w:kern w:val="2"/>
          <w:sz w:val="24"/>
          <w:szCs w:val="24"/>
          <w:lang w:val="en-US" w:eastAsia="zh-CN" w:bidi="ar-SA"/>
        </w:rPr>
        <w:t>2025 编码，校准、反吹、故障、超量程等状态自动打标记，禁止人工修改标记，禁止故障状态强制填充零值。</w:t>
      </w:r>
    </w:p>
    <w:p w14:paraId="4B3394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3.3.</w:t>
      </w:r>
      <w:r>
        <w:rPr>
          <w:rFonts w:hint="default" w:ascii="宋体" w:hAnsi="宋体" w:eastAsia="宋体" w:cs="宋体"/>
          <w:b w:val="0"/>
          <w:bCs w:val="0"/>
          <w:kern w:val="2"/>
          <w:sz w:val="24"/>
          <w:szCs w:val="24"/>
          <w:lang w:val="en-US" w:eastAsia="zh-CN" w:bidi="ar-SA"/>
        </w:rPr>
        <w:t>3本地存储：原始分钟数据、小时数据、设备日志、校准记录本地保存≥3 年，不可删除篡改；支持U盘导出、远程调取。</w:t>
      </w:r>
    </w:p>
    <w:p w14:paraId="0C02B9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3.3.</w:t>
      </w:r>
      <w:r>
        <w:rPr>
          <w:rFonts w:hint="default" w:ascii="宋体" w:hAnsi="宋体" w:eastAsia="宋体" w:cs="宋体"/>
          <w:b w:val="0"/>
          <w:bCs w:val="0"/>
          <w:kern w:val="2"/>
          <w:sz w:val="24"/>
          <w:szCs w:val="24"/>
          <w:lang w:val="en-US" w:eastAsia="zh-CN" w:bidi="ar-SA"/>
        </w:rPr>
        <w:t>4通讯接口：以太网、4G全网通；RS232、RS485 隔离接口；具备防雷。</w:t>
      </w:r>
    </w:p>
    <w:p w14:paraId="21D54D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3.3.</w:t>
      </w:r>
      <w:r>
        <w:rPr>
          <w:rFonts w:hint="default" w:ascii="宋体" w:hAnsi="宋体" w:eastAsia="宋体" w:cs="宋体"/>
          <w:b w:val="0"/>
          <w:bCs w:val="0"/>
          <w:kern w:val="2"/>
          <w:sz w:val="24"/>
          <w:szCs w:val="24"/>
          <w:lang w:val="en-US" w:eastAsia="zh-CN" w:bidi="ar-SA"/>
        </w:rPr>
        <w:t>5断点续传：网络中断恢复后自动补传历史数据，不丢失。</w:t>
      </w:r>
    </w:p>
    <w:p w14:paraId="54E10B2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3.3.</w:t>
      </w:r>
      <w:r>
        <w:rPr>
          <w:rFonts w:hint="default" w:ascii="宋体" w:hAnsi="宋体" w:eastAsia="宋体" w:cs="宋体"/>
          <w:b w:val="0"/>
          <w:bCs w:val="0"/>
          <w:kern w:val="2"/>
          <w:sz w:val="24"/>
          <w:szCs w:val="24"/>
          <w:lang w:val="en-US" w:eastAsia="zh-CN" w:bidi="ar-SA"/>
        </w:rPr>
        <w:t>6支持设备唯一身份标识码上传，满足自动监控设备一机一码溯源。</w:t>
      </w:r>
    </w:p>
    <w:p w14:paraId="25D065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3.3.</w:t>
      </w:r>
      <w:r>
        <w:rPr>
          <w:rFonts w:hint="default" w:ascii="宋体" w:hAnsi="宋体" w:eastAsia="宋体" w:cs="宋体"/>
          <w:b w:val="0"/>
          <w:bCs w:val="0"/>
          <w:kern w:val="2"/>
          <w:sz w:val="24"/>
          <w:szCs w:val="24"/>
          <w:lang w:val="en-US" w:eastAsia="zh-CN" w:bidi="ar-SA"/>
        </w:rPr>
        <w:t>7支持监管平台召测、事件主动上报；支持加密传输</w:t>
      </w:r>
      <w:r>
        <w:rPr>
          <w:rFonts w:hint="eastAsia" w:ascii="宋体" w:hAnsi="宋体" w:eastAsia="宋体" w:cs="宋体"/>
          <w:b w:val="0"/>
          <w:bCs w:val="0"/>
          <w:kern w:val="2"/>
          <w:sz w:val="24"/>
          <w:szCs w:val="24"/>
          <w:lang w:val="en-US" w:eastAsia="zh-CN" w:bidi="ar-SA"/>
        </w:rPr>
        <w:t>。</w:t>
      </w:r>
    </w:p>
    <w:p w14:paraId="52783D0A">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3.4 系统整体性能指标</w:t>
      </w:r>
    </w:p>
    <w:p w14:paraId="192DC1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3.4.</w:t>
      </w:r>
      <w:r>
        <w:rPr>
          <w:rFonts w:hint="default" w:ascii="宋体" w:hAnsi="宋体" w:eastAsia="宋体" w:cs="宋体"/>
          <w:b w:val="0"/>
          <w:bCs w:val="0"/>
          <w:kern w:val="2"/>
          <w:sz w:val="24"/>
          <w:szCs w:val="24"/>
          <w:lang w:val="en-US" w:eastAsia="zh-CN" w:bidi="ar-SA"/>
        </w:rPr>
        <w:t>1系统响应时间≤120s；</w:t>
      </w:r>
    </w:p>
    <w:p w14:paraId="40DCA1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3.4.</w:t>
      </w:r>
      <w:r>
        <w:rPr>
          <w:rFonts w:hint="default" w:ascii="宋体" w:hAnsi="宋体" w:eastAsia="宋体" w:cs="宋体"/>
          <w:b w:val="0"/>
          <w:bCs w:val="0"/>
          <w:kern w:val="2"/>
          <w:sz w:val="24"/>
          <w:szCs w:val="24"/>
          <w:lang w:val="en-US" w:eastAsia="zh-CN" w:bidi="ar-SA"/>
        </w:rPr>
        <w:t>2具备故障自诊断：探头堵塞、伴热故障、气源异常、分析仪故障、通讯故障本地报警同时上传平台；</w:t>
      </w:r>
    </w:p>
    <w:p w14:paraId="5D4C7E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3.4.</w:t>
      </w:r>
      <w:r>
        <w:rPr>
          <w:rFonts w:hint="default" w:ascii="宋体" w:hAnsi="宋体" w:eastAsia="宋体" w:cs="宋体"/>
          <w:b w:val="0"/>
          <w:bCs w:val="0"/>
          <w:kern w:val="2"/>
          <w:sz w:val="24"/>
          <w:szCs w:val="24"/>
          <w:lang w:val="en-US" w:eastAsia="zh-CN" w:bidi="ar-SA"/>
        </w:rPr>
        <w:t>3自动生成日报、月报、年报，符合HJ75、HJ76报表格式；</w:t>
      </w:r>
    </w:p>
    <w:p w14:paraId="07AE73D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3.4.</w:t>
      </w:r>
      <w:r>
        <w:rPr>
          <w:rFonts w:hint="default" w:ascii="宋体" w:hAnsi="宋体" w:eastAsia="宋体" w:cs="宋体"/>
          <w:b w:val="0"/>
          <w:bCs w:val="0"/>
          <w:kern w:val="2"/>
          <w:sz w:val="24"/>
          <w:szCs w:val="24"/>
          <w:lang w:val="en-US" w:eastAsia="zh-CN" w:bidi="ar-SA"/>
        </w:rPr>
        <w:t>4支持标准状态、干基、氧含量折算，自动计算标干颗粒物排放浓度。</w:t>
      </w:r>
    </w:p>
    <w:p w14:paraId="5B86EB15">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3.4.</w:t>
      </w:r>
      <w:r>
        <w:rPr>
          <w:rFonts w:hint="default" w:ascii="宋体" w:hAnsi="宋体" w:eastAsia="宋体" w:cs="宋体"/>
          <w:b w:val="0"/>
          <w:bCs w:val="0"/>
          <w:sz w:val="24"/>
          <w:szCs w:val="24"/>
          <w:lang w:val="en-US" w:eastAsia="zh-CN"/>
        </w:rPr>
        <w:t>5</w:t>
      </w:r>
      <w:r>
        <w:rPr>
          <w:rFonts w:hint="eastAsia" w:ascii="宋体" w:hAnsi="宋体" w:eastAsia="宋体" w:cs="宋体"/>
          <w:b w:val="0"/>
          <w:bCs w:val="0"/>
          <w:sz w:val="24"/>
          <w:szCs w:val="24"/>
          <w:lang w:val="en-US" w:eastAsia="zh-CN"/>
        </w:rPr>
        <w:t xml:space="preserve"> </w:t>
      </w:r>
      <w:r>
        <w:rPr>
          <w:rFonts w:hint="default" w:ascii="宋体" w:hAnsi="宋体" w:eastAsia="宋体" w:cs="宋体"/>
          <w:b w:val="0"/>
          <w:bCs w:val="0"/>
          <w:sz w:val="24"/>
          <w:szCs w:val="24"/>
          <w:lang w:val="en-US" w:eastAsia="zh-CN"/>
        </w:rPr>
        <w:t>MTBF≥8000h</w:t>
      </w:r>
      <w:r>
        <w:rPr>
          <w:rFonts w:hint="eastAsia" w:ascii="宋体" w:hAnsi="宋体" w:eastAsia="宋体" w:cs="宋体"/>
          <w:b w:val="0"/>
          <w:bCs w:val="0"/>
          <w:sz w:val="24"/>
          <w:szCs w:val="24"/>
          <w:lang w:val="en-US" w:eastAsia="zh-CN"/>
        </w:rPr>
        <w:t>。</w:t>
      </w:r>
    </w:p>
    <w:p w14:paraId="2701B7A8">
      <w:pPr>
        <w:keepNext w:val="0"/>
        <w:keepLines w:val="0"/>
        <w:pageBreakBefore w:val="0"/>
        <w:widowControl w:val="0"/>
        <w:kinsoku/>
        <w:wordWrap/>
        <w:overflowPunct/>
        <w:topLinePunct w:val="0"/>
        <w:autoSpaceDE/>
        <w:autoSpaceDN/>
        <w:bidi w:val="0"/>
        <w:adjustRightInd/>
        <w:snapToGrid/>
        <w:spacing w:line="30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3.5 安装、调试、培训、交付资料</w:t>
      </w:r>
    </w:p>
    <w:p w14:paraId="4D0B90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3.5.</w:t>
      </w:r>
      <w:r>
        <w:rPr>
          <w:rFonts w:hint="default" w:ascii="宋体" w:hAnsi="宋体" w:eastAsia="宋体" w:cs="宋体"/>
          <w:b w:val="0"/>
          <w:bCs w:val="0"/>
          <w:kern w:val="2"/>
          <w:sz w:val="24"/>
          <w:szCs w:val="24"/>
          <w:lang w:val="en-US" w:eastAsia="zh-CN" w:bidi="ar-SA"/>
        </w:rPr>
        <w:t>1</w:t>
      </w:r>
      <w:r>
        <w:rPr>
          <w:rFonts w:hint="eastAsia" w:ascii="宋体" w:hAnsi="宋体" w:eastAsia="宋体" w:cs="宋体"/>
          <w:b w:val="0"/>
          <w:bCs w:val="0"/>
          <w:kern w:val="2"/>
          <w:sz w:val="24"/>
          <w:szCs w:val="24"/>
          <w:lang w:val="en-US" w:eastAsia="zh-CN" w:bidi="ar-SA"/>
        </w:rPr>
        <w:t xml:space="preserve"> </w:t>
      </w:r>
      <w:r>
        <w:rPr>
          <w:rFonts w:hint="eastAsia" w:ascii="宋体" w:hAnsi="宋体" w:cs="宋体"/>
          <w:b w:val="0"/>
          <w:bCs w:val="0"/>
          <w:kern w:val="2"/>
          <w:sz w:val="24"/>
          <w:szCs w:val="24"/>
          <w:lang w:val="en-US" w:eastAsia="zh-CN" w:bidi="ar-SA"/>
        </w:rPr>
        <w:t>投标</w:t>
      </w:r>
      <w:r>
        <w:rPr>
          <w:rFonts w:hint="default" w:ascii="宋体" w:hAnsi="宋体" w:eastAsia="宋体" w:cs="宋体"/>
          <w:b w:val="0"/>
          <w:bCs w:val="0"/>
          <w:kern w:val="2"/>
          <w:sz w:val="24"/>
          <w:szCs w:val="24"/>
          <w:lang w:val="en-US" w:eastAsia="zh-CN" w:bidi="ar-SA"/>
        </w:rPr>
        <w:t>方负责</w:t>
      </w:r>
      <w:r>
        <w:rPr>
          <w:rFonts w:hint="eastAsia" w:ascii="宋体" w:hAnsi="宋体" w:cs="宋体"/>
          <w:b w:val="0"/>
          <w:bCs w:val="0"/>
          <w:kern w:val="2"/>
          <w:sz w:val="24"/>
          <w:szCs w:val="24"/>
          <w:lang w:val="en-US" w:eastAsia="zh-CN" w:bidi="ar-SA"/>
        </w:rPr>
        <w:t>旧设备保护性拆除、新</w:t>
      </w:r>
      <w:r>
        <w:rPr>
          <w:rFonts w:hint="default" w:ascii="宋体" w:hAnsi="宋体" w:eastAsia="宋体" w:cs="宋体"/>
          <w:b w:val="0"/>
          <w:bCs w:val="0"/>
          <w:kern w:val="2"/>
          <w:sz w:val="24"/>
          <w:szCs w:val="24"/>
          <w:lang w:val="en-US" w:eastAsia="zh-CN" w:bidi="ar-SA"/>
        </w:rPr>
        <w:t>设备就位、安装固定、电缆、信号线缆敷设，接线调试。</w:t>
      </w:r>
    </w:p>
    <w:p w14:paraId="29B25B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3.5.</w:t>
      </w:r>
      <w:r>
        <w:rPr>
          <w:rFonts w:hint="default" w:ascii="宋体" w:hAnsi="宋体" w:eastAsia="宋体" w:cs="宋体"/>
          <w:b w:val="0"/>
          <w:bCs w:val="0"/>
          <w:kern w:val="2"/>
          <w:sz w:val="24"/>
          <w:szCs w:val="24"/>
          <w:lang w:val="en-US" w:eastAsia="zh-CN" w:bidi="ar-SA"/>
        </w:rPr>
        <w:t>2</w:t>
      </w:r>
      <w:r>
        <w:rPr>
          <w:rFonts w:hint="eastAsia" w:ascii="宋体" w:hAnsi="宋体" w:eastAsia="宋体" w:cs="宋体"/>
          <w:b w:val="0"/>
          <w:bCs w:val="0"/>
          <w:kern w:val="2"/>
          <w:sz w:val="24"/>
          <w:szCs w:val="24"/>
          <w:lang w:val="en-US" w:eastAsia="zh-CN" w:bidi="ar-SA"/>
        </w:rPr>
        <w:t xml:space="preserve"> </w:t>
      </w:r>
      <w:r>
        <w:rPr>
          <w:rFonts w:hint="default" w:ascii="宋体" w:hAnsi="宋体" w:eastAsia="宋体" w:cs="宋体"/>
          <w:b w:val="0"/>
          <w:bCs w:val="0"/>
          <w:kern w:val="2"/>
          <w:sz w:val="24"/>
          <w:szCs w:val="24"/>
          <w:lang w:val="en-US" w:eastAsia="zh-CN" w:bidi="ar-SA"/>
        </w:rPr>
        <w:t>CEMS安装施工应符合</w:t>
      </w:r>
      <w:r>
        <w:rPr>
          <w:rFonts w:hint="default" w:ascii="宋体" w:hAnsi="宋体" w:eastAsia="宋体" w:cs="宋体"/>
          <w:b w:val="0"/>
          <w:bCs w:val="0"/>
          <w:kern w:val="2"/>
          <w:sz w:val="24"/>
          <w:szCs w:val="24"/>
          <w:highlight w:val="none"/>
          <w:lang w:val="en-US" w:eastAsia="zh-CN" w:bidi="ar-SA"/>
        </w:rPr>
        <w:t>GB50093、GB50168</w:t>
      </w:r>
      <w:r>
        <w:rPr>
          <w:rFonts w:hint="default" w:ascii="宋体" w:hAnsi="宋体" w:eastAsia="宋体" w:cs="宋体"/>
          <w:b w:val="0"/>
          <w:bCs w:val="0"/>
          <w:kern w:val="2"/>
          <w:sz w:val="24"/>
          <w:szCs w:val="24"/>
          <w:lang w:val="en-US" w:eastAsia="zh-CN" w:bidi="ar-SA"/>
        </w:rPr>
        <w:t>的规定。</w:t>
      </w:r>
    </w:p>
    <w:p w14:paraId="3F65315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3.</w:t>
      </w:r>
      <w:r>
        <w:rPr>
          <w:rFonts w:hint="eastAsia" w:ascii="宋体" w:hAnsi="宋体" w:eastAsia="宋体" w:cs="宋体"/>
          <w:b w:val="0"/>
          <w:bCs w:val="0"/>
          <w:kern w:val="2"/>
          <w:sz w:val="24"/>
          <w:szCs w:val="24"/>
          <w:lang w:val="en-US" w:eastAsia="zh-CN" w:bidi="ar-SA"/>
        </w:rPr>
        <w:t xml:space="preserve">5.3 </w:t>
      </w:r>
      <w:r>
        <w:rPr>
          <w:rFonts w:hint="default" w:ascii="宋体" w:hAnsi="宋体" w:eastAsia="宋体" w:cs="宋体"/>
          <w:b w:val="0"/>
          <w:bCs w:val="0"/>
          <w:kern w:val="2"/>
          <w:sz w:val="24"/>
          <w:szCs w:val="24"/>
          <w:lang w:val="en-US" w:eastAsia="zh-CN" w:bidi="ar-SA"/>
        </w:rPr>
        <w:t>施工单位应熟悉CEMS的原理、结构、性能，编制施工方案、施工技术流程图、监测设备及配件货物清单交接明细表、施工安全细则等有关文件。</w:t>
      </w:r>
    </w:p>
    <w:p w14:paraId="104084C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3.5.</w:t>
      </w:r>
      <w:r>
        <w:rPr>
          <w:rFonts w:hint="eastAsia" w:ascii="宋体" w:hAnsi="宋体" w:cs="宋体"/>
          <w:b w:val="0"/>
          <w:bCs w:val="0"/>
          <w:kern w:val="2"/>
          <w:sz w:val="24"/>
          <w:szCs w:val="24"/>
          <w:lang w:val="en-US" w:eastAsia="zh-CN" w:bidi="ar-SA"/>
        </w:rPr>
        <w:t>4</w:t>
      </w:r>
      <w:r>
        <w:rPr>
          <w:rFonts w:hint="eastAsia" w:ascii="宋体" w:hAnsi="宋体" w:eastAsia="宋体" w:cs="宋体"/>
          <w:b w:val="0"/>
          <w:bCs w:val="0"/>
          <w:kern w:val="2"/>
          <w:sz w:val="24"/>
          <w:szCs w:val="24"/>
          <w:lang w:val="en-US" w:eastAsia="zh-CN" w:bidi="ar-SA"/>
        </w:rPr>
        <w:t xml:space="preserve"> </w:t>
      </w:r>
      <w:r>
        <w:rPr>
          <w:rFonts w:hint="default" w:ascii="宋体" w:hAnsi="宋体" w:eastAsia="宋体" w:cs="宋体"/>
          <w:b w:val="0"/>
          <w:bCs w:val="0"/>
          <w:kern w:val="2"/>
          <w:sz w:val="24"/>
          <w:szCs w:val="24"/>
          <w:lang w:val="en-US" w:eastAsia="zh-CN" w:bidi="ar-SA"/>
        </w:rPr>
        <w:t>设备安装前的清理、检查及保养应符合以下要求：</w:t>
      </w:r>
    </w:p>
    <w:p w14:paraId="0BC1E5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（1）按交货清单和安装图样明细表清点检查设备及零部件，缺损件应及时处理，更换补齐。</w:t>
      </w:r>
    </w:p>
    <w:p w14:paraId="30EADE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（2）运转部件如：取样泵、压缩机、监测仪器等，滑动部位均需清洗、注油润滑防护。</w:t>
      </w:r>
    </w:p>
    <w:p w14:paraId="4B14CE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（3）因运输造成变形的仪器、设备的结构件应校正，并重新涂刷防锈漆及表面油漆，保养完毕后应恢复原标记。</w:t>
      </w:r>
    </w:p>
    <w:p w14:paraId="41E9056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3.5.</w:t>
      </w:r>
      <w:r>
        <w:rPr>
          <w:rFonts w:hint="eastAsia" w:ascii="宋体" w:hAnsi="宋体" w:cs="宋体"/>
          <w:b w:val="0"/>
          <w:bCs w:val="0"/>
          <w:kern w:val="2"/>
          <w:sz w:val="24"/>
          <w:szCs w:val="24"/>
          <w:lang w:val="en-US" w:eastAsia="zh-CN" w:bidi="ar-SA"/>
        </w:rPr>
        <w:t>5</w:t>
      </w:r>
      <w:r>
        <w:rPr>
          <w:rFonts w:hint="default" w:ascii="宋体" w:hAnsi="宋体" w:eastAsia="宋体" w:cs="宋体"/>
          <w:b w:val="0"/>
          <w:bCs w:val="0"/>
          <w:kern w:val="2"/>
          <w:sz w:val="24"/>
          <w:szCs w:val="24"/>
          <w:lang w:val="en-US" w:eastAsia="zh-CN" w:bidi="ar-SA"/>
        </w:rPr>
        <w:t>现场端连接材料（垫片、螺母、螺栓、短管、法兰等）为焊件组对成焊时，壁（板）的错边量应符合以下要求：</w:t>
      </w:r>
    </w:p>
    <w:p w14:paraId="049ED5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（1）管子或管件对口、内壁齐平，最大错边量≥1mm;</w:t>
      </w:r>
    </w:p>
    <w:p w14:paraId="0F1BF9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（2）采样孔的法兰与连接法兰几何尺寸极限偏差不超过</w:t>
      </w:r>
      <w:r>
        <w:rPr>
          <w:rFonts w:hint="eastAsia" w:ascii="宋体" w:hAnsi="宋体" w:cs="宋体"/>
          <w:b w:val="0"/>
          <w:bCs w:val="0"/>
          <w:kern w:val="2"/>
          <w:sz w:val="24"/>
          <w:szCs w:val="24"/>
          <w:lang w:val="en-US" w:eastAsia="zh-CN" w:bidi="ar-SA"/>
        </w:rPr>
        <w:t>±</w:t>
      </w:r>
      <w:r>
        <w:rPr>
          <w:rFonts w:hint="default" w:ascii="宋体" w:hAnsi="宋体" w:eastAsia="宋体" w:cs="宋体"/>
          <w:b w:val="0"/>
          <w:bCs w:val="0"/>
          <w:kern w:val="2"/>
          <w:sz w:val="24"/>
          <w:szCs w:val="24"/>
          <w:lang w:val="en-US" w:eastAsia="zh-CN" w:bidi="ar-SA"/>
        </w:rPr>
        <w:t>5mm，法兰端面的垂直度极限偏差≤0.2%;</w:t>
      </w:r>
    </w:p>
    <w:p w14:paraId="62E1203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（3）采用透射法原理颗粒物监测仪器发射单元和颗粒物监测仪反射单元，测量光束从发射孔的中心出射到对面中心线相叠合的极限偏差≤0.2%。</w:t>
      </w:r>
    </w:p>
    <w:p w14:paraId="1A82E7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3.5.</w:t>
      </w:r>
      <w:r>
        <w:rPr>
          <w:rFonts w:hint="eastAsia" w:ascii="宋体" w:hAnsi="宋体" w:cs="宋体"/>
          <w:b w:val="0"/>
          <w:bCs w:val="0"/>
          <w:kern w:val="2"/>
          <w:sz w:val="24"/>
          <w:szCs w:val="24"/>
          <w:lang w:val="en-US" w:eastAsia="zh-CN" w:bidi="ar-SA"/>
        </w:rPr>
        <w:t>6</w:t>
      </w:r>
      <w:r>
        <w:rPr>
          <w:rFonts w:hint="default" w:ascii="宋体" w:hAnsi="宋体" w:eastAsia="宋体" w:cs="宋体"/>
          <w:b w:val="0"/>
          <w:bCs w:val="0"/>
          <w:kern w:val="2"/>
          <w:sz w:val="24"/>
          <w:szCs w:val="24"/>
          <w:lang w:val="en-US" w:eastAsia="zh-CN" w:bidi="ar-SA"/>
        </w:rPr>
        <w:t>从探头到分析仪的整条采样管线的铺设应采用桥架或穿管等方式，保证整条管线具有良好的支撑。管线倾斜度≥5°，防止管线内积水，在每隔4—5m处装线卡箍。当使用伴热管线时应具备稳定、均匀加热和保温的功能；其设置加热温度≥120℃，且应高于烟气露点温度10℃以上，其实际温度值应能够在机柜或系统软件中显示查询。</w:t>
      </w:r>
    </w:p>
    <w:p w14:paraId="601F27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3.5.</w:t>
      </w:r>
      <w:r>
        <w:rPr>
          <w:rFonts w:hint="eastAsia" w:ascii="宋体" w:hAnsi="宋体" w:cs="宋体"/>
          <w:b w:val="0"/>
          <w:bCs w:val="0"/>
          <w:kern w:val="2"/>
          <w:sz w:val="24"/>
          <w:szCs w:val="24"/>
          <w:lang w:val="en-US" w:eastAsia="zh-CN" w:bidi="ar-SA"/>
        </w:rPr>
        <w:t>7</w:t>
      </w:r>
      <w:r>
        <w:rPr>
          <w:rFonts w:hint="default" w:ascii="宋体" w:hAnsi="宋体" w:eastAsia="宋体" w:cs="宋体"/>
          <w:b w:val="0"/>
          <w:bCs w:val="0"/>
          <w:kern w:val="2"/>
          <w:sz w:val="24"/>
          <w:szCs w:val="24"/>
          <w:lang w:val="en-US" w:eastAsia="zh-CN" w:bidi="ar-SA"/>
        </w:rPr>
        <w:t>电缆桥架安装应满足最大直径电缆的最小弯曲半径要求。电缆桥架的连接应采用连接片。配电套管应采用钢管和PVC管材质配线管，其弯曲半径应满足最小弯曲半径要求。</w:t>
      </w:r>
    </w:p>
    <w:p w14:paraId="48B1754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3.5.</w:t>
      </w:r>
      <w:r>
        <w:rPr>
          <w:rFonts w:hint="eastAsia" w:ascii="宋体" w:hAnsi="宋体" w:cs="宋体"/>
          <w:b w:val="0"/>
          <w:bCs w:val="0"/>
          <w:kern w:val="2"/>
          <w:sz w:val="24"/>
          <w:szCs w:val="24"/>
          <w:lang w:val="en-US" w:eastAsia="zh-CN" w:bidi="ar-SA"/>
        </w:rPr>
        <w:t>8</w:t>
      </w:r>
      <w:r>
        <w:rPr>
          <w:rFonts w:hint="default" w:ascii="宋体" w:hAnsi="宋体" w:eastAsia="宋体" w:cs="宋体"/>
          <w:b w:val="0"/>
          <w:bCs w:val="0"/>
          <w:kern w:val="2"/>
          <w:sz w:val="24"/>
          <w:szCs w:val="24"/>
          <w:lang w:val="en-US" w:eastAsia="zh-CN" w:bidi="ar-SA"/>
        </w:rPr>
        <w:t>应将动力与信号电缆分开敷设，保证电缆通路及电缆保护管的密封，自控电缆应符合输入和输出分开、数字信号和模拟信号分开的配线和敷设的要求。</w:t>
      </w:r>
    </w:p>
    <w:p w14:paraId="3BB33C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3.5.</w:t>
      </w:r>
      <w:r>
        <w:rPr>
          <w:rFonts w:hint="eastAsia" w:ascii="宋体" w:hAnsi="宋体" w:cs="宋体"/>
          <w:b w:val="0"/>
          <w:bCs w:val="0"/>
          <w:kern w:val="2"/>
          <w:sz w:val="24"/>
          <w:szCs w:val="24"/>
          <w:lang w:val="en-US" w:eastAsia="zh-CN" w:bidi="ar-SA"/>
        </w:rPr>
        <w:t>9</w:t>
      </w:r>
      <w:r>
        <w:rPr>
          <w:rFonts w:hint="default" w:ascii="宋体" w:hAnsi="宋体" w:eastAsia="宋体" w:cs="宋体"/>
          <w:b w:val="0"/>
          <w:bCs w:val="0"/>
          <w:kern w:val="2"/>
          <w:sz w:val="24"/>
          <w:szCs w:val="24"/>
          <w:lang w:val="en-US" w:eastAsia="zh-CN" w:bidi="ar-SA"/>
        </w:rPr>
        <w:t>安装精度和连接部件坐标尺寸应符合技术文件和图样规定。监测站房仪器应排列整齐，监测仪器顶平直度和平面度应不大于5mm，监测仪器牢固固定，可靠接地。二次接线正确、牢固可靠，配导线的端部应标明回路编号。配线工艺整齐，绑扎牢固，绝缘性好。</w:t>
      </w:r>
    </w:p>
    <w:p w14:paraId="3D5520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3.5.</w:t>
      </w:r>
      <w:r>
        <w:rPr>
          <w:rFonts w:hint="default" w:ascii="宋体" w:hAnsi="宋体" w:eastAsia="宋体" w:cs="宋体"/>
          <w:b w:val="0"/>
          <w:bCs w:val="0"/>
          <w:kern w:val="2"/>
          <w:sz w:val="24"/>
          <w:szCs w:val="24"/>
          <w:lang w:val="en-US" w:eastAsia="zh-CN" w:bidi="ar-SA"/>
        </w:rPr>
        <w:t>1</w:t>
      </w:r>
      <w:r>
        <w:rPr>
          <w:rFonts w:hint="eastAsia" w:ascii="宋体" w:hAnsi="宋体" w:cs="宋体"/>
          <w:b w:val="0"/>
          <w:bCs w:val="0"/>
          <w:kern w:val="2"/>
          <w:sz w:val="24"/>
          <w:szCs w:val="24"/>
          <w:lang w:val="en-US" w:eastAsia="zh-CN" w:bidi="ar-SA"/>
        </w:rPr>
        <w:t>0</w:t>
      </w:r>
      <w:r>
        <w:rPr>
          <w:rFonts w:hint="default" w:ascii="宋体" w:hAnsi="宋体" w:eastAsia="宋体" w:cs="宋体"/>
          <w:b w:val="0"/>
          <w:bCs w:val="0"/>
          <w:kern w:val="2"/>
          <w:sz w:val="24"/>
          <w:szCs w:val="24"/>
          <w:lang w:val="en-US" w:eastAsia="zh-CN" w:bidi="ar-SA"/>
        </w:rPr>
        <w:t>各连接管路、法兰、阀门封口垫圈应牢固完整，均不得有漏气、漏水现象。保持所有管路畅通，保证气路阀门、排水系统安装后应畅通和启闭灵活。自动监测系统空载运行24h后，管路不得出现脱落、渗漏、振动强烈现象。</w:t>
      </w:r>
    </w:p>
    <w:p w14:paraId="722620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3.5.</w:t>
      </w:r>
      <w:r>
        <w:rPr>
          <w:rFonts w:hint="default" w:ascii="宋体" w:hAnsi="宋体" w:eastAsia="宋体" w:cs="宋体"/>
          <w:b w:val="0"/>
          <w:bCs w:val="0"/>
          <w:kern w:val="2"/>
          <w:sz w:val="24"/>
          <w:szCs w:val="24"/>
          <w:lang w:val="en-US" w:eastAsia="zh-CN" w:bidi="ar-SA"/>
        </w:rPr>
        <w:t>1</w:t>
      </w:r>
      <w:r>
        <w:rPr>
          <w:rFonts w:hint="eastAsia" w:ascii="宋体" w:hAnsi="宋体" w:cs="宋体"/>
          <w:b w:val="0"/>
          <w:bCs w:val="0"/>
          <w:kern w:val="2"/>
          <w:sz w:val="24"/>
          <w:szCs w:val="24"/>
          <w:lang w:val="en-US" w:eastAsia="zh-CN" w:bidi="ar-SA"/>
        </w:rPr>
        <w:t>1</w:t>
      </w:r>
      <w:r>
        <w:rPr>
          <w:rFonts w:hint="default" w:ascii="宋体" w:hAnsi="宋体" w:eastAsia="宋体" w:cs="宋体"/>
          <w:b w:val="0"/>
          <w:bCs w:val="0"/>
          <w:kern w:val="2"/>
          <w:sz w:val="24"/>
          <w:szCs w:val="24"/>
          <w:lang w:val="en-US" w:eastAsia="zh-CN" w:bidi="ar-SA"/>
        </w:rPr>
        <w:t>电气控制和电气负载设备的外壳防护应符合GB4208的技术要求，户内达到防护等级</w:t>
      </w:r>
      <w:r>
        <w:rPr>
          <w:rFonts w:hint="default" w:ascii="宋体" w:hAnsi="宋体" w:eastAsia="宋体" w:cs="宋体"/>
          <w:b w:val="0"/>
          <w:bCs w:val="0"/>
          <w:kern w:val="2"/>
          <w:sz w:val="24"/>
          <w:szCs w:val="24"/>
          <w:highlight w:val="none"/>
          <w:lang w:val="en-US" w:eastAsia="zh-CN" w:bidi="ar-SA"/>
        </w:rPr>
        <w:t>IP24级</w:t>
      </w:r>
      <w:r>
        <w:rPr>
          <w:rFonts w:hint="eastAsia" w:ascii="宋体" w:hAnsi="宋体" w:cs="宋体"/>
          <w:b w:val="0"/>
          <w:bCs w:val="0"/>
          <w:kern w:val="2"/>
          <w:sz w:val="24"/>
          <w:szCs w:val="24"/>
          <w:highlight w:val="none"/>
          <w:lang w:val="en-US" w:eastAsia="zh-CN" w:bidi="ar-SA"/>
        </w:rPr>
        <w:t>及以上</w:t>
      </w:r>
      <w:r>
        <w:rPr>
          <w:rFonts w:hint="default" w:ascii="宋体" w:hAnsi="宋体" w:eastAsia="宋体" w:cs="宋体"/>
          <w:b w:val="0"/>
          <w:bCs w:val="0"/>
          <w:kern w:val="2"/>
          <w:sz w:val="24"/>
          <w:szCs w:val="24"/>
          <w:highlight w:val="none"/>
          <w:lang w:val="en-US" w:eastAsia="zh-CN" w:bidi="ar-SA"/>
        </w:rPr>
        <w:t>，户外达到防护等级IP54级</w:t>
      </w:r>
      <w:r>
        <w:rPr>
          <w:rFonts w:hint="eastAsia" w:ascii="宋体" w:hAnsi="宋体" w:cs="宋体"/>
          <w:b w:val="0"/>
          <w:bCs w:val="0"/>
          <w:kern w:val="2"/>
          <w:sz w:val="24"/>
          <w:szCs w:val="24"/>
          <w:highlight w:val="none"/>
          <w:lang w:val="en-US" w:eastAsia="zh-CN" w:bidi="ar-SA"/>
        </w:rPr>
        <w:t>及以上</w:t>
      </w:r>
      <w:r>
        <w:rPr>
          <w:rFonts w:hint="default" w:ascii="宋体" w:hAnsi="宋体" w:eastAsia="宋体" w:cs="宋体"/>
          <w:b w:val="0"/>
          <w:bCs w:val="0"/>
          <w:kern w:val="2"/>
          <w:sz w:val="24"/>
          <w:szCs w:val="24"/>
          <w:lang w:val="en-US" w:eastAsia="zh-CN" w:bidi="ar-SA"/>
        </w:rPr>
        <w:t>。</w:t>
      </w:r>
    </w:p>
    <w:p w14:paraId="4EE42C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3.5.</w:t>
      </w:r>
      <w:r>
        <w:rPr>
          <w:rFonts w:hint="default" w:ascii="宋体" w:hAnsi="宋体" w:eastAsia="宋体" w:cs="宋体"/>
          <w:b w:val="0"/>
          <w:bCs w:val="0"/>
          <w:kern w:val="2"/>
          <w:sz w:val="24"/>
          <w:szCs w:val="24"/>
          <w:lang w:val="en-US" w:eastAsia="zh-CN" w:bidi="ar-SA"/>
        </w:rPr>
        <w:t>1</w:t>
      </w:r>
      <w:r>
        <w:rPr>
          <w:rFonts w:hint="eastAsia" w:ascii="宋体" w:hAnsi="宋体" w:cs="宋体"/>
          <w:b w:val="0"/>
          <w:bCs w:val="0"/>
          <w:kern w:val="2"/>
          <w:sz w:val="24"/>
          <w:szCs w:val="24"/>
          <w:lang w:val="en-US" w:eastAsia="zh-CN" w:bidi="ar-SA"/>
        </w:rPr>
        <w:t>2</w:t>
      </w:r>
      <w:r>
        <w:rPr>
          <w:rFonts w:hint="default" w:ascii="宋体" w:hAnsi="宋体" w:eastAsia="宋体" w:cs="宋体"/>
          <w:b w:val="0"/>
          <w:bCs w:val="0"/>
          <w:kern w:val="2"/>
          <w:sz w:val="24"/>
          <w:szCs w:val="24"/>
          <w:lang w:val="en-US" w:eastAsia="zh-CN" w:bidi="ar-SA"/>
        </w:rPr>
        <w:t>完成与地方生态环境监控平台联网，数据正常上传。</w:t>
      </w:r>
    </w:p>
    <w:p w14:paraId="7ECDF1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3.5.</w:t>
      </w:r>
      <w:r>
        <w:rPr>
          <w:rFonts w:hint="default" w:ascii="宋体" w:hAnsi="宋体" w:eastAsia="宋体" w:cs="宋体"/>
          <w:b w:val="0"/>
          <w:bCs w:val="0"/>
          <w:kern w:val="2"/>
          <w:sz w:val="24"/>
          <w:szCs w:val="24"/>
          <w:lang w:val="en-US" w:eastAsia="zh-CN" w:bidi="ar-SA"/>
        </w:rPr>
        <w:t>1</w:t>
      </w:r>
      <w:r>
        <w:rPr>
          <w:rFonts w:hint="eastAsia" w:ascii="宋体" w:hAnsi="宋体" w:cs="宋体"/>
          <w:b w:val="0"/>
          <w:bCs w:val="0"/>
          <w:kern w:val="2"/>
          <w:sz w:val="24"/>
          <w:szCs w:val="24"/>
          <w:lang w:val="en-US" w:eastAsia="zh-CN" w:bidi="ar-SA"/>
        </w:rPr>
        <w:t>3</w:t>
      </w:r>
      <w:r>
        <w:rPr>
          <w:rFonts w:hint="default" w:ascii="宋体" w:hAnsi="宋体" w:eastAsia="宋体" w:cs="宋体"/>
          <w:b w:val="0"/>
          <w:bCs w:val="0"/>
          <w:kern w:val="2"/>
          <w:sz w:val="24"/>
          <w:szCs w:val="24"/>
          <w:lang w:val="en-US" w:eastAsia="zh-CN" w:bidi="ar-SA"/>
        </w:rPr>
        <w:t>现场培训：不少于2次，包含设备日常操作、简单故障排查、反吹/校准操作、数据导出。</w:t>
      </w:r>
    </w:p>
    <w:p w14:paraId="080CB6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3.5.</w:t>
      </w:r>
      <w:r>
        <w:rPr>
          <w:rFonts w:hint="default" w:ascii="宋体" w:hAnsi="宋体" w:eastAsia="宋体" w:cs="宋体"/>
          <w:b w:val="0"/>
          <w:bCs w:val="0"/>
          <w:kern w:val="2"/>
          <w:sz w:val="24"/>
          <w:szCs w:val="24"/>
          <w:lang w:val="en-US" w:eastAsia="zh-CN" w:bidi="ar-SA"/>
        </w:rPr>
        <w:t>1</w:t>
      </w:r>
      <w:r>
        <w:rPr>
          <w:rFonts w:hint="eastAsia" w:ascii="宋体" w:hAnsi="宋体" w:cs="宋体"/>
          <w:b w:val="0"/>
          <w:bCs w:val="0"/>
          <w:kern w:val="2"/>
          <w:sz w:val="24"/>
          <w:szCs w:val="24"/>
          <w:lang w:val="en-US" w:eastAsia="zh-CN" w:bidi="ar-SA"/>
        </w:rPr>
        <w:t>4</w:t>
      </w:r>
      <w:r>
        <w:rPr>
          <w:rFonts w:hint="default" w:ascii="宋体" w:hAnsi="宋体" w:eastAsia="宋体" w:cs="宋体"/>
          <w:b w:val="0"/>
          <w:bCs w:val="0"/>
          <w:kern w:val="2"/>
          <w:sz w:val="24"/>
          <w:szCs w:val="24"/>
          <w:lang w:val="en-US" w:eastAsia="zh-CN" w:bidi="ar-SA"/>
        </w:rPr>
        <w:t>交付全套资料</w:t>
      </w:r>
      <w:r>
        <w:rPr>
          <w:rFonts w:hint="default" w:ascii="宋体" w:hAnsi="宋体" w:eastAsia="宋体" w:cs="宋体"/>
          <w:b w:val="0"/>
          <w:bCs w:val="0"/>
          <w:kern w:val="2"/>
          <w:sz w:val="24"/>
          <w:szCs w:val="24"/>
          <w:highlight w:val="none"/>
          <w:lang w:val="en-US" w:eastAsia="zh-CN" w:bidi="ar-SA"/>
        </w:rPr>
        <w:t>（纸质</w:t>
      </w:r>
      <w:r>
        <w:rPr>
          <w:rFonts w:hint="eastAsia" w:ascii="宋体" w:hAnsi="宋体" w:cs="宋体"/>
          <w:b w:val="0"/>
          <w:bCs w:val="0"/>
          <w:kern w:val="2"/>
          <w:sz w:val="24"/>
          <w:szCs w:val="24"/>
          <w:highlight w:val="none"/>
          <w:lang w:val="en-US" w:eastAsia="zh-CN" w:bidi="ar-SA"/>
        </w:rPr>
        <w:t>版2份</w:t>
      </w:r>
      <w:r>
        <w:rPr>
          <w:rFonts w:hint="default" w:ascii="宋体" w:hAnsi="宋体" w:eastAsia="宋体" w:cs="宋体"/>
          <w:b w:val="0"/>
          <w:bCs w:val="0"/>
          <w:kern w:val="2"/>
          <w:sz w:val="24"/>
          <w:szCs w:val="24"/>
          <w:highlight w:val="none"/>
          <w:lang w:val="en-US" w:eastAsia="zh-CN" w:bidi="ar-SA"/>
        </w:rPr>
        <w:t>+电子版</w:t>
      </w:r>
      <w:r>
        <w:rPr>
          <w:rFonts w:hint="eastAsia" w:ascii="宋体" w:hAnsi="宋体" w:cs="宋体"/>
          <w:b w:val="0"/>
          <w:bCs w:val="0"/>
          <w:kern w:val="2"/>
          <w:sz w:val="24"/>
          <w:szCs w:val="24"/>
          <w:highlight w:val="none"/>
          <w:lang w:val="en-US" w:eastAsia="zh-CN" w:bidi="ar-SA"/>
        </w:rPr>
        <w:t>1份</w:t>
      </w:r>
      <w:r>
        <w:rPr>
          <w:rFonts w:hint="default" w:ascii="宋体" w:hAnsi="宋体" w:eastAsia="宋体" w:cs="宋体"/>
          <w:b w:val="0"/>
          <w:bCs w:val="0"/>
          <w:kern w:val="2"/>
          <w:sz w:val="24"/>
          <w:szCs w:val="24"/>
          <w:highlight w:val="none"/>
          <w:lang w:val="en-US" w:eastAsia="zh-CN" w:bidi="ar-SA"/>
        </w:rPr>
        <w:t>）</w:t>
      </w:r>
      <w:r>
        <w:rPr>
          <w:rFonts w:hint="default" w:ascii="宋体" w:hAnsi="宋体" w:eastAsia="宋体" w:cs="宋体"/>
          <w:b w:val="0"/>
          <w:bCs w:val="0"/>
          <w:kern w:val="2"/>
          <w:sz w:val="24"/>
          <w:szCs w:val="24"/>
          <w:lang w:val="en-US" w:eastAsia="zh-CN" w:bidi="ar-SA"/>
        </w:rPr>
        <w:t xml:space="preserve">： </w:t>
      </w:r>
    </w:p>
    <w:p w14:paraId="1C49C8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全套设备合格证、CCEP 证书、总站适用性报告、CPA 证书复印件；</w:t>
      </w:r>
    </w:p>
    <w:p w14:paraId="6E27F0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调试记录、72h 连续试运行报告；</w:t>
      </w:r>
    </w:p>
    <w:p w14:paraId="480FD0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default" w:ascii="宋体" w:hAnsi="宋体" w:eastAsia="宋体" w:cs="宋体"/>
          <w:b w:val="0"/>
          <w:bCs w:val="0"/>
          <w:kern w:val="2"/>
          <w:sz w:val="24"/>
          <w:szCs w:val="24"/>
          <w:lang w:val="en-US" w:eastAsia="zh-CN" w:bidi="ar-SA"/>
        </w:rPr>
        <w:t>平台联网对接记录</w:t>
      </w:r>
      <w:r>
        <w:rPr>
          <w:rFonts w:hint="eastAsia" w:ascii="宋体" w:hAnsi="宋体" w:eastAsia="宋体" w:cs="宋体"/>
          <w:b w:val="0"/>
          <w:bCs w:val="0"/>
          <w:kern w:val="2"/>
          <w:sz w:val="24"/>
          <w:szCs w:val="24"/>
          <w:lang w:val="en-US" w:eastAsia="zh-CN" w:bidi="ar-SA"/>
        </w:rPr>
        <w:t>。</w:t>
      </w:r>
    </w:p>
    <w:p w14:paraId="4E334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kern w:val="2"/>
          <w:sz w:val="24"/>
          <w:szCs w:val="24"/>
          <w:highlight w:val="none"/>
          <w:lang w:val="en-US" w:eastAsia="zh-CN" w:bidi="ar-SA"/>
        </w:rPr>
      </w:pPr>
      <w:r>
        <w:rPr>
          <w:rFonts w:hint="default" w:ascii="宋体" w:hAnsi="宋体" w:eastAsia="宋体" w:cs="宋体"/>
          <w:b w:val="0"/>
          <w:bCs w:val="0"/>
          <w:color w:val="auto"/>
          <w:kern w:val="2"/>
          <w:sz w:val="24"/>
          <w:szCs w:val="24"/>
          <w:highlight w:val="none"/>
          <w:lang w:val="en-US" w:eastAsia="zh-CN" w:bidi="ar-SA"/>
        </w:rPr>
        <w:t>资料清单、机械结构、电气、仪表安装的技术说明书、图纸、接线图</w:t>
      </w:r>
      <w:r>
        <w:rPr>
          <w:rFonts w:hint="eastAsia" w:ascii="宋体" w:hAnsi="宋体" w:cs="宋体"/>
          <w:b w:val="0"/>
          <w:bCs w:val="0"/>
          <w:color w:val="auto"/>
          <w:kern w:val="2"/>
          <w:sz w:val="24"/>
          <w:szCs w:val="24"/>
          <w:highlight w:val="none"/>
          <w:lang w:val="en-US" w:eastAsia="zh-CN" w:bidi="ar-SA"/>
        </w:rPr>
        <w:t>、</w:t>
      </w:r>
      <w:r>
        <w:rPr>
          <w:rFonts w:hint="default" w:ascii="宋体" w:hAnsi="宋体" w:eastAsia="宋体" w:cs="宋体"/>
          <w:b w:val="0"/>
          <w:bCs w:val="0"/>
          <w:color w:val="auto"/>
          <w:kern w:val="2"/>
          <w:sz w:val="24"/>
          <w:szCs w:val="24"/>
          <w:highlight w:val="none"/>
          <w:lang w:val="en-US" w:eastAsia="zh-CN" w:bidi="ar-SA"/>
        </w:rPr>
        <w:t>装箱清单、配套件、外购件检验合格证和使用说明书等</w:t>
      </w:r>
    </w:p>
    <w:p w14:paraId="21B046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3.6 其他要求</w:t>
      </w:r>
    </w:p>
    <w:p w14:paraId="6195F5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3.6.1 设备安装调试完成后连续72h稳定试运行，调试检测后至少稳定运行7d；</w:t>
      </w:r>
    </w:p>
    <w:p w14:paraId="6BE850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3.6.2 供方负责组织具备CMA资质的第三方开展比对监测，比对结果必须满足HJ75</w:t>
      </w:r>
      <w:r>
        <w:rPr>
          <w:rFonts w:hint="eastAsia" w:ascii="宋体" w:hAnsi="宋体" w:eastAsia="宋体" w:cs="宋体"/>
          <w:b w:val="0"/>
          <w:bCs w:val="0"/>
          <w:kern w:val="2"/>
          <w:sz w:val="24"/>
          <w:szCs w:val="24"/>
          <w:lang w:val="en-US" w:eastAsia="zh-CN" w:bidi="ar-SA"/>
        </w:rPr>
        <w:noBreakHyphen/>
      </w:r>
      <w:r>
        <w:rPr>
          <w:rFonts w:hint="eastAsia" w:ascii="宋体" w:hAnsi="宋体" w:eastAsia="宋体" w:cs="宋体"/>
          <w:b w:val="0"/>
          <w:bCs w:val="0"/>
          <w:kern w:val="2"/>
          <w:sz w:val="24"/>
          <w:szCs w:val="24"/>
          <w:lang w:val="en-US" w:eastAsia="zh-CN" w:bidi="ar-SA"/>
        </w:rPr>
        <w:t>2017比对合格要求；</w:t>
      </w:r>
    </w:p>
    <w:p w14:paraId="019A13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3.6.3 完成生态环境部门自动监控设施备案，平台数据稳定有效；</w:t>
      </w:r>
    </w:p>
    <w:p w14:paraId="6D9EBA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kern w:val="2"/>
          <w:sz w:val="24"/>
          <w:szCs w:val="24"/>
          <w:lang w:val="en-US" w:eastAsia="zh-CN" w:bidi="ar-SA"/>
        </w:rPr>
        <w:t>3.6.4 若第三方比对不合格、环保备案无法完成，视为设备验收不合格，供方必须免费整改直至验收通过，承担全部整改费用。</w:t>
      </w:r>
    </w:p>
    <w:p w14:paraId="0804DE85">
      <w:pPr>
        <w:pStyle w:val="236"/>
        <w:keepNext/>
        <w:keepLines/>
        <w:widowControl w:val="0"/>
        <w:numPr>
          <w:ilvl w:val="0"/>
          <w:numId w:val="0"/>
        </w:numPr>
        <w:adjustRightInd w:val="0"/>
        <w:spacing w:before="260" w:after="260" w:line="360" w:lineRule="auto"/>
        <w:jc w:val="left"/>
        <w:textAlignment w:val="baseline"/>
        <w:outlineLvl w:val="2"/>
        <w:rPr>
          <w:rFonts w:hint="eastAsia" w:eastAsia="宋体" w:cs="宋体"/>
          <w:b/>
          <w:bCs w:val="0"/>
          <w:sz w:val="24"/>
          <w:szCs w:val="24"/>
          <w:highlight w:val="none"/>
          <w:lang w:val="en-US" w:eastAsia="zh-CN"/>
        </w:rPr>
      </w:pPr>
    </w:p>
    <w:p w14:paraId="54635BBD">
      <w:pPr>
        <w:pStyle w:val="237"/>
        <w:numPr>
          <w:ilvl w:val="0"/>
          <w:numId w:val="9"/>
        </w:numPr>
        <w:spacing w:line="360" w:lineRule="auto"/>
        <w:ind w:left="0" w:leftChars="0" w:firstLine="420" w:firstLineChars="0"/>
        <w:rPr>
          <w:rFonts w:ascii="宋体" w:hAnsi="宋体" w:cs="宋体"/>
          <w:color w:val="auto"/>
          <w:highlight w:val="none"/>
        </w:rPr>
      </w:pPr>
      <w:r>
        <w:rPr>
          <w:rFonts w:hint="eastAsia" w:ascii="宋体" w:hAnsi="宋体" w:cs="宋体"/>
          <w:color w:val="auto"/>
          <w:highlight w:val="none"/>
        </w:rPr>
        <w:t>执行标准</w:t>
      </w:r>
    </w:p>
    <w:p w14:paraId="0AA87878">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1.招标人此处所列标准仅为涉及的主要标准，而且不保证其为最新版执行标准；投标人应当在投标文件中认真予以填写、补充和修改完善。</w:t>
      </w:r>
    </w:p>
    <w:p w14:paraId="4AE186CB">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2.投标人需要执行的标准，应当采用所供货物通过买方组织的最终验收之日已经开始执行的最新标准。</w:t>
      </w:r>
    </w:p>
    <w:p w14:paraId="1343E5EF">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3.采购货物的产品质量、技术标准如在招投标文件中无相应说明，则按中华人民共和国有关部门颁发的最新的国标或专业（部）标准执行及相应的国际标准。</w:t>
      </w:r>
    </w:p>
    <w:p w14:paraId="001BD9E4">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4.采购货物没有国家或专业（部）标准的，按企业标准执行时，卖方应在合同签署之前，将所涉及的企业标准提供给买方确认。</w:t>
      </w:r>
    </w:p>
    <w:p w14:paraId="0A5BF510">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5.采购货物如果采用国际标准，其执行标准由投标人提供、招标人确认。</w:t>
      </w:r>
    </w:p>
    <w:p w14:paraId="2E1F7E21">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6.采购货物所涉及的标准不统一时，原则上按照最严格标准执行。</w:t>
      </w:r>
    </w:p>
    <w:p w14:paraId="1004211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highlight w:val="none"/>
        </w:rPr>
        <w:t>7.涉及的主要标准表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4091"/>
        <w:gridCol w:w="2986"/>
        <w:gridCol w:w="1045"/>
      </w:tblGrid>
      <w:tr w14:paraId="2C1B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81" w:type="dxa"/>
            <w:noWrap w:val="0"/>
            <w:vAlign w:val="center"/>
          </w:tcPr>
          <w:p w14:paraId="34FED350">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序号</w:t>
            </w:r>
          </w:p>
        </w:tc>
        <w:tc>
          <w:tcPr>
            <w:tcW w:w="4091" w:type="dxa"/>
            <w:noWrap w:val="0"/>
            <w:vAlign w:val="center"/>
          </w:tcPr>
          <w:p w14:paraId="0163B0DF">
            <w:pPr>
              <w:pageBreakBefore w:val="0"/>
              <w:numPr>
                <w:ilvl w:val="0"/>
                <w:numId w:val="0"/>
              </w:numPr>
              <w:kinsoku/>
              <w:wordWrap/>
              <w:overflowPunct/>
              <w:topLinePunct w:val="0"/>
              <w:bidi w:val="0"/>
              <w:spacing w:line="240" w:lineRule="auto"/>
              <w:ind w:left="425" w:leftChars="0" w:hanging="425" w:firstLineChars="0"/>
              <w:jc w:val="center"/>
              <w:textAlignment w:val="auto"/>
              <w:rPr>
                <w:rFonts w:hint="default" w:ascii="宋体" w:hAnsi="宋体" w:eastAsia="宋体" w:cs="宋体"/>
                <w:b/>
                <w:bCs/>
                <w:color w:val="000000" w:themeColor="text1"/>
                <w:kern w:val="2"/>
                <w:sz w:val="24"/>
                <w:szCs w:val="24"/>
                <w:lang w:val="en-US" w:eastAsia="zh-CN" w:bidi="ar-SA"/>
                <w14:textFill>
                  <w14:solidFill>
                    <w14:schemeClr w14:val="tx1"/>
                  </w14:solidFill>
                </w14:textFill>
              </w:rPr>
            </w:pPr>
            <w:r>
              <w:rPr>
                <w:rFonts w:hint="eastAsia" w:ascii="宋体" w:hAnsi="宋体" w:cs="宋体"/>
                <w:b/>
                <w:bCs/>
                <w:color w:val="000000" w:themeColor="text1"/>
                <w:kern w:val="2"/>
                <w:sz w:val="24"/>
                <w:szCs w:val="24"/>
                <w:lang w:val="en-US" w:eastAsia="zh-CN" w:bidi="ar-SA"/>
                <w14:textFill>
                  <w14:solidFill>
                    <w14:schemeClr w14:val="tx1"/>
                  </w14:solidFill>
                </w14:textFill>
              </w:rPr>
              <w:t>标准名称</w:t>
            </w:r>
          </w:p>
        </w:tc>
        <w:tc>
          <w:tcPr>
            <w:tcW w:w="2986" w:type="dxa"/>
            <w:noWrap w:val="0"/>
            <w:vAlign w:val="center"/>
          </w:tcPr>
          <w:p w14:paraId="01F61EED">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b/>
                <w:bCs/>
                <w:color w:val="000000" w:themeColor="text1"/>
                <w:kern w:val="2"/>
                <w:sz w:val="24"/>
                <w:szCs w:val="24"/>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lang w:val="en-US" w:eastAsia="zh-CN" w:bidi="ar-SA"/>
                <w14:textFill>
                  <w14:solidFill>
                    <w14:schemeClr w14:val="tx1"/>
                  </w14:solidFill>
                </w14:textFill>
              </w:rPr>
              <w:t>标准编号</w:t>
            </w:r>
          </w:p>
        </w:tc>
        <w:tc>
          <w:tcPr>
            <w:tcW w:w="1045" w:type="dxa"/>
            <w:noWrap w:val="0"/>
            <w:vAlign w:val="center"/>
          </w:tcPr>
          <w:p w14:paraId="082BCED7">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微软雅黑" w:hAnsi="微软雅黑" w:eastAsia="微软雅黑" w:cs="微软雅黑"/>
                <w:b/>
                <w:bCs/>
                <w:color w:val="000000" w:themeColor="text1"/>
                <w:kern w:val="2"/>
                <w:sz w:val="24"/>
                <w:szCs w:val="24"/>
                <w:lang w:val="en-US" w:eastAsia="zh-CN" w:bidi="ar-SA"/>
                <w14:textFill>
                  <w14:solidFill>
                    <w14:schemeClr w14:val="tx1"/>
                  </w14:solidFill>
                </w14:textFill>
              </w:rPr>
            </w:pPr>
            <w:r>
              <w:rPr>
                <w:rFonts w:hint="eastAsia" w:ascii="微软雅黑" w:hAnsi="微软雅黑" w:eastAsia="微软雅黑" w:cs="微软雅黑"/>
                <w:b/>
                <w:bCs/>
                <w:color w:val="000000" w:themeColor="text1"/>
                <w:kern w:val="2"/>
                <w:sz w:val="24"/>
                <w:szCs w:val="24"/>
                <w:lang w:val="en-US" w:eastAsia="zh-CN" w:bidi="ar-SA"/>
                <w14:textFill>
                  <w14:solidFill>
                    <w14:schemeClr w14:val="tx1"/>
                  </w14:solidFill>
                </w14:textFill>
              </w:rPr>
              <w:t>备注</w:t>
            </w:r>
          </w:p>
        </w:tc>
      </w:tr>
      <w:tr w14:paraId="6942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81" w:type="dxa"/>
            <w:noWrap w:val="0"/>
            <w:vAlign w:val="center"/>
          </w:tcPr>
          <w:p w14:paraId="0A70AAD8">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1</w:t>
            </w:r>
          </w:p>
        </w:tc>
        <w:tc>
          <w:tcPr>
            <w:tcW w:w="4091" w:type="dxa"/>
            <w:noWrap w:val="0"/>
            <w:vAlign w:val="center"/>
          </w:tcPr>
          <w:p w14:paraId="6754DA40">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固定污染源烟气（SO₂、NOₓ、颗粒物）排放连续监测技术规范</w:t>
            </w:r>
          </w:p>
        </w:tc>
        <w:tc>
          <w:tcPr>
            <w:tcW w:w="2986" w:type="dxa"/>
            <w:noWrap w:val="0"/>
            <w:vAlign w:val="center"/>
          </w:tcPr>
          <w:p w14:paraId="1A8F3C7C">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HJ 75</w:t>
            </w:r>
            <w:r>
              <w:rPr>
                <w:rFonts w:hint="eastAsia" w:ascii="宋体" w:hAnsi="宋体" w:eastAsia="宋体" w:cs="宋体"/>
                <w:color w:val="000000" w:themeColor="text1"/>
                <w:kern w:val="2"/>
                <w:sz w:val="24"/>
                <w:szCs w:val="24"/>
                <w:lang w:val="en-US" w:eastAsia="zh-CN" w:bidi="ar-SA"/>
                <w14:textFill>
                  <w14:solidFill>
                    <w14:schemeClr w14:val="tx1"/>
                  </w14:solidFill>
                </w14:textFill>
              </w:rPr>
              <w:noBreakHyphen/>
            </w:r>
            <w:r>
              <w:rPr>
                <w:rFonts w:hint="eastAsia" w:ascii="宋体" w:hAnsi="宋体" w:eastAsia="宋体" w:cs="宋体"/>
                <w:color w:val="000000" w:themeColor="text1"/>
                <w:kern w:val="2"/>
                <w:sz w:val="24"/>
                <w:szCs w:val="24"/>
                <w:lang w:val="en-US" w:eastAsia="zh-CN" w:bidi="ar-SA"/>
                <w14:textFill>
                  <w14:solidFill>
                    <w14:schemeClr w14:val="tx1"/>
                  </w14:solidFill>
                </w14:textFill>
              </w:rPr>
              <w:t>2017</w:t>
            </w:r>
          </w:p>
        </w:tc>
        <w:tc>
          <w:tcPr>
            <w:tcW w:w="1045" w:type="dxa"/>
            <w:noWrap w:val="0"/>
            <w:vAlign w:val="top"/>
          </w:tcPr>
          <w:p w14:paraId="187B32CA">
            <w:pPr>
              <w:spacing w:line="360" w:lineRule="auto"/>
              <w:jc w:val="center"/>
              <w:rPr>
                <w:rFonts w:ascii="宋体" w:hAnsi="宋体" w:eastAsia="宋体" w:cs="宋体"/>
                <w:bCs/>
                <w:sz w:val="24"/>
                <w:szCs w:val="24"/>
                <w:highlight w:val="none"/>
              </w:rPr>
            </w:pPr>
          </w:p>
        </w:tc>
      </w:tr>
      <w:tr w14:paraId="2D07E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881" w:type="dxa"/>
            <w:noWrap w:val="0"/>
            <w:vAlign w:val="center"/>
          </w:tcPr>
          <w:p w14:paraId="1D1AD603">
            <w:pPr>
              <w:pageBreakBefore w:val="0"/>
              <w:numPr>
                <w:ilvl w:val="0"/>
                <w:numId w:val="0"/>
              </w:numPr>
              <w:kinsoku/>
              <w:wordWrap/>
              <w:overflowPunct/>
              <w:topLinePunct w:val="0"/>
              <w:bidi w:val="0"/>
              <w:spacing w:line="240" w:lineRule="auto"/>
              <w:ind w:left="425" w:leftChars="0" w:hanging="425" w:firstLineChars="0"/>
              <w:jc w:val="center"/>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2</w:t>
            </w:r>
          </w:p>
        </w:tc>
        <w:tc>
          <w:tcPr>
            <w:tcW w:w="4091" w:type="dxa"/>
            <w:noWrap w:val="0"/>
            <w:vAlign w:val="center"/>
          </w:tcPr>
          <w:p w14:paraId="23C66D07">
            <w:pPr>
              <w:pageBreakBefore w:val="0"/>
              <w:numPr>
                <w:ilvl w:val="0"/>
                <w:numId w:val="0"/>
              </w:numPr>
              <w:kinsoku/>
              <w:wordWrap/>
              <w:overflowPunct/>
              <w:topLinePunct w:val="0"/>
              <w:bidi w:val="0"/>
              <w:spacing w:line="240" w:lineRule="auto"/>
              <w:ind w:left="425" w:leftChars="0" w:hanging="425" w:firstLineChars="0"/>
              <w:jc w:val="center"/>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固定污染源烟气（SO₂、NOₓ、颗粒物）排放连续监测系统技术要求及检测方法</w:t>
            </w:r>
          </w:p>
        </w:tc>
        <w:tc>
          <w:tcPr>
            <w:tcW w:w="2986" w:type="dxa"/>
            <w:noWrap w:val="0"/>
            <w:vAlign w:val="center"/>
          </w:tcPr>
          <w:p w14:paraId="02900CB9">
            <w:pPr>
              <w:pageBreakBefore w:val="0"/>
              <w:numPr>
                <w:ilvl w:val="0"/>
                <w:numId w:val="0"/>
              </w:numPr>
              <w:kinsoku/>
              <w:wordWrap/>
              <w:overflowPunct/>
              <w:topLinePunct w:val="0"/>
              <w:bidi w:val="0"/>
              <w:spacing w:line="240" w:lineRule="auto"/>
              <w:ind w:left="425" w:leftChars="0" w:hanging="425" w:firstLineChars="0"/>
              <w:jc w:val="center"/>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HJ 7</w:t>
            </w:r>
            <w:r>
              <w:rPr>
                <w:rFonts w:hint="eastAsia" w:ascii="宋体" w:hAnsi="宋体" w:cs="宋体"/>
                <w:color w:val="000000" w:themeColor="text1"/>
                <w:kern w:val="2"/>
                <w:sz w:val="24"/>
                <w:szCs w:val="24"/>
                <w:lang w:val="en-US" w:eastAsia="zh-CN" w:bidi="ar-SA"/>
                <w14:textFill>
                  <w14:solidFill>
                    <w14:schemeClr w14:val="tx1"/>
                  </w14:solidFill>
                </w14:textFill>
              </w:rPr>
              <w:t>6</w:t>
            </w:r>
            <w:r>
              <w:rPr>
                <w:rFonts w:hint="default" w:ascii="宋体" w:hAnsi="宋体" w:eastAsia="宋体" w:cs="宋体"/>
                <w:color w:val="000000" w:themeColor="text1"/>
                <w:kern w:val="2"/>
                <w:sz w:val="24"/>
                <w:szCs w:val="24"/>
                <w:lang w:val="en-US" w:eastAsia="zh-CN" w:bidi="ar-SA"/>
                <w14:textFill>
                  <w14:solidFill>
                    <w14:schemeClr w14:val="tx1"/>
                  </w14:solidFill>
                </w14:textFill>
              </w:rPr>
              <w:noBreakHyphen/>
            </w:r>
            <w:r>
              <w:rPr>
                <w:rFonts w:hint="default" w:ascii="宋体" w:hAnsi="宋体" w:eastAsia="宋体" w:cs="宋体"/>
                <w:color w:val="000000" w:themeColor="text1"/>
                <w:kern w:val="2"/>
                <w:sz w:val="24"/>
                <w:szCs w:val="24"/>
                <w:lang w:val="en-US" w:eastAsia="zh-CN" w:bidi="ar-SA"/>
                <w14:textFill>
                  <w14:solidFill>
                    <w14:schemeClr w14:val="tx1"/>
                  </w14:solidFill>
                </w14:textFill>
              </w:rPr>
              <w:t>2017</w:t>
            </w:r>
          </w:p>
        </w:tc>
        <w:tc>
          <w:tcPr>
            <w:tcW w:w="1045" w:type="dxa"/>
            <w:noWrap w:val="0"/>
            <w:vAlign w:val="top"/>
          </w:tcPr>
          <w:p w14:paraId="4AEF0999">
            <w:pPr>
              <w:spacing w:line="360" w:lineRule="auto"/>
              <w:jc w:val="center"/>
              <w:rPr>
                <w:rFonts w:ascii="宋体" w:hAnsi="宋体" w:eastAsia="宋体" w:cs="宋体"/>
                <w:bCs/>
                <w:sz w:val="24"/>
                <w:szCs w:val="24"/>
                <w:highlight w:val="none"/>
              </w:rPr>
            </w:pPr>
          </w:p>
        </w:tc>
      </w:tr>
      <w:tr w14:paraId="1AF2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81" w:type="dxa"/>
            <w:noWrap w:val="0"/>
            <w:vAlign w:val="center"/>
          </w:tcPr>
          <w:p w14:paraId="7B8B3E60">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3</w:t>
            </w:r>
          </w:p>
        </w:tc>
        <w:tc>
          <w:tcPr>
            <w:tcW w:w="4091" w:type="dxa"/>
            <w:noWrap w:val="0"/>
            <w:vAlign w:val="center"/>
          </w:tcPr>
          <w:p w14:paraId="32BFEFF6">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污染物在线监控（监测）系统数据传输标准</w:t>
            </w:r>
          </w:p>
        </w:tc>
        <w:tc>
          <w:tcPr>
            <w:tcW w:w="2986" w:type="dxa"/>
            <w:noWrap w:val="0"/>
            <w:vAlign w:val="center"/>
          </w:tcPr>
          <w:p w14:paraId="28277722">
            <w:pPr>
              <w:pageBreakBefore w:val="0"/>
              <w:numPr>
                <w:ilvl w:val="0"/>
                <w:numId w:val="0"/>
              </w:numPr>
              <w:kinsoku/>
              <w:wordWrap/>
              <w:overflowPunct/>
              <w:topLinePunct w:val="0"/>
              <w:bidi w:val="0"/>
              <w:spacing w:line="240" w:lineRule="auto"/>
              <w:ind w:left="425" w:leftChars="0" w:hanging="425" w:firstLineChars="0"/>
              <w:jc w:val="center"/>
              <w:textAlignment w:val="auto"/>
              <w:rPr>
                <w:rFonts w:hint="default" w:ascii="宋体" w:hAnsi="宋体" w:eastAsia="宋体" w:cs="宋体"/>
                <w:color w:val="000000" w:themeColor="text1"/>
                <w:kern w:val="2"/>
                <w:sz w:val="24"/>
                <w:szCs w:val="24"/>
                <w:lang w:val="en-US" w:eastAsia="zh-CN" w:bidi="ar-SA"/>
                <w14:textFill>
                  <w14:solidFill>
                    <w14:schemeClr w14:val="tx1"/>
                  </w14:solidFill>
                </w14:textFill>
              </w:rPr>
            </w:pPr>
            <w:r>
              <w:rPr>
                <w:rFonts w:hint="default" w:ascii="宋体" w:hAnsi="宋体" w:eastAsia="宋体" w:cs="宋体"/>
                <w:color w:val="000000" w:themeColor="text1"/>
                <w:kern w:val="2"/>
                <w:sz w:val="24"/>
                <w:szCs w:val="24"/>
                <w:lang w:val="en-US" w:eastAsia="zh-CN" w:bidi="ar-SA"/>
                <w14:textFill>
                  <w14:solidFill>
                    <w14:schemeClr w14:val="tx1"/>
                  </w14:solidFill>
                </w14:textFill>
              </w:rPr>
              <w:t>HJ 212</w:t>
            </w:r>
            <w:r>
              <w:rPr>
                <w:rFonts w:hint="default" w:ascii="宋体" w:hAnsi="宋体" w:eastAsia="宋体" w:cs="宋体"/>
                <w:color w:val="000000" w:themeColor="text1"/>
                <w:kern w:val="2"/>
                <w:sz w:val="24"/>
                <w:szCs w:val="24"/>
                <w:lang w:val="en-US" w:eastAsia="zh-CN" w:bidi="ar-SA"/>
                <w14:textFill>
                  <w14:solidFill>
                    <w14:schemeClr w14:val="tx1"/>
                  </w14:solidFill>
                </w14:textFill>
              </w:rPr>
              <w:noBreakHyphen/>
            </w:r>
            <w:r>
              <w:rPr>
                <w:rFonts w:hint="default" w:ascii="宋体" w:hAnsi="宋体" w:eastAsia="宋体" w:cs="宋体"/>
                <w:color w:val="000000" w:themeColor="text1"/>
                <w:kern w:val="2"/>
                <w:sz w:val="24"/>
                <w:szCs w:val="24"/>
                <w:lang w:val="en-US" w:eastAsia="zh-CN" w:bidi="ar-SA"/>
                <w14:textFill>
                  <w14:solidFill>
                    <w14:schemeClr w14:val="tx1"/>
                  </w14:solidFill>
                </w14:textFill>
              </w:rPr>
              <w:t>2025</w:t>
            </w:r>
          </w:p>
        </w:tc>
        <w:tc>
          <w:tcPr>
            <w:tcW w:w="1045" w:type="dxa"/>
            <w:noWrap w:val="0"/>
            <w:vAlign w:val="top"/>
          </w:tcPr>
          <w:p w14:paraId="48B8E427">
            <w:pPr>
              <w:spacing w:line="360" w:lineRule="auto"/>
              <w:jc w:val="center"/>
              <w:rPr>
                <w:rFonts w:ascii="宋体" w:hAnsi="宋体" w:eastAsia="宋体" w:cs="宋体"/>
                <w:sz w:val="24"/>
                <w:szCs w:val="24"/>
                <w:highlight w:val="none"/>
              </w:rPr>
            </w:pPr>
          </w:p>
        </w:tc>
      </w:tr>
      <w:tr w14:paraId="58A6E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81" w:type="dxa"/>
            <w:noWrap w:val="0"/>
            <w:vAlign w:val="center"/>
          </w:tcPr>
          <w:p w14:paraId="546EC6F5">
            <w:pPr>
              <w:pageBreakBefore w:val="0"/>
              <w:numPr>
                <w:ilvl w:val="0"/>
                <w:numId w:val="0"/>
              </w:numPr>
              <w:kinsoku/>
              <w:wordWrap/>
              <w:overflowPunct/>
              <w:topLinePunct w:val="0"/>
              <w:bidi w:val="0"/>
              <w:spacing w:line="240" w:lineRule="auto"/>
              <w:ind w:left="425" w:leftChars="0" w:hanging="425" w:firstLineChars="0"/>
              <w:jc w:val="center"/>
              <w:textAlignment w:val="auto"/>
              <w:rPr>
                <w:rFonts w:hint="default" w:ascii="宋体" w:hAnsi="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4</w:t>
            </w:r>
          </w:p>
        </w:tc>
        <w:tc>
          <w:tcPr>
            <w:tcW w:w="4091" w:type="dxa"/>
            <w:noWrap w:val="0"/>
            <w:vAlign w:val="center"/>
          </w:tcPr>
          <w:p w14:paraId="0782E0EC">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污染源在线自动监控（监测）数据采集传输仪技术要求</w:t>
            </w:r>
          </w:p>
        </w:tc>
        <w:tc>
          <w:tcPr>
            <w:tcW w:w="2986" w:type="dxa"/>
            <w:noWrap w:val="0"/>
            <w:vAlign w:val="center"/>
          </w:tcPr>
          <w:p w14:paraId="6886C46E">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HJ 477</w:t>
            </w:r>
            <w:r>
              <w:rPr>
                <w:rFonts w:hint="eastAsia" w:ascii="宋体" w:hAnsi="宋体" w:eastAsia="宋体" w:cs="宋体"/>
                <w:color w:val="000000" w:themeColor="text1"/>
                <w:kern w:val="2"/>
                <w:sz w:val="24"/>
                <w:szCs w:val="24"/>
                <w:lang w:val="en-US" w:eastAsia="zh-CN" w:bidi="ar-SA"/>
                <w14:textFill>
                  <w14:solidFill>
                    <w14:schemeClr w14:val="tx1"/>
                  </w14:solidFill>
                </w14:textFill>
              </w:rPr>
              <w:noBreakHyphen/>
            </w:r>
            <w:r>
              <w:rPr>
                <w:rFonts w:hint="eastAsia" w:ascii="宋体" w:hAnsi="宋体" w:eastAsia="宋体" w:cs="宋体"/>
                <w:color w:val="000000" w:themeColor="text1"/>
                <w:kern w:val="2"/>
                <w:sz w:val="24"/>
                <w:szCs w:val="24"/>
                <w:lang w:val="en-US" w:eastAsia="zh-CN" w:bidi="ar-SA"/>
                <w14:textFill>
                  <w14:solidFill>
                    <w14:schemeClr w14:val="tx1"/>
                  </w14:solidFill>
                </w14:textFill>
              </w:rPr>
              <w:t>2009</w:t>
            </w:r>
          </w:p>
        </w:tc>
        <w:tc>
          <w:tcPr>
            <w:tcW w:w="1045" w:type="dxa"/>
            <w:noWrap w:val="0"/>
            <w:vAlign w:val="top"/>
          </w:tcPr>
          <w:p w14:paraId="35FFECC6">
            <w:pPr>
              <w:spacing w:line="360" w:lineRule="auto"/>
              <w:jc w:val="center"/>
              <w:rPr>
                <w:rFonts w:ascii="宋体" w:hAnsi="宋体" w:eastAsia="宋体" w:cs="宋体"/>
                <w:sz w:val="24"/>
                <w:szCs w:val="24"/>
                <w:highlight w:val="none"/>
              </w:rPr>
            </w:pPr>
          </w:p>
        </w:tc>
      </w:tr>
      <w:tr w14:paraId="16AD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81" w:type="dxa"/>
            <w:noWrap w:val="0"/>
            <w:vAlign w:val="center"/>
          </w:tcPr>
          <w:p w14:paraId="6968B4DC">
            <w:pPr>
              <w:pageBreakBefore w:val="0"/>
              <w:numPr>
                <w:ilvl w:val="0"/>
                <w:numId w:val="0"/>
              </w:numPr>
              <w:kinsoku/>
              <w:wordWrap/>
              <w:overflowPunct/>
              <w:topLinePunct w:val="0"/>
              <w:bidi w:val="0"/>
              <w:spacing w:line="240" w:lineRule="auto"/>
              <w:ind w:left="425" w:leftChars="0" w:hanging="425" w:firstLineChars="0"/>
              <w:jc w:val="center"/>
              <w:textAlignment w:val="auto"/>
              <w:rPr>
                <w:rFonts w:hint="default" w:ascii="宋体" w:hAnsi="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5</w:t>
            </w:r>
          </w:p>
        </w:tc>
        <w:tc>
          <w:tcPr>
            <w:tcW w:w="4091" w:type="dxa"/>
            <w:noWrap w:val="0"/>
            <w:vAlign w:val="center"/>
          </w:tcPr>
          <w:p w14:paraId="51C5A10B">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排污许可管理条例</w:t>
            </w:r>
          </w:p>
        </w:tc>
        <w:tc>
          <w:tcPr>
            <w:tcW w:w="2986" w:type="dxa"/>
            <w:noWrap w:val="0"/>
            <w:vAlign w:val="center"/>
          </w:tcPr>
          <w:p w14:paraId="5C34214D">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国务院令第 736 号</w:t>
            </w:r>
          </w:p>
        </w:tc>
        <w:tc>
          <w:tcPr>
            <w:tcW w:w="1045" w:type="dxa"/>
            <w:noWrap w:val="0"/>
            <w:vAlign w:val="top"/>
          </w:tcPr>
          <w:p w14:paraId="4A2B26DB">
            <w:pPr>
              <w:spacing w:line="360" w:lineRule="auto"/>
              <w:jc w:val="center"/>
              <w:rPr>
                <w:rFonts w:ascii="宋体" w:hAnsi="宋体" w:eastAsia="宋体" w:cs="宋体"/>
                <w:sz w:val="24"/>
                <w:szCs w:val="24"/>
                <w:highlight w:val="none"/>
              </w:rPr>
            </w:pPr>
          </w:p>
        </w:tc>
      </w:tr>
      <w:tr w14:paraId="30ECC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81" w:type="dxa"/>
            <w:noWrap w:val="0"/>
            <w:vAlign w:val="center"/>
          </w:tcPr>
          <w:p w14:paraId="68B2F54E">
            <w:pPr>
              <w:pageBreakBefore w:val="0"/>
              <w:numPr>
                <w:ilvl w:val="0"/>
                <w:numId w:val="0"/>
              </w:numPr>
              <w:kinsoku/>
              <w:wordWrap/>
              <w:overflowPunct/>
              <w:topLinePunct w:val="0"/>
              <w:bidi w:val="0"/>
              <w:spacing w:line="240" w:lineRule="auto"/>
              <w:ind w:left="425" w:leftChars="0" w:hanging="425" w:firstLineChars="0"/>
              <w:jc w:val="center"/>
              <w:textAlignment w:val="auto"/>
              <w:rPr>
                <w:rFonts w:hint="default" w:ascii="宋体" w:hAnsi="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6</w:t>
            </w:r>
          </w:p>
        </w:tc>
        <w:tc>
          <w:tcPr>
            <w:tcW w:w="4091" w:type="dxa"/>
            <w:noWrap w:val="0"/>
            <w:vAlign w:val="center"/>
          </w:tcPr>
          <w:p w14:paraId="65FAFD0D">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固定污染源烟气在线监测系统运行维护技术规范</w:t>
            </w:r>
          </w:p>
        </w:tc>
        <w:tc>
          <w:tcPr>
            <w:tcW w:w="2986" w:type="dxa"/>
            <w:noWrap w:val="0"/>
            <w:vAlign w:val="center"/>
          </w:tcPr>
          <w:p w14:paraId="7E479579">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ascii="宋体" w:hAnsi="宋体" w:eastAsia="宋体" w:cs="宋体"/>
                <w:sz w:val="24"/>
                <w:szCs w:val="24"/>
              </w:rPr>
              <w:t>DB37/T 4011-2020</w:t>
            </w:r>
          </w:p>
        </w:tc>
        <w:tc>
          <w:tcPr>
            <w:tcW w:w="1045" w:type="dxa"/>
            <w:noWrap w:val="0"/>
            <w:vAlign w:val="top"/>
          </w:tcPr>
          <w:p w14:paraId="66D13D4E">
            <w:pPr>
              <w:spacing w:line="360" w:lineRule="auto"/>
              <w:jc w:val="center"/>
              <w:rPr>
                <w:rFonts w:ascii="宋体" w:hAnsi="宋体" w:eastAsia="宋体" w:cs="宋体"/>
                <w:sz w:val="24"/>
                <w:szCs w:val="24"/>
                <w:highlight w:val="none"/>
              </w:rPr>
            </w:pPr>
          </w:p>
        </w:tc>
      </w:tr>
      <w:tr w14:paraId="225B0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81" w:type="dxa"/>
            <w:noWrap w:val="0"/>
            <w:vAlign w:val="center"/>
          </w:tcPr>
          <w:p w14:paraId="3A0881D4">
            <w:pPr>
              <w:pageBreakBefore w:val="0"/>
              <w:numPr>
                <w:ilvl w:val="0"/>
                <w:numId w:val="0"/>
              </w:numPr>
              <w:kinsoku/>
              <w:wordWrap/>
              <w:overflowPunct/>
              <w:topLinePunct w:val="0"/>
              <w:bidi w:val="0"/>
              <w:spacing w:line="240" w:lineRule="auto"/>
              <w:ind w:left="425" w:leftChars="0" w:hanging="425" w:firstLineChars="0"/>
              <w:jc w:val="center"/>
              <w:textAlignment w:val="auto"/>
              <w:rPr>
                <w:rFonts w:hint="default" w:ascii="宋体" w:hAnsi="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7</w:t>
            </w:r>
          </w:p>
        </w:tc>
        <w:tc>
          <w:tcPr>
            <w:tcW w:w="4091" w:type="dxa"/>
            <w:noWrap w:val="0"/>
            <w:vAlign w:val="center"/>
          </w:tcPr>
          <w:p w14:paraId="09B8F22A">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固定污染源自动监控（监测）系统现场端建设技术规范</w:t>
            </w:r>
          </w:p>
        </w:tc>
        <w:tc>
          <w:tcPr>
            <w:tcW w:w="2986" w:type="dxa"/>
            <w:noWrap w:val="0"/>
            <w:vAlign w:val="center"/>
          </w:tcPr>
          <w:p w14:paraId="68AFDA09">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ascii="宋体" w:hAnsi="宋体" w:eastAsia="宋体" w:cs="宋体"/>
                <w:sz w:val="24"/>
                <w:szCs w:val="24"/>
              </w:rPr>
              <w:t>T/CAEPI 11</w:t>
            </w:r>
            <w:r>
              <w:rPr>
                <w:rFonts w:ascii="宋体" w:hAnsi="宋体" w:eastAsia="宋体" w:cs="宋体"/>
                <w:sz w:val="24"/>
                <w:szCs w:val="24"/>
              </w:rPr>
              <w:noBreakHyphen/>
            </w:r>
            <w:r>
              <w:rPr>
                <w:rFonts w:ascii="宋体" w:hAnsi="宋体" w:eastAsia="宋体" w:cs="宋体"/>
                <w:sz w:val="24"/>
                <w:szCs w:val="24"/>
              </w:rPr>
              <w:t>2017</w:t>
            </w:r>
          </w:p>
        </w:tc>
        <w:tc>
          <w:tcPr>
            <w:tcW w:w="1045" w:type="dxa"/>
            <w:noWrap w:val="0"/>
            <w:vAlign w:val="top"/>
          </w:tcPr>
          <w:p w14:paraId="0C51B5F4">
            <w:pPr>
              <w:spacing w:line="360" w:lineRule="auto"/>
              <w:jc w:val="center"/>
              <w:rPr>
                <w:rFonts w:ascii="宋体" w:hAnsi="宋体" w:eastAsia="宋体" w:cs="宋体"/>
                <w:sz w:val="24"/>
                <w:szCs w:val="24"/>
                <w:highlight w:val="none"/>
              </w:rPr>
            </w:pPr>
          </w:p>
        </w:tc>
      </w:tr>
      <w:tr w14:paraId="3B56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81" w:type="dxa"/>
            <w:noWrap w:val="0"/>
            <w:vAlign w:val="center"/>
          </w:tcPr>
          <w:p w14:paraId="54BAA07B">
            <w:pPr>
              <w:pageBreakBefore w:val="0"/>
              <w:numPr>
                <w:ilvl w:val="0"/>
                <w:numId w:val="0"/>
              </w:numPr>
              <w:kinsoku/>
              <w:wordWrap/>
              <w:overflowPunct/>
              <w:topLinePunct w:val="0"/>
              <w:bidi w:val="0"/>
              <w:spacing w:line="240" w:lineRule="auto"/>
              <w:ind w:left="425" w:leftChars="0" w:hanging="425" w:firstLineChars="0"/>
              <w:jc w:val="center"/>
              <w:textAlignment w:val="auto"/>
              <w:rPr>
                <w:rFonts w:hint="default" w:ascii="宋体" w:hAnsi="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8</w:t>
            </w:r>
          </w:p>
        </w:tc>
        <w:tc>
          <w:tcPr>
            <w:tcW w:w="4091" w:type="dxa"/>
            <w:noWrap w:val="0"/>
            <w:vAlign w:val="center"/>
          </w:tcPr>
          <w:p w14:paraId="75A4B5DE">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ascii="Segoe UI" w:hAnsi="Segoe UI" w:eastAsia="Segoe UI" w:cs="Segoe UI"/>
                <w:i w:val="0"/>
                <w:iCs w:val="0"/>
                <w:caps w:val="0"/>
                <w:color w:val="0F1115"/>
                <w:spacing w:val="0"/>
                <w:sz w:val="24"/>
                <w:szCs w:val="24"/>
                <w:shd w:val="clear" w:fill="FFFFFF"/>
              </w:rPr>
              <w:t>自动化仪表工程施工及质量验收规范</w:t>
            </w:r>
          </w:p>
        </w:tc>
        <w:tc>
          <w:tcPr>
            <w:tcW w:w="2986" w:type="dxa"/>
            <w:shd w:val="clear" w:color="auto" w:fill="auto"/>
            <w:noWrap w:val="0"/>
            <w:vAlign w:val="center"/>
          </w:tcPr>
          <w:p w14:paraId="0A3FD036">
            <w:pPr>
              <w:pageBreakBefore w:val="0"/>
              <w:numPr>
                <w:ilvl w:val="0"/>
                <w:numId w:val="0"/>
              </w:numPr>
              <w:kinsoku/>
              <w:wordWrap/>
              <w:overflowPunct/>
              <w:topLinePunct w:val="0"/>
              <w:bidi w:val="0"/>
              <w:spacing w:line="240" w:lineRule="auto"/>
              <w:ind w:left="425" w:leftChars="0" w:hanging="425" w:firstLineChars="0"/>
              <w:jc w:val="center"/>
              <w:textAlignment w:val="auto"/>
              <w:rPr>
                <w:rFonts w:ascii="宋体" w:hAnsi="宋体" w:eastAsia="宋体" w:cs="宋体"/>
                <w:sz w:val="24"/>
                <w:szCs w:val="24"/>
              </w:rPr>
            </w:pPr>
            <w:r>
              <w:rPr>
                <w:rFonts w:hint="default" w:ascii="宋体" w:hAnsi="宋体" w:eastAsia="宋体" w:cs="宋体"/>
                <w:b w:val="0"/>
                <w:bCs w:val="0"/>
                <w:kern w:val="2"/>
                <w:sz w:val="24"/>
                <w:szCs w:val="24"/>
                <w:highlight w:val="none"/>
                <w:lang w:val="en-US" w:eastAsia="zh-CN" w:bidi="ar-SA"/>
              </w:rPr>
              <w:t>GB50093</w:t>
            </w:r>
          </w:p>
        </w:tc>
        <w:tc>
          <w:tcPr>
            <w:tcW w:w="1045" w:type="dxa"/>
            <w:noWrap w:val="0"/>
            <w:vAlign w:val="top"/>
          </w:tcPr>
          <w:p w14:paraId="5DC0EDC4">
            <w:pPr>
              <w:spacing w:line="360" w:lineRule="auto"/>
              <w:jc w:val="center"/>
              <w:rPr>
                <w:rFonts w:ascii="宋体" w:hAnsi="宋体" w:eastAsia="宋体" w:cs="宋体"/>
                <w:sz w:val="24"/>
                <w:szCs w:val="24"/>
                <w:highlight w:val="none"/>
              </w:rPr>
            </w:pPr>
          </w:p>
        </w:tc>
      </w:tr>
      <w:tr w14:paraId="728E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81" w:type="dxa"/>
            <w:noWrap w:val="0"/>
            <w:vAlign w:val="center"/>
          </w:tcPr>
          <w:p w14:paraId="0808F9C5">
            <w:pPr>
              <w:pageBreakBefore w:val="0"/>
              <w:numPr>
                <w:ilvl w:val="0"/>
                <w:numId w:val="0"/>
              </w:numPr>
              <w:kinsoku/>
              <w:wordWrap/>
              <w:overflowPunct/>
              <w:topLinePunct w:val="0"/>
              <w:bidi w:val="0"/>
              <w:spacing w:line="240" w:lineRule="auto"/>
              <w:ind w:left="425" w:leftChars="0" w:hanging="425" w:firstLineChars="0"/>
              <w:jc w:val="center"/>
              <w:textAlignment w:val="auto"/>
              <w:rPr>
                <w:rFonts w:hint="default" w:ascii="宋体" w:hAnsi="宋体" w:cs="宋体"/>
                <w:color w:val="000000" w:themeColor="text1"/>
                <w:kern w:val="2"/>
                <w:sz w:val="24"/>
                <w:szCs w:val="24"/>
                <w:lang w:val="en-US" w:eastAsia="zh-CN" w:bidi="ar-SA"/>
                <w14:textFill>
                  <w14:solidFill>
                    <w14:schemeClr w14:val="tx1"/>
                  </w14:solidFill>
                </w14:textFill>
              </w:rPr>
            </w:pPr>
            <w:r>
              <w:rPr>
                <w:rFonts w:hint="eastAsia" w:ascii="宋体" w:hAnsi="宋体" w:cs="宋体"/>
                <w:color w:val="000000" w:themeColor="text1"/>
                <w:kern w:val="2"/>
                <w:sz w:val="24"/>
                <w:szCs w:val="24"/>
                <w:lang w:val="en-US" w:eastAsia="zh-CN" w:bidi="ar-SA"/>
                <w14:textFill>
                  <w14:solidFill>
                    <w14:schemeClr w14:val="tx1"/>
                  </w14:solidFill>
                </w14:textFill>
              </w:rPr>
              <w:t>9</w:t>
            </w:r>
          </w:p>
        </w:tc>
        <w:tc>
          <w:tcPr>
            <w:tcW w:w="4091" w:type="dxa"/>
            <w:noWrap w:val="0"/>
            <w:vAlign w:val="center"/>
          </w:tcPr>
          <w:p w14:paraId="3A251E97">
            <w:pPr>
              <w:pageBreakBefore w:val="0"/>
              <w:numPr>
                <w:ilvl w:val="0"/>
                <w:numId w:val="0"/>
              </w:numPr>
              <w:kinsoku/>
              <w:wordWrap/>
              <w:overflowPunct/>
              <w:topLinePunct w:val="0"/>
              <w:bidi w:val="0"/>
              <w:spacing w:line="240" w:lineRule="auto"/>
              <w:ind w:left="425" w:leftChars="0" w:hanging="425" w:firstLineChars="0"/>
              <w:jc w:val="center"/>
              <w:textAlignment w:val="auto"/>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kern w:val="2"/>
                <w:sz w:val="24"/>
                <w:szCs w:val="24"/>
                <w:lang w:val="en-US" w:eastAsia="zh-CN" w:bidi="ar-SA"/>
                <w14:textFill>
                  <w14:solidFill>
                    <w14:schemeClr w14:val="tx1"/>
                  </w14:solidFill>
                </w14:textFill>
              </w:rPr>
              <w:t>电气装置安装工程 电缆线路施工及验收标准</w:t>
            </w:r>
          </w:p>
        </w:tc>
        <w:tc>
          <w:tcPr>
            <w:tcW w:w="2986" w:type="dxa"/>
            <w:shd w:val="clear" w:color="auto" w:fill="auto"/>
            <w:noWrap w:val="0"/>
            <w:vAlign w:val="center"/>
          </w:tcPr>
          <w:p w14:paraId="5CB0DADF">
            <w:pPr>
              <w:pageBreakBefore w:val="0"/>
              <w:numPr>
                <w:ilvl w:val="0"/>
                <w:numId w:val="0"/>
              </w:numPr>
              <w:kinsoku/>
              <w:wordWrap/>
              <w:overflowPunct/>
              <w:topLinePunct w:val="0"/>
              <w:bidi w:val="0"/>
              <w:spacing w:line="240" w:lineRule="auto"/>
              <w:ind w:left="425" w:leftChars="0" w:hanging="425" w:firstLineChars="0"/>
              <w:jc w:val="center"/>
              <w:textAlignment w:val="auto"/>
              <w:rPr>
                <w:rFonts w:ascii="宋体" w:hAnsi="宋体" w:eastAsia="宋体" w:cs="宋体"/>
                <w:sz w:val="24"/>
                <w:szCs w:val="24"/>
              </w:rPr>
            </w:pPr>
            <w:r>
              <w:rPr>
                <w:rFonts w:hint="default" w:ascii="宋体" w:hAnsi="宋体" w:eastAsia="宋体" w:cs="宋体"/>
                <w:b w:val="0"/>
                <w:bCs w:val="0"/>
                <w:kern w:val="2"/>
                <w:sz w:val="24"/>
                <w:szCs w:val="24"/>
                <w:highlight w:val="none"/>
                <w:lang w:val="en-US" w:eastAsia="zh-CN" w:bidi="ar-SA"/>
              </w:rPr>
              <w:t>GB50168</w:t>
            </w:r>
          </w:p>
        </w:tc>
        <w:tc>
          <w:tcPr>
            <w:tcW w:w="1045" w:type="dxa"/>
            <w:noWrap w:val="0"/>
            <w:vAlign w:val="top"/>
          </w:tcPr>
          <w:p w14:paraId="4EACF877">
            <w:pPr>
              <w:spacing w:line="360" w:lineRule="auto"/>
              <w:jc w:val="center"/>
              <w:rPr>
                <w:rFonts w:ascii="宋体" w:hAnsi="宋体" w:eastAsia="宋体" w:cs="宋体"/>
                <w:sz w:val="24"/>
                <w:szCs w:val="24"/>
                <w:highlight w:val="none"/>
              </w:rPr>
            </w:pPr>
          </w:p>
        </w:tc>
      </w:tr>
    </w:tbl>
    <w:p w14:paraId="2EA756BF">
      <w:pPr>
        <w:spacing w:line="360" w:lineRule="auto"/>
        <w:ind w:firstLine="480" w:firstLineChars="200"/>
        <w:rPr>
          <w:rFonts w:ascii="Calibri" w:hAnsi="Calibri" w:eastAsia="宋体" w:cs="Times New Roman"/>
          <w:b/>
          <w:bCs/>
          <w:kern w:val="44"/>
          <w:sz w:val="28"/>
          <w:szCs w:val="28"/>
        </w:rPr>
      </w:pPr>
      <w:r>
        <w:rPr>
          <w:rFonts w:hint="eastAsia" w:ascii="宋体" w:hAnsi="宋体" w:eastAsia="宋体" w:cs="宋体"/>
          <w:sz w:val="24"/>
          <w:szCs w:val="24"/>
        </w:rPr>
        <w:t xml:space="preserve"> </w:t>
      </w:r>
    </w:p>
    <w:p w14:paraId="184A3FF9">
      <w:pPr>
        <w:keepNext/>
        <w:keepLines/>
        <w:jc w:val="center"/>
        <w:outlineLvl w:val="1"/>
        <w:rPr>
          <w:rFonts w:ascii="Calibri" w:hAnsi="Calibri" w:eastAsia="宋体" w:cs="Times New Roman"/>
          <w:b/>
          <w:bCs/>
          <w:kern w:val="44"/>
          <w:sz w:val="28"/>
          <w:szCs w:val="28"/>
        </w:rPr>
      </w:pPr>
      <w:r>
        <w:rPr>
          <w:rFonts w:hint="eastAsia" w:ascii="Calibri" w:hAnsi="Calibri" w:eastAsia="宋体" w:cs="Times New Roman"/>
          <w:b/>
          <w:bCs/>
          <w:kern w:val="44"/>
          <w:sz w:val="28"/>
          <w:szCs w:val="28"/>
        </w:rPr>
        <w:t>第三章</w:t>
      </w:r>
      <w:r>
        <w:rPr>
          <w:rFonts w:ascii="Calibri" w:hAnsi="Calibri" w:eastAsia="宋体" w:cs="Times New Roman"/>
          <w:b/>
          <w:bCs/>
          <w:kern w:val="44"/>
          <w:sz w:val="28"/>
          <w:szCs w:val="28"/>
        </w:rPr>
        <w:t xml:space="preserve">  </w:t>
      </w:r>
      <w:r>
        <w:rPr>
          <w:rFonts w:hint="eastAsia" w:ascii="Calibri" w:hAnsi="Calibri" w:eastAsia="宋体" w:cs="Times New Roman"/>
          <w:b/>
          <w:bCs/>
          <w:kern w:val="44"/>
          <w:sz w:val="28"/>
          <w:szCs w:val="28"/>
        </w:rPr>
        <w:t>供货范围及供货方式</w:t>
      </w:r>
      <w:bookmarkEnd w:id="21"/>
    </w:p>
    <w:p w14:paraId="4EE02D5D"/>
    <w:p w14:paraId="418205FF">
      <w:pPr>
        <w:keepNext/>
        <w:keepLines/>
        <w:spacing w:line="360" w:lineRule="auto"/>
        <w:jc w:val="center"/>
        <w:outlineLvl w:val="2"/>
        <w:rPr>
          <w:rFonts w:ascii="宋体" w:hAnsi="宋体" w:eastAsia="宋体" w:cs="宋体"/>
          <w:b/>
          <w:bCs/>
          <w:sz w:val="24"/>
          <w:szCs w:val="32"/>
        </w:rPr>
      </w:pPr>
      <w:bookmarkStart w:id="22" w:name="_Toc169605882"/>
      <w:r>
        <w:rPr>
          <w:rFonts w:hint="eastAsia" w:ascii="宋体" w:hAnsi="宋体" w:eastAsia="宋体" w:cs="宋体"/>
          <w:b/>
          <w:bCs/>
          <w:sz w:val="24"/>
          <w:szCs w:val="32"/>
        </w:rPr>
        <w:t xml:space="preserve">第一节  </w:t>
      </w:r>
      <w:r>
        <w:rPr>
          <w:rFonts w:hint="eastAsia" w:ascii="宋体" w:hAnsi="宋体" w:eastAsia="宋体" w:cs="宋体"/>
          <w:b/>
          <w:bCs/>
          <w:sz w:val="24"/>
          <w:szCs w:val="32"/>
          <w:highlight w:val="none"/>
        </w:rPr>
        <w:t>供货范围</w:t>
      </w:r>
      <w:bookmarkEnd w:id="22"/>
    </w:p>
    <w:p w14:paraId="2C89D94A">
      <w:pPr>
        <w:spacing w:line="420" w:lineRule="exact"/>
        <w:ind w:firstLine="482" w:firstLineChars="200"/>
        <w:outlineLvl w:val="3"/>
        <w:rPr>
          <w:rFonts w:hint="eastAsia" w:ascii="宋体" w:hAnsi="宋体" w:eastAsia="宋体" w:cs="宋体"/>
          <w:b/>
          <w:bCs/>
          <w:color w:val="auto"/>
          <w:sz w:val="24"/>
          <w:szCs w:val="24"/>
          <w:highlight w:val="none"/>
        </w:rPr>
      </w:pPr>
      <w:r>
        <w:rPr>
          <w:rFonts w:hint="eastAsia" w:ascii="宋体" w:hAnsi="宋体" w:eastAsia="宋体" w:cs="宋体"/>
          <w:b/>
          <w:bCs/>
          <w:sz w:val="24"/>
          <w:szCs w:val="24"/>
        </w:rPr>
        <w:t>一</w:t>
      </w:r>
      <w:r>
        <w:rPr>
          <w:rFonts w:hint="eastAsia" w:ascii="宋体" w:hAnsi="宋体" w:eastAsia="宋体" w:cs="宋体"/>
          <w:b/>
          <w:bCs/>
          <w:sz w:val="24"/>
          <w:szCs w:val="24"/>
          <w:highlight w:val="none"/>
        </w:rPr>
        <w:t>、</w:t>
      </w:r>
      <w:r>
        <w:rPr>
          <w:rFonts w:hint="eastAsia" w:ascii="宋体" w:hAnsi="宋体" w:eastAsia="宋体" w:cs="宋体"/>
          <w:b/>
          <w:bCs/>
          <w:color w:val="auto"/>
          <w:sz w:val="24"/>
          <w:szCs w:val="24"/>
          <w:highlight w:val="none"/>
        </w:rPr>
        <w:t>供货范围（按照组成项目主要构成一览表的所有最小单元逐一列示，要涵盖培训等内容）</w:t>
      </w:r>
    </w:p>
    <w:tbl>
      <w:tblPr>
        <w:tblStyle w:val="48"/>
        <w:tblW w:w="463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6"/>
        <w:gridCol w:w="3765"/>
        <w:gridCol w:w="963"/>
        <w:gridCol w:w="886"/>
        <w:gridCol w:w="2042"/>
      </w:tblGrid>
      <w:tr w14:paraId="7088C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14:paraId="674D8AE7">
            <w:pPr>
              <w:spacing w:line="360" w:lineRule="auto"/>
              <w:jc w:val="center"/>
              <w:textAlignment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序号</w:t>
            </w:r>
          </w:p>
        </w:tc>
        <w:tc>
          <w:tcPr>
            <w:tcW w:w="2185" w:type="pct"/>
            <w:noWrap w:val="0"/>
            <w:vAlign w:val="center"/>
          </w:tcPr>
          <w:p w14:paraId="0657B32B">
            <w:pPr>
              <w:spacing w:line="360" w:lineRule="auto"/>
              <w:jc w:val="center"/>
              <w:textAlignment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名称</w:t>
            </w:r>
          </w:p>
        </w:tc>
        <w:tc>
          <w:tcPr>
            <w:tcW w:w="559" w:type="pct"/>
            <w:noWrap w:val="0"/>
            <w:vAlign w:val="center"/>
          </w:tcPr>
          <w:p w14:paraId="2B945ED4">
            <w:pPr>
              <w:spacing w:line="360" w:lineRule="auto"/>
              <w:jc w:val="center"/>
              <w:textAlignment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单位</w:t>
            </w:r>
          </w:p>
        </w:tc>
        <w:tc>
          <w:tcPr>
            <w:tcW w:w="514" w:type="pct"/>
            <w:noWrap w:val="0"/>
            <w:vAlign w:val="center"/>
          </w:tcPr>
          <w:p w14:paraId="05D70AD3">
            <w:pPr>
              <w:spacing w:line="360" w:lineRule="auto"/>
              <w:jc w:val="center"/>
              <w:textAlignment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数量</w:t>
            </w:r>
          </w:p>
        </w:tc>
        <w:tc>
          <w:tcPr>
            <w:tcW w:w="1185" w:type="pct"/>
            <w:noWrap w:val="0"/>
            <w:vAlign w:val="center"/>
          </w:tcPr>
          <w:p w14:paraId="33C6E74F">
            <w:pPr>
              <w:spacing w:line="360" w:lineRule="auto"/>
              <w:jc w:val="center"/>
              <w:textAlignment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备注</w:t>
            </w:r>
          </w:p>
        </w:tc>
      </w:tr>
      <w:tr w14:paraId="7F848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14:paraId="244A544C">
            <w:pPr>
              <w:spacing w:line="360" w:lineRule="auto"/>
              <w:jc w:val="center"/>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p>
        </w:tc>
        <w:tc>
          <w:tcPr>
            <w:tcW w:w="0" w:type="auto"/>
            <w:noWrap w:val="0"/>
            <w:vAlign w:val="center"/>
          </w:tcPr>
          <w:p w14:paraId="56D1BB46">
            <w:pPr>
              <w:spacing w:line="360" w:lineRule="auto"/>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烟尘浓度连续监测仪</w:t>
            </w:r>
          </w:p>
        </w:tc>
        <w:tc>
          <w:tcPr>
            <w:tcW w:w="559" w:type="pct"/>
            <w:noWrap w:val="0"/>
            <w:vAlign w:val="center"/>
          </w:tcPr>
          <w:p w14:paraId="1076CA39">
            <w:pPr>
              <w:spacing w:line="360" w:lineRule="auto"/>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台</w:t>
            </w:r>
          </w:p>
        </w:tc>
        <w:tc>
          <w:tcPr>
            <w:tcW w:w="514" w:type="pct"/>
            <w:noWrap w:val="0"/>
            <w:vAlign w:val="center"/>
          </w:tcPr>
          <w:p w14:paraId="1F184362">
            <w:pPr>
              <w:spacing w:line="360" w:lineRule="auto"/>
              <w:jc w:val="center"/>
              <w:textAlignment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1185" w:type="pct"/>
            <w:noWrap w:val="0"/>
            <w:vAlign w:val="center"/>
          </w:tcPr>
          <w:p w14:paraId="48245EBA">
            <w:pPr>
              <w:spacing w:line="360" w:lineRule="auto"/>
              <w:jc w:val="center"/>
              <w:textAlignment w:val="center"/>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交钥匙方式</w:t>
            </w:r>
          </w:p>
        </w:tc>
      </w:tr>
      <w:tr w14:paraId="3F643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14:paraId="3BEC65DF">
            <w:pPr>
              <w:spacing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0" w:type="auto"/>
            <w:noWrap w:val="0"/>
            <w:vAlign w:val="center"/>
          </w:tcPr>
          <w:p w14:paraId="1E55F723">
            <w:pPr>
              <w:spacing w:line="360" w:lineRule="auto"/>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温压流一体机</w:t>
            </w:r>
          </w:p>
        </w:tc>
        <w:tc>
          <w:tcPr>
            <w:tcW w:w="559" w:type="pct"/>
            <w:noWrap w:val="0"/>
            <w:vAlign w:val="center"/>
          </w:tcPr>
          <w:p w14:paraId="417915EF">
            <w:pPr>
              <w:spacing w:line="360" w:lineRule="auto"/>
              <w:jc w:val="center"/>
              <w:textAlignment w:val="center"/>
              <w:rPr>
                <w:rFonts w:hint="default" w:ascii="宋体" w:hAnsi="宋体" w:cs="宋体"/>
                <w:b/>
                <w:bCs/>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台</w:t>
            </w:r>
          </w:p>
        </w:tc>
        <w:tc>
          <w:tcPr>
            <w:tcW w:w="514" w:type="pct"/>
            <w:noWrap w:val="0"/>
            <w:vAlign w:val="center"/>
          </w:tcPr>
          <w:p w14:paraId="6677A683">
            <w:pPr>
              <w:spacing w:line="360" w:lineRule="auto"/>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1185" w:type="pct"/>
            <w:noWrap w:val="0"/>
            <w:vAlign w:val="center"/>
          </w:tcPr>
          <w:p w14:paraId="25752E91">
            <w:pPr>
              <w:spacing w:line="360" w:lineRule="auto"/>
              <w:jc w:val="center"/>
              <w:textAlignment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交钥匙方式</w:t>
            </w:r>
          </w:p>
        </w:tc>
      </w:tr>
      <w:tr w14:paraId="31D1A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14:paraId="18CEB392">
            <w:pPr>
              <w:spacing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w:t>
            </w:r>
          </w:p>
        </w:tc>
        <w:tc>
          <w:tcPr>
            <w:tcW w:w="0" w:type="auto"/>
            <w:noWrap w:val="0"/>
            <w:vAlign w:val="center"/>
          </w:tcPr>
          <w:p w14:paraId="5337AB6D">
            <w:pPr>
              <w:spacing w:line="360" w:lineRule="auto"/>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湿氧一体机</w:t>
            </w:r>
          </w:p>
        </w:tc>
        <w:tc>
          <w:tcPr>
            <w:tcW w:w="559" w:type="pct"/>
            <w:noWrap w:val="0"/>
            <w:vAlign w:val="center"/>
          </w:tcPr>
          <w:p w14:paraId="638E8794">
            <w:pPr>
              <w:spacing w:line="360" w:lineRule="auto"/>
              <w:jc w:val="center"/>
              <w:textAlignment w:val="center"/>
              <w:rPr>
                <w:rFonts w:hint="default" w:ascii="宋体" w:hAnsi="宋体" w:cs="宋体"/>
                <w:b/>
                <w:bCs/>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台</w:t>
            </w:r>
          </w:p>
        </w:tc>
        <w:tc>
          <w:tcPr>
            <w:tcW w:w="514" w:type="pct"/>
            <w:noWrap w:val="0"/>
            <w:vAlign w:val="center"/>
          </w:tcPr>
          <w:p w14:paraId="1253DAC2">
            <w:pPr>
              <w:spacing w:line="360" w:lineRule="auto"/>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1185" w:type="pct"/>
            <w:noWrap w:val="0"/>
            <w:vAlign w:val="center"/>
          </w:tcPr>
          <w:p w14:paraId="18AB29B5">
            <w:pPr>
              <w:spacing w:line="360" w:lineRule="auto"/>
              <w:jc w:val="center"/>
              <w:textAlignment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交钥匙方式</w:t>
            </w:r>
          </w:p>
        </w:tc>
      </w:tr>
      <w:tr w14:paraId="26DD1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14:paraId="69872C0B">
            <w:pPr>
              <w:spacing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c>
          <w:tcPr>
            <w:tcW w:w="0" w:type="auto"/>
            <w:noWrap w:val="0"/>
            <w:vAlign w:val="center"/>
          </w:tcPr>
          <w:p w14:paraId="26368A57">
            <w:pPr>
              <w:spacing w:line="360" w:lineRule="auto"/>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数采仪</w:t>
            </w:r>
          </w:p>
        </w:tc>
        <w:tc>
          <w:tcPr>
            <w:tcW w:w="559" w:type="pct"/>
            <w:noWrap w:val="0"/>
            <w:vAlign w:val="center"/>
          </w:tcPr>
          <w:p w14:paraId="6338FB29">
            <w:pPr>
              <w:spacing w:line="360" w:lineRule="auto"/>
              <w:jc w:val="center"/>
              <w:textAlignment w:val="center"/>
              <w:rPr>
                <w:rFonts w:hint="default" w:ascii="宋体" w:hAnsi="宋体" w:cs="宋体"/>
                <w:b/>
                <w:bCs/>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台</w:t>
            </w:r>
          </w:p>
        </w:tc>
        <w:tc>
          <w:tcPr>
            <w:tcW w:w="514" w:type="pct"/>
            <w:noWrap w:val="0"/>
            <w:vAlign w:val="center"/>
          </w:tcPr>
          <w:p w14:paraId="540E06CA">
            <w:pPr>
              <w:spacing w:line="360" w:lineRule="auto"/>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1185" w:type="pct"/>
            <w:noWrap w:val="0"/>
            <w:vAlign w:val="center"/>
          </w:tcPr>
          <w:p w14:paraId="1A20C8F4">
            <w:pPr>
              <w:spacing w:line="360" w:lineRule="auto"/>
              <w:jc w:val="center"/>
              <w:textAlignment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交钥匙方式</w:t>
            </w:r>
          </w:p>
        </w:tc>
      </w:tr>
      <w:tr w14:paraId="799B3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14:paraId="71E4CE1D">
            <w:pPr>
              <w:spacing w:line="360" w:lineRule="auto"/>
              <w:jc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c>
          <w:tcPr>
            <w:tcW w:w="0" w:type="auto"/>
            <w:noWrap w:val="0"/>
            <w:vAlign w:val="center"/>
          </w:tcPr>
          <w:p w14:paraId="1C0C31B2">
            <w:pPr>
              <w:spacing w:line="360" w:lineRule="auto"/>
              <w:jc w:val="center"/>
              <w:textAlignment w:val="center"/>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安装、调试</w:t>
            </w:r>
          </w:p>
        </w:tc>
        <w:tc>
          <w:tcPr>
            <w:tcW w:w="559" w:type="pct"/>
            <w:noWrap w:val="0"/>
            <w:vAlign w:val="center"/>
          </w:tcPr>
          <w:p w14:paraId="3D2DE9D0">
            <w:pPr>
              <w:spacing w:line="360" w:lineRule="auto"/>
              <w:jc w:val="center"/>
              <w:textAlignment w:val="center"/>
              <w:rPr>
                <w:rFonts w:hint="default" w:ascii="宋体" w:hAnsi="宋体" w:cs="宋体"/>
                <w:b/>
                <w:bCs/>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台</w:t>
            </w:r>
          </w:p>
        </w:tc>
        <w:tc>
          <w:tcPr>
            <w:tcW w:w="514" w:type="pct"/>
            <w:noWrap w:val="0"/>
            <w:vAlign w:val="center"/>
          </w:tcPr>
          <w:p w14:paraId="44D1FFBE">
            <w:pPr>
              <w:spacing w:line="360" w:lineRule="auto"/>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2</w:t>
            </w:r>
          </w:p>
        </w:tc>
        <w:tc>
          <w:tcPr>
            <w:tcW w:w="1185" w:type="pct"/>
            <w:noWrap w:val="0"/>
            <w:vAlign w:val="center"/>
          </w:tcPr>
          <w:p w14:paraId="112C4DC1">
            <w:pPr>
              <w:spacing w:line="360" w:lineRule="auto"/>
              <w:jc w:val="center"/>
              <w:textAlignment w:val="center"/>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交钥匙方式</w:t>
            </w:r>
          </w:p>
        </w:tc>
      </w:tr>
      <w:tr w14:paraId="61FE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pct"/>
            <w:noWrap w:val="0"/>
            <w:vAlign w:val="center"/>
          </w:tcPr>
          <w:p w14:paraId="29173B91">
            <w:pPr>
              <w:spacing w:line="360" w:lineRule="auto"/>
              <w:jc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c>
          <w:tcPr>
            <w:tcW w:w="0" w:type="auto"/>
            <w:noWrap w:val="0"/>
            <w:vAlign w:val="center"/>
          </w:tcPr>
          <w:p w14:paraId="60D3B655">
            <w:pPr>
              <w:spacing w:line="360" w:lineRule="auto"/>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人员培训</w:t>
            </w:r>
          </w:p>
        </w:tc>
        <w:tc>
          <w:tcPr>
            <w:tcW w:w="559" w:type="pct"/>
            <w:noWrap w:val="0"/>
            <w:vAlign w:val="center"/>
          </w:tcPr>
          <w:p w14:paraId="54DA70E5">
            <w:pPr>
              <w:spacing w:line="360" w:lineRule="auto"/>
              <w:jc w:val="center"/>
              <w:textAlignment w:val="center"/>
              <w:rPr>
                <w:rFonts w:hint="eastAsia"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套</w:t>
            </w:r>
          </w:p>
        </w:tc>
        <w:tc>
          <w:tcPr>
            <w:tcW w:w="514" w:type="pct"/>
            <w:noWrap w:val="0"/>
            <w:vAlign w:val="center"/>
          </w:tcPr>
          <w:p w14:paraId="3033457B">
            <w:pPr>
              <w:spacing w:line="360" w:lineRule="auto"/>
              <w:jc w:val="center"/>
              <w:textAlignment w:val="center"/>
              <w:rPr>
                <w:rFonts w:hint="default" w:ascii="宋体" w:hAnsi="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1185" w:type="pct"/>
            <w:shd w:val="clear" w:color="auto" w:fill="auto"/>
            <w:noWrap w:val="0"/>
            <w:vAlign w:val="center"/>
          </w:tcPr>
          <w:p w14:paraId="17AD08C1">
            <w:pPr>
              <w:spacing w:line="360" w:lineRule="auto"/>
              <w:jc w:val="center"/>
              <w:textAlignment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交钥匙方式</w:t>
            </w:r>
          </w:p>
        </w:tc>
      </w:tr>
    </w:tbl>
    <w:p w14:paraId="4039C488">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（一）一般界定</w:t>
      </w:r>
    </w:p>
    <w:p w14:paraId="0497800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1.包括本技术标书所列明的主要货物以及货物正常运行所必需的全套连线设备、材料等。如货物端联接法兰外端面之内的、电气系统接口压线板（插座等）之内的设备、材料、联接螺栓、垫片等。</w:t>
      </w:r>
    </w:p>
    <w:p w14:paraId="782BE92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2.包括为保证货物正常安装、调试和验收完成及以前所必需的整套配件、附件及材料、油料、控制软件及程序或指令等。</w:t>
      </w:r>
    </w:p>
    <w:p w14:paraId="549E98B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如果终验收完成后，投标人有需要收回的配件、附件、材料等，应当在投标文件的技术偏离条款中，予以详细说明；否则视同包括在供货范围之内。</w:t>
      </w:r>
    </w:p>
    <w:p w14:paraId="709255F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3.包括货物维护维修所必需的专用工具。</w:t>
      </w:r>
    </w:p>
    <w:p w14:paraId="23E1DD94">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722A981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包括为保证货物自身正常运行所必需的、满足使用地点环境条件的通风、冷却、降温等必需设施。</w:t>
      </w:r>
    </w:p>
    <w:p w14:paraId="7980428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如投标人难以提供或无优势提供以及属于选用配置的，则应当在投标文件的技术偏离条款中，予以详细说明并注明投标报价未包含该部分的货值。</w:t>
      </w:r>
    </w:p>
    <w:p w14:paraId="4869B249">
      <w:pPr>
        <w:spacing w:line="360" w:lineRule="auto"/>
        <w:ind w:firstLine="482" w:firstLineChars="200"/>
        <w:rPr>
          <w:rFonts w:ascii="宋体" w:hAnsi="宋体" w:eastAsia="宋体" w:cs="宋体"/>
          <w:b/>
          <w:sz w:val="24"/>
          <w:szCs w:val="24"/>
        </w:rPr>
      </w:pPr>
      <w:r>
        <w:rPr>
          <w:rFonts w:hint="eastAsia" w:ascii="宋体" w:hAnsi="宋体" w:eastAsia="宋体" w:cs="宋体"/>
          <w:b/>
          <w:sz w:val="24"/>
          <w:szCs w:val="24"/>
        </w:rPr>
        <w:t>（二）供货范围边界界定</w:t>
      </w:r>
    </w:p>
    <w:p w14:paraId="1FF59BD4">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1.买方提供货物所需的建筑物（如厂房等）和构筑物（如混凝土池、砼基础等），包含正常安装施工所需的预埋件（如穿管、预埋螺栓、螺母及垫片）。</w:t>
      </w:r>
    </w:p>
    <w:p w14:paraId="7385E88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买方提供符合本技术标书中“采购货物概况”和“使用环境”章节所列明品质的电力、自来水、压缩空气、蒸汽、天然气（或煤气）管线至系统接口，如：系统电力接口的接线端，水、气等外围管线端联接法兰外端面。</w:t>
      </w:r>
    </w:p>
    <w:p w14:paraId="3308F956">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如果投标人认为能源系统接口地点以及操控地点之间的货物数量不清或难以界定，应当以书面方式询标或以单价方式报价；否则视同满足招标人要求。</w:t>
      </w:r>
    </w:p>
    <w:p w14:paraId="7153D07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3.对于招标文件中无明确具体要求而投标人认为必须具备的其它货物，投标人必须将该部分货物单独报价（该报价含运杂费及税费等其它费用，而且不再作为其它报价涉及的其它费用的计算基数）。</w:t>
      </w:r>
    </w:p>
    <w:p w14:paraId="60132AD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4.以“交钥匙”方式采购的货物，在满足技术标书本节上述要求之外，同时包括货物正常运行、使用所需要的过桥、护栏、防护网、盖板等辅助设施。</w:t>
      </w:r>
    </w:p>
    <w:p w14:paraId="146EC679">
      <w:pPr>
        <w:spacing w:line="360" w:lineRule="auto"/>
        <w:ind w:firstLine="482" w:firstLineChars="200"/>
        <w:outlineLvl w:val="3"/>
        <w:rPr>
          <w:rFonts w:ascii="宋体" w:hAnsi="宋体" w:eastAsia="宋体" w:cs="宋体"/>
          <w:b/>
          <w:bCs/>
          <w:sz w:val="24"/>
          <w:szCs w:val="24"/>
          <w:highlight w:val="none"/>
        </w:rPr>
      </w:pPr>
      <w:r>
        <w:rPr>
          <w:rFonts w:hint="eastAsia" w:ascii="宋体" w:hAnsi="宋体" w:eastAsia="宋体" w:cs="宋体"/>
          <w:b/>
          <w:bCs/>
          <w:sz w:val="24"/>
          <w:szCs w:val="24"/>
        </w:rPr>
        <w:t>二、备品备件、易损件和专用耗材供货范围</w:t>
      </w:r>
    </w:p>
    <w:p w14:paraId="236D2164">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1.备品备件、易损件和专用耗材是招标人为保证货物质保期之后正常运行一年所自备自用的备品备件、易损件和专用耗材。</w:t>
      </w:r>
    </w:p>
    <w:p w14:paraId="657BF2CD">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质保期之内正常需要的备品备件、易损件和专用耗材全部包括在供货范围之内而不属于本条款界定的范围（应有明细）。</w:t>
      </w:r>
    </w:p>
    <w:p w14:paraId="24D326BF">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2.供货范围包括易损件和专用耗材的制造图纸及其技术要求等资料，如涉及专有技术或无法提供，应在投标文件中予以澄清或说明。</w:t>
      </w:r>
    </w:p>
    <w:p w14:paraId="18329E3E">
      <w:pPr>
        <w:spacing w:line="360" w:lineRule="auto"/>
        <w:ind w:firstLine="482" w:firstLineChars="200"/>
        <w:outlineLvl w:val="3"/>
        <w:rPr>
          <w:rFonts w:ascii="宋体" w:hAnsi="宋体" w:eastAsia="宋体" w:cs="宋体"/>
          <w:b/>
          <w:bCs/>
          <w:sz w:val="24"/>
          <w:szCs w:val="24"/>
          <w:highlight w:val="none"/>
        </w:rPr>
      </w:pPr>
      <w:r>
        <w:rPr>
          <w:rFonts w:hint="eastAsia" w:ascii="宋体" w:hAnsi="宋体" w:eastAsia="宋体" w:cs="宋体"/>
          <w:b/>
          <w:bCs/>
          <w:sz w:val="24"/>
          <w:szCs w:val="24"/>
          <w:highlight w:val="none"/>
        </w:rPr>
        <w:t>三、技术资料供货范围</w:t>
      </w:r>
    </w:p>
    <w:p w14:paraId="7FD5260C">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技术资料供货范围包括：</w:t>
      </w:r>
    </w:p>
    <w:p w14:paraId="32AE3D5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highlight w:val="none"/>
        </w:rPr>
        <w:t>1.在</w:t>
      </w:r>
      <w:r>
        <w:rPr>
          <w:rFonts w:hint="eastAsia" w:ascii="宋体" w:hAnsi="宋体" w:eastAsia="宋体" w:cs="宋体"/>
          <w:bCs/>
          <w:sz w:val="24"/>
          <w:szCs w:val="24"/>
          <w:highlight w:val="none"/>
        </w:rPr>
        <w:t>合同签订后</w:t>
      </w:r>
      <w:r>
        <w:rPr>
          <w:rFonts w:hint="eastAsia" w:ascii="宋体" w:hAnsi="宋体" w:eastAsia="宋体" w:cs="宋体"/>
          <w:bCs/>
          <w:sz w:val="24"/>
          <w:szCs w:val="24"/>
          <w:highlight w:val="none"/>
          <w:u w:val="single"/>
          <w:shd w:val="pct10" w:color="auto" w:fill="FFFFFF"/>
        </w:rPr>
        <w:t xml:space="preserve"> 15 </w:t>
      </w:r>
      <w:r>
        <w:rPr>
          <w:rFonts w:hint="eastAsia" w:ascii="宋体" w:hAnsi="宋体" w:eastAsia="宋体" w:cs="宋体"/>
          <w:bCs/>
          <w:sz w:val="24"/>
          <w:szCs w:val="24"/>
          <w:highlight w:val="none"/>
        </w:rPr>
        <w:t>个日历日内，提供货物基础及相关的设计、制作所需的纸质及</w:t>
      </w:r>
      <w:r>
        <w:rPr>
          <w:rFonts w:hint="eastAsia" w:ascii="宋体" w:hAnsi="宋体" w:eastAsia="宋体" w:cs="宋体"/>
          <w:bCs/>
          <w:sz w:val="24"/>
          <w:szCs w:val="24"/>
        </w:rPr>
        <w:t>电子版资料；电子版文件应当能够使用常用版本软件可以阅读甚至使用，进口货物、设备应有中外文对照。</w:t>
      </w:r>
    </w:p>
    <w:p w14:paraId="404C45BF">
      <w:pPr>
        <w:spacing w:line="360" w:lineRule="auto"/>
        <w:ind w:firstLine="480" w:firstLineChars="200"/>
        <w:rPr>
          <w:rFonts w:ascii="宋体" w:hAnsi="宋体" w:eastAsia="宋体" w:cs="宋体"/>
          <w:sz w:val="24"/>
          <w:szCs w:val="24"/>
        </w:rPr>
      </w:pPr>
      <w:r>
        <w:rPr>
          <w:rFonts w:hint="eastAsia" w:ascii="宋体" w:hAnsi="宋体" w:cs="宋体"/>
          <w:sz w:val="24"/>
          <w:szCs w:val="24"/>
          <w:lang w:val="en-US" w:eastAsia="zh-CN"/>
        </w:rPr>
        <w:t>2</w:t>
      </w:r>
      <w:r>
        <w:rPr>
          <w:rFonts w:hint="eastAsia" w:ascii="宋体" w:hAnsi="宋体" w:eastAsia="宋体" w:cs="宋体"/>
          <w:sz w:val="24"/>
          <w:szCs w:val="24"/>
        </w:rPr>
        <w:t>.在终验收前，提供货物各部分的功能描述文件、图片、影像等资料（进口、设备应有中外文对照），提供为保证货物后续正常运行所需的工装、吊（挂）具明细及其图纸、具体技术要求等资料（如果供货范围包含该部分实物）。</w:t>
      </w:r>
    </w:p>
    <w:p w14:paraId="12D4AAD1">
      <w:pPr>
        <w:spacing w:line="360" w:lineRule="auto"/>
        <w:ind w:firstLine="480" w:firstLineChars="200"/>
        <w:rPr>
          <w:rFonts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.在终验收前，提供确定的维修所需要且买方可以自行采购的外购件、外协件、电气元件及主要原材料的供货厂家明细表。</w:t>
      </w:r>
    </w:p>
    <w:p w14:paraId="2A9DFE85">
      <w:pPr>
        <w:spacing w:line="360" w:lineRule="auto"/>
        <w:ind w:firstLine="480" w:firstLineChars="200"/>
        <w:rPr>
          <w:rFonts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.在终验收前，提供包括货物的备品备件、易损件和专用耗材的图纸及技术参数、技术要求等资料。</w:t>
      </w:r>
    </w:p>
    <w:p w14:paraId="4AC0FC7F">
      <w:pPr>
        <w:spacing w:line="360" w:lineRule="auto"/>
        <w:ind w:firstLine="480" w:firstLineChars="200"/>
        <w:rPr>
          <w:rFonts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rPr>
        <w:t>.在终验收前，提供关于采购货物的操作维护手册、保养维修手册、安全注意事项等的使用说明书、仪器仪表检定和使用维修说明书、合格证、产品样本等技术资料（含图片和影像等资料）；对于进口设备，应有中外文资料说明。</w:t>
      </w:r>
    </w:p>
    <w:p w14:paraId="105A4AE8">
      <w:pPr>
        <w:spacing w:line="360" w:lineRule="auto"/>
        <w:ind w:firstLine="480" w:firstLineChars="200"/>
        <w:rPr>
          <w:rFonts w:ascii="宋体" w:hAnsi="宋体" w:eastAsia="宋体" w:cs="宋体"/>
          <w:sz w:val="24"/>
          <w:szCs w:val="24"/>
        </w:rPr>
      </w:pPr>
      <w:r>
        <w:rPr>
          <w:rFonts w:hint="eastAsia" w:ascii="宋体" w:hAnsi="宋体" w:cs="宋体"/>
          <w:sz w:val="24"/>
          <w:szCs w:val="24"/>
          <w:lang w:val="en-US" w:eastAsia="zh-CN"/>
        </w:rPr>
        <w:t>6</w:t>
      </w:r>
      <w:r>
        <w:rPr>
          <w:rFonts w:hint="eastAsia" w:ascii="宋体" w:hAnsi="宋体" w:eastAsia="宋体" w:cs="宋体"/>
          <w:sz w:val="24"/>
          <w:szCs w:val="24"/>
        </w:rPr>
        <w:t>.在终验收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14:paraId="54C0FCB5">
      <w:pPr>
        <w:spacing w:line="360" w:lineRule="auto"/>
        <w:ind w:firstLine="480" w:firstLineChars="200"/>
        <w:rPr>
          <w:rFonts w:ascii="宋体" w:hAnsi="宋体" w:eastAsia="宋体" w:cs="宋体"/>
          <w:sz w:val="24"/>
          <w:szCs w:val="24"/>
        </w:rPr>
      </w:pPr>
      <w:r>
        <w:rPr>
          <w:rFonts w:hint="eastAsia" w:ascii="宋体" w:hAnsi="宋体" w:cs="宋体"/>
          <w:sz w:val="24"/>
          <w:szCs w:val="24"/>
          <w:lang w:val="en-US" w:eastAsia="zh-CN"/>
        </w:rPr>
        <w:t>7</w:t>
      </w:r>
      <w:r>
        <w:rPr>
          <w:rFonts w:hint="eastAsia" w:ascii="宋体" w:hAnsi="宋体" w:eastAsia="宋体" w:cs="宋体"/>
          <w:sz w:val="24"/>
          <w:szCs w:val="24"/>
        </w:rPr>
        <w:t>.本条款所列要求，如招标人认为投标人提供的资料不能满足要求时，有权要求投标人免费补充或增加。</w:t>
      </w:r>
    </w:p>
    <w:p w14:paraId="43E2CC4B">
      <w:pPr>
        <w:spacing w:line="360" w:lineRule="auto"/>
        <w:ind w:firstLine="482" w:firstLineChars="200"/>
        <w:outlineLvl w:val="3"/>
        <w:rPr>
          <w:rFonts w:ascii="宋体" w:hAnsi="宋体" w:eastAsia="宋体" w:cs="宋体"/>
          <w:b/>
          <w:bCs/>
          <w:sz w:val="24"/>
          <w:szCs w:val="24"/>
        </w:rPr>
      </w:pPr>
      <w:r>
        <w:rPr>
          <w:rFonts w:hint="eastAsia" w:ascii="宋体" w:hAnsi="宋体" w:eastAsia="宋体" w:cs="宋体"/>
          <w:b/>
          <w:bCs/>
          <w:sz w:val="24"/>
          <w:szCs w:val="24"/>
        </w:rPr>
        <w:t>四、供货范围特别提示</w:t>
      </w:r>
    </w:p>
    <w:p w14:paraId="6A44E63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如果投标人认为本节所列的供货范围难以满足，则仍需要按照本要求提供，但该部分货物应当在投标报价中单独列明货物名称及品质、货值。</w:t>
      </w:r>
      <w:bookmarkStart w:id="23" w:name="_Toc169605883"/>
    </w:p>
    <w:p w14:paraId="1E29298B">
      <w:pPr>
        <w:pStyle w:val="24"/>
        <w:spacing w:line="360" w:lineRule="auto"/>
      </w:pPr>
    </w:p>
    <w:p w14:paraId="006238E0">
      <w:pPr>
        <w:keepNext/>
        <w:keepLines/>
        <w:spacing w:line="360" w:lineRule="auto"/>
        <w:jc w:val="center"/>
        <w:outlineLvl w:val="2"/>
        <w:rPr>
          <w:rFonts w:ascii="宋体" w:hAnsi="宋体" w:eastAsia="宋体" w:cs="宋体"/>
          <w:b/>
          <w:bCs/>
          <w:sz w:val="24"/>
          <w:szCs w:val="32"/>
        </w:rPr>
      </w:pPr>
      <w:r>
        <w:rPr>
          <w:rFonts w:hint="eastAsia" w:ascii="宋体" w:hAnsi="宋体" w:eastAsia="宋体" w:cs="宋体"/>
          <w:b/>
          <w:bCs/>
          <w:sz w:val="24"/>
          <w:szCs w:val="32"/>
        </w:rPr>
        <w:t>第二节  供货方式</w:t>
      </w:r>
      <w:bookmarkEnd w:id="23"/>
    </w:p>
    <w:p w14:paraId="4869A50E">
      <w:pPr>
        <w:spacing w:line="360" w:lineRule="auto"/>
        <w:ind w:firstLine="482" w:firstLineChars="200"/>
        <w:outlineLvl w:val="3"/>
        <w:rPr>
          <w:rFonts w:ascii="宋体" w:hAnsi="宋体" w:eastAsia="宋体" w:cs="宋体"/>
          <w:sz w:val="24"/>
          <w:szCs w:val="24"/>
        </w:rPr>
      </w:pPr>
      <w:r>
        <w:rPr>
          <w:rFonts w:hint="eastAsia" w:ascii="宋体" w:hAnsi="宋体" w:eastAsia="宋体" w:cs="宋体"/>
          <w:b/>
          <w:sz w:val="24"/>
          <w:szCs w:val="24"/>
        </w:rPr>
        <w:t>一、供货方式</w:t>
      </w:r>
    </w:p>
    <w:p w14:paraId="5C4BA190">
      <w:pPr>
        <w:spacing w:line="360" w:lineRule="auto"/>
        <w:ind w:firstLine="480" w:firstLineChars="200"/>
        <w:rPr>
          <w:rFonts w:ascii="宋体" w:hAnsi="宋体" w:eastAsia="宋体" w:cs="宋体"/>
          <w:b/>
          <w:i/>
          <w:sz w:val="24"/>
          <w:szCs w:val="24"/>
        </w:rPr>
      </w:pPr>
      <w:r>
        <w:rPr>
          <w:rFonts w:hint="eastAsia" w:ascii="宋体" w:hAnsi="宋体" w:eastAsia="宋体" w:cs="宋体"/>
          <w:sz w:val="24"/>
          <w:szCs w:val="24"/>
        </w:rPr>
        <w:t>完全交钥匙方式，即本次招标货物至少包括以下货物及服务：非标或特需设计、制造、至交货地点的运输（含定点装卸）、安装、调试、买方安装地竣工验收服务、货物移交、约定培训等全流程范围。</w:t>
      </w:r>
    </w:p>
    <w:p w14:paraId="1F2AF07D">
      <w:pPr>
        <w:spacing w:line="360" w:lineRule="auto"/>
        <w:ind w:firstLine="482" w:firstLineChars="200"/>
        <w:outlineLvl w:val="3"/>
        <w:rPr>
          <w:rFonts w:ascii="宋体" w:hAnsi="宋体" w:eastAsia="宋体" w:cs="宋体"/>
          <w:sz w:val="24"/>
          <w:szCs w:val="24"/>
        </w:rPr>
      </w:pPr>
      <w:r>
        <w:rPr>
          <w:rFonts w:hint="eastAsia" w:ascii="宋体" w:hAnsi="宋体" w:eastAsia="宋体" w:cs="宋体"/>
          <w:b/>
          <w:bCs/>
          <w:sz w:val="24"/>
          <w:szCs w:val="24"/>
        </w:rPr>
        <w:t>二、供货地点：</w:t>
      </w:r>
      <w:r>
        <w:rPr>
          <w:rFonts w:hint="eastAsia" w:ascii="宋体" w:hAnsi="宋体" w:eastAsia="宋体" w:cs="宋体"/>
          <w:color w:val="000000"/>
          <w:sz w:val="24"/>
          <w:szCs w:val="24"/>
          <w:u w:val="single"/>
          <w:lang w:val="en-US" w:eastAsia="zh-CN"/>
        </w:rPr>
        <w:t>济南市章丘区世纪大道6677号济南成型厂</w:t>
      </w:r>
      <w:r>
        <w:rPr>
          <w:rFonts w:hint="eastAsia" w:ascii="宋体" w:hAnsi="宋体" w:eastAsia="宋体" w:cs="宋体"/>
          <w:sz w:val="24"/>
          <w:szCs w:val="24"/>
        </w:rPr>
        <w:t>。</w:t>
      </w:r>
    </w:p>
    <w:p w14:paraId="2E9FDF8B">
      <w:pPr>
        <w:spacing w:line="360" w:lineRule="auto"/>
        <w:ind w:firstLine="482" w:firstLineChars="200"/>
        <w:jc w:val="left"/>
        <w:outlineLvl w:val="3"/>
        <w:rPr>
          <w:rFonts w:ascii="宋体" w:hAnsi="宋体" w:eastAsia="宋体" w:cs="宋体"/>
          <w:b/>
          <w:bCs/>
          <w:sz w:val="24"/>
          <w:szCs w:val="24"/>
        </w:rPr>
      </w:pPr>
      <w:r>
        <w:rPr>
          <w:rFonts w:hint="eastAsia" w:ascii="宋体" w:hAnsi="宋体" w:eastAsia="宋体" w:cs="宋体"/>
          <w:b/>
          <w:bCs/>
          <w:sz w:val="24"/>
          <w:szCs w:val="24"/>
        </w:rPr>
        <w:t>三、供货时间</w:t>
      </w:r>
    </w:p>
    <w:p w14:paraId="4E9EAADC">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1.自合同签定生效之日起，</w:t>
      </w:r>
      <w:r>
        <w:rPr>
          <w:rFonts w:hint="eastAsia" w:ascii="宋体" w:hAnsi="宋体" w:cs="宋体"/>
          <w:sz w:val="24"/>
          <w:szCs w:val="24"/>
          <w:highlight w:val="none"/>
          <w:u w:val="single"/>
          <w:lang w:val="en-US" w:eastAsia="zh-CN"/>
        </w:rPr>
        <w:t>10</w:t>
      </w:r>
      <w:r>
        <w:rPr>
          <w:rFonts w:hint="eastAsia" w:ascii="宋体" w:hAnsi="宋体" w:eastAsia="宋体" w:cs="宋体"/>
          <w:sz w:val="24"/>
          <w:szCs w:val="24"/>
          <w:highlight w:val="none"/>
        </w:rPr>
        <w:t>个日历</w:t>
      </w:r>
      <w:r>
        <w:rPr>
          <w:rFonts w:hint="eastAsia" w:ascii="宋体" w:hAnsi="宋体" w:eastAsia="宋体" w:cs="宋体"/>
          <w:sz w:val="24"/>
          <w:szCs w:val="24"/>
        </w:rPr>
        <w:t>日之内交货至供货地点</w:t>
      </w:r>
      <w:r>
        <w:rPr>
          <w:rFonts w:ascii="宋体" w:hAnsi="宋体" w:eastAsia="宋体" w:cs="宋体"/>
          <w:sz w:val="24"/>
          <w:szCs w:val="24"/>
        </w:rPr>
        <w:t>。</w:t>
      </w:r>
    </w:p>
    <w:p w14:paraId="4C03690C">
      <w:pPr>
        <w:spacing w:line="360" w:lineRule="auto"/>
        <w:ind w:firstLine="480" w:firstLineChars="200"/>
        <w:jc w:val="left"/>
        <w:rPr>
          <w:rFonts w:hint="eastAsia" w:ascii="宋体" w:hAnsi="宋体" w:eastAsia="宋体" w:cs="宋体"/>
          <w:sz w:val="24"/>
          <w:szCs w:val="24"/>
          <w:highlight w:val="none"/>
          <w:lang w:eastAsia="zh-CN"/>
        </w:rPr>
      </w:pPr>
      <w:r>
        <w:rPr>
          <w:rFonts w:hint="eastAsia" w:ascii="宋体" w:hAnsi="宋体" w:eastAsia="宋体" w:cs="宋体"/>
          <w:sz w:val="24"/>
          <w:highlight w:val="none"/>
        </w:rPr>
        <w:t>2.接续</w:t>
      </w:r>
      <w:r>
        <w:rPr>
          <w:rFonts w:hint="eastAsia" w:ascii="宋体" w:hAnsi="宋体" w:cs="宋体"/>
          <w:sz w:val="24"/>
          <w:highlight w:val="none"/>
          <w:u w:val="single"/>
          <w:lang w:val="en-US" w:eastAsia="zh-CN"/>
        </w:rPr>
        <w:t>30</w:t>
      </w:r>
      <w:r>
        <w:rPr>
          <w:rFonts w:hint="eastAsia" w:ascii="宋体" w:hAnsi="宋体" w:eastAsia="宋体" w:cs="宋体"/>
          <w:sz w:val="24"/>
          <w:highlight w:val="none"/>
        </w:rPr>
        <w:t>个日历日之内完成安装调试或根据招标方要求分段实施。</w:t>
      </w:r>
    </w:p>
    <w:p w14:paraId="1BAB5E0E">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.接续</w:t>
      </w:r>
      <w:r>
        <w:rPr>
          <w:rFonts w:hint="eastAsia" w:ascii="宋体" w:hAnsi="宋体" w:cs="宋体"/>
          <w:sz w:val="24"/>
          <w:szCs w:val="24"/>
          <w:u w:val="single"/>
          <w:shd w:val="pct10" w:color="auto" w:fill="FFFFFF"/>
          <w:lang w:val="en-US" w:eastAsia="zh-CN"/>
        </w:rPr>
        <w:t>3</w:t>
      </w:r>
      <w:r>
        <w:rPr>
          <w:rFonts w:hint="eastAsia" w:ascii="宋体" w:hAnsi="宋体" w:eastAsia="宋体" w:cs="宋体"/>
          <w:sz w:val="24"/>
          <w:szCs w:val="24"/>
          <w:u w:val="single"/>
          <w:shd w:val="pct10" w:color="auto" w:fill="FFFFFF"/>
          <w:lang w:val="en-US" w:eastAsia="zh-CN"/>
        </w:rPr>
        <w:t>0</w:t>
      </w:r>
      <w:r>
        <w:rPr>
          <w:rFonts w:hint="eastAsia" w:ascii="宋体" w:hAnsi="宋体" w:eastAsia="宋体" w:cs="宋体"/>
          <w:sz w:val="24"/>
          <w:szCs w:val="24"/>
        </w:rPr>
        <w:t>个日历日之内完成终验收。</w:t>
      </w:r>
    </w:p>
    <w:p w14:paraId="56AFF76F">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rPr>
        <w:t>安装调试时间或终验收时间超过规定时间的，投标人应当随标书提供详细的工期计划。</w:t>
      </w:r>
    </w:p>
    <w:p w14:paraId="77687845">
      <w:pPr>
        <w:spacing w:line="360" w:lineRule="auto"/>
        <w:ind w:firstLine="482" w:firstLineChars="200"/>
        <w:outlineLvl w:val="3"/>
        <w:rPr>
          <w:rFonts w:ascii="宋体" w:hAnsi="宋体" w:eastAsia="宋体" w:cs="宋体"/>
          <w:b/>
          <w:bCs/>
          <w:sz w:val="24"/>
          <w:szCs w:val="24"/>
        </w:rPr>
      </w:pPr>
      <w:r>
        <w:rPr>
          <w:rFonts w:hint="eastAsia" w:ascii="宋体" w:hAnsi="宋体" w:eastAsia="宋体" w:cs="宋体"/>
          <w:b/>
          <w:bCs/>
          <w:sz w:val="24"/>
          <w:szCs w:val="24"/>
        </w:rPr>
        <w:t>四、包装</w:t>
      </w:r>
    </w:p>
    <w:p w14:paraId="000AD88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1.所提供货物（或设备）的包装，应遵照国家标准和有关包装、包皮的技术条件，或按照最好的商业惯例进行包装。</w:t>
      </w:r>
    </w:p>
    <w:p w14:paraId="2FA6E969">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2.包装应能满足所需要采取的运输方式（船运、汽运或铁路运输）、多次吊装卸装、卸货以及长期露天堆放要求，应能防止雨淋、受潮、生锈、腐蚀、受振、受磁以及机械和化学因素等引起的损坏。</w:t>
      </w:r>
    </w:p>
    <w:p w14:paraId="0F84500C">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3.所提供货物（或设备）的包装，应能防止其一般性被窃或受外力破坏；一般不得采用有大缝隙的板条包装。</w:t>
      </w:r>
    </w:p>
    <w:p w14:paraId="108948D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4.应对包装件做必要的加固和固定，以防止运输可能造成的损坏。</w:t>
      </w:r>
    </w:p>
    <w:p w14:paraId="658A986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5.每个包装件应有装箱单，并至少标明名称、型号规格、数量、净重和毛重、投标人（或供货商）名称和制造日期等相关内容。</w:t>
      </w:r>
    </w:p>
    <w:p w14:paraId="716980A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6.每个包装箱应有明显标志，并具有中文书写的合同号、装运标志、发货和到货地点名称、发货人和收货人名称、货物名称和项目号、箱号和外型尺寸等内容。</w:t>
      </w:r>
    </w:p>
    <w:p w14:paraId="716189E5">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7.应按照不同的装运要求在包装箱上标明“小心轻放”、“箭头向上”、“防潮”、“防磁”、“不准平放”等标志，以及其它适用的国标通用标志。</w:t>
      </w:r>
    </w:p>
    <w:p w14:paraId="45E25F5C">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8.包装箱应连续编号，不应出现重复编号。</w:t>
      </w:r>
    </w:p>
    <w:p w14:paraId="3D245962">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9.在不受到外界破坏情况下，包装应保证自交货日起一年内货物（或设备）完好无损。</w:t>
      </w:r>
    </w:p>
    <w:p w14:paraId="2B4FFF05">
      <w:pPr>
        <w:adjustRightInd w:val="0"/>
        <w:snapToGrid w:val="0"/>
        <w:spacing w:line="360" w:lineRule="auto"/>
        <w:ind w:firstLine="482" w:firstLineChars="200"/>
        <w:outlineLvl w:val="3"/>
        <w:rPr>
          <w:rFonts w:ascii="宋体" w:hAnsi="宋体" w:eastAsia="宋体" w:cs="宋体"/>
          <w:b/>
          <w:bCs/>
          <w:sz w:val="24"/>
          <w:szCs w:val="24"/>
        </w:rPr>
      </w:pPr>
      <w:r>
        <w:rPr>
          <w:rFonts w:hint="eastAsia" w:ascii="宋体" w:hAnsi="宋体" w:eastAsia="宋体" w:cs="宋体"/>
          <w:b/>
          <w:bCs/>
          <w:sz w:val="24"/>
          <w:szCs w:val="24"/>
        </w:rPr>
        <w:t>五、运输</w:t>
      </w:r>
    </w:p>
    <w:p w14:paraId="775CF94F">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1.应负责将货物（或设备）运到目的地，并必须做到货物（或设备）在任何运输过程中不受损坏和遗失。</w:t>
      </w:r>
    </w:p>
    <w:p w14:paraId="2074B2D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2.同批货物（或设备）应统一包装、编号运输。</w:t>
      </w:r>
    </w:p>
    <w:p w14:paraId="73097219">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3.一般情况下，经由铁路、公路运输的包装件尺寸和重量不应超过国家所规定的尺寸限制，特殊情况应予以说明。</w:t>
      </w:r>
    </w:p>
    <w:p w14:paraId="16A24D2F">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4.在每批货物（或设备）发出后，应立即通知买方；通知中应指明：合同号、货运单号、件数、重量和货物（或设备）发出日期等相关内容。</w:t>
      </w:r>
    </w:p>
    <w:p w14:paraId="1D0C7EB8">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5.货物（或设备）运抵交货地点后，应负责货物（或设备）的卸货、搬运、保管等事宜，或按照合同约定。</w:t>
      </w:r>
    </w:p>
    <w:p w14:paraId="4E3C9712">
      <w:pPr>
        <w:adjustRightInd w:val="0"/>
        <w:snapToGrid w:val="0"/>
        <w:spacing w:line="420" w:lineRule="exact"/>
        <w:rPr>
          <w:rFonts w:ascii="宋体" w:hAnsi="Calibri" w:eastAsia="宋体" w:cs="Times New Roman"/>
          <w:szCs w:val="20"/>
        </w:rPr>
      </w:pPr>
    </w:p>
    <w:p w14:paraId="78DE90E1">
      <w:pPr>
        <w:widowControl/>
        <w:jc w:val="left"/>
        <w:rPr>
          <w:rFonts w:ascii="宋体" w:hAnsi="Calibri" w:eastAsia="宋体" w:cs="Times New Roman"/>
          <w:szCs w:val="20"/>
        </w:rPr>
      </w:pPr>
      <w:r>
        <w:rPr>
          <w:rFonts w:ascii="宋体" w:hAnsi="Calibri" w:eastAsia="宋体" w:cs="Times New Roman"/>
          <w:szCs w:val="20"/>
        </w:rPr>
        <w:br w:type="page"/>
      </w:r>
    </w:p>
    <w:p w14:paraId="7F383241">
      <w:pPr>
        <w:keepNext/>
        <w:keepLines/>
        <w:spacing w:line="360" w:lineRule="auto"/>
        <w:jc w:val="center"/>
        <w:outlineLvl w:val="1"/>
        <w:rPr>
          <w:rFonts w:ascii="Calibri" w:hAnsi="Calibri" w:eastAsia="宋体" w:cs="Times New Roman"/>
          <w:b/>
          <w:bCs/>
          <w:kern w:val="44"/>
          <w:sz w:val="28"/>
          <w:szCs w:val="28"/>
        </w:rPr>
      </w:pPr>
      <w:bookmarkStart w:id="24" w:name="_Toc169605884"/>
      <w:r>
        <w:rPr>
          <w:rFonts w:hint="eastAsia" w:ascii="Calibri" w:hAnsi="Calibri" w:eastAsia="宋体" w:cs="Times New Roman"/>
          <w:b/>
          <w:bCs/>
          <w:kern w:val="44"/>
          <w:sz w:val="28"/>
          <w:szCs w:val="28"/>
        </w:rPr>
        <w:t>第四章</w:t>
      </w:r>
      <w:r>
        <w:rPr>
          <w:rFonts w:ascii="Calibri" w:hAnsi="Calibri" w:eastAsia="宋体" w:cs="Times New Roman"/>
          <w:b/>
          <w:bCs/>
          <w:kern w:val="44"/>
          <w:sz w:val="28"/>
          <w:szCs w:val="28"/>
        </w:rPr>
        <w:t xml:space="preserve">  </w:t>
      </w:r>
      <w:r>
        <w:rPr>
          <w:rFonts w:hint="eastAsia" w:ascii="Calibri" w:hAnsi="Calibri" w:eastAsia="宋体" w:cs="Times New Roman"/>
          <w:b/>
          <w:bCs/>
          <w:kern w:val="44"/>
          <w:sz w:val="28"/>
          <w:szCs w:val="28"/>
        </w:rPr>
        <w:t>质保期及售后服务</w:t>
      </w:r>
      <w:bookmarkEnd w:id="24"/>
    </w:p>
    <w:p w14:paraId="2458DE86">
      <w:pPr>
        <w:pStyle w:val="237"/>
        <w:spacing w:line="360" w:lineRule="auto"/>
      </w:pPr>
      <w:r>
        <w:rPr>
          <w:rFonts w:hint="eastAsia"/>
        </w:rPr>
        <w:t>一、质保期及质保要求</w:t>
      </w:r>
    </w:p>
    <w:p w14:paraId="2A206715">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1</w:t>
      </w:r>
      <w:r>
        <w:rPr>
          <w:rFonts w:hint="eastAsia" w:ascii="宋体" w:hAnsi="宋体" w:eastAsia="宋体" w:cs="宋体"/>
          <w:sz w:val="24"/>
          <w:szCs w:val="24"/>
        </w:rPr>
        <w:t>.全部供货范围内的设备、材料、零配件和工器具等，除合同特别约定外，其质保期均自终验收签字生效之日起</w:t>
      </w:r>
      <w:r>
        <w:rPr>
          <w:rFonts w:ascii="宋体" w:hAnsi="宋体" w:eastAsia="宋体" w:cs="宋体"/>
          <w:sz w:val="24"/>
          <w:szCs w:val="24"/>
          <w:u w:val="single"/>
        </w:rPr>
        <w:t xml:space="preserve"> </w:t>
      </w:r>
      <w:r>
        <w:rPr>
          <w:rFonts w:hint="eastAsia" w:ascii="宋体" w:hAnsi="宋体" w:eastAsia="宋体" w:cs="宋体"/>
          <w:sz w:val="24"/>
          <w:szCs w:val="24"/>
          <w:highlight w:val="yellow"/>
          <w:u w:val="single"/>
        </w:rPr>
        <w:t>12</w:t>
      </w:r>
      <w:r>
        <w:rPr>
          <w:rFonts w:ascii="宋体" w:hAnsi="宋体" w:eastAsia="宋体" w:cs="宋体"/>
          <w:sz w:val="24"/>
          <w:szCs w:val="24"/>
          <w:highlight w:val="yellow"/>
          <w:u w:val="single"/>
        </w:rPr>
        <w:t xml:space="preserve"> </w:t>
      </w:r>
      <w:r>
        <w:rPr>
          <w:rFonts w:hint="eastAsia" w:ascii="宋体" w:hAnsi="宋体" w:eastAsia="宋体" w:cs="宋体"/>
          <w:sz w:val="24"/>
          <w:szCs w:val="24"/>
        </w:rPr>
        <w:t>个月。</w:t>
      </w:r>
    </w:p>
    <w:p w14:paraId="01ED35B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投标货物或涉及的关键总成和零件，如果有更长时间质保期，允许更改并说明，此将有利于投标人。</w:t>
      </w:r>
    </w:p>
    <w:p w14:paraId="0B9B2BD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设计使用寿命短于质保期的易损件除外，但属于易损件的，应当有明确说明。</w:t>
      </w:r>
    </w:p>
    <w:p w14:paraId="2A41E9A5">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2</w:t>
      </w:r>
      <w:r>
        <w:rPr>
          <w:rFonts w:hint="eastAsia" w:ascii="宋体" w:hAnsi="宋体" w:eastAsia="宋体" w:cs="宋体"/>
          <w:sz w:val="24"/>
          <w:szCs w:val="24"/>
        </w:rPr>
        <w:t>.质保期之内，如果货物出现设备、总成、关键零部件或者多处一般零部件的二次以上的更换或维修行为，则质保期自更换或维修行为结束、货物重新正常运行使用之日起重新计算。</w:t>
      </w:r>
    </w:p>
    <w:p w14:paraId="7D0C993F">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3</w:t>
      </w:r>
      <w:r>
        <w:rPr>
          <w:rFonts w:hint="eastAsia" w:ascii="宋体" w:hAnsi="宋体" w:eastAsia="宋体" w:cs="宋体"/>
          <w:sz w:val="24"/>
          <w:szCs w:val="24"/>
        </w:rPr>
        <w:t>.质保期内免费提供零部件和及时有效的服务。质保期内因货物本身缺陷造成的各种故障，卖方应负责免费维修和服务。</w:t>
      </w:r>
    </w:p>
    <w:p w14:paraId="20FA8621">
      <w:pPr>
        <w:adjustRightInd w:val="0"/>
        <w:snapToGrid w:val="0"/>
        <w:spacing w:line="360" w:lineRule="auto"/>
        <w:ind w:firstLine="480" w:firstLineChars="200"/>
        <w:rPr>
          <w:rFonts w:ascii="宋体" w:hAnsi="宋体" w:eastAsia="宋体" w:cs="宋体"/>
          <w:sz w:val="24"/>
          <w:szCs w:val="24"/>
        </w:rPr>
      </w:pPr>
      <w:r>
        <w:rPr>
          <w:rFonts w:ascii="宋体" w:hAnsi="宋体" w:eastAsia="宋体" w:cs="宋体"/>
          <w:sz w:val="24"/>
          <w:szCs w:val="24"/>
        </w:rPr>
        <w:t>4</w:t>
      </w:r>
      <w:r>
        <w:rPr>
          <w:rFonts w:hint="eastAsia" w:ascii="宋体" w:hAnsi="宋体" w:eastAsia="宋体" w:cs="宋体"/>
          <w:sz w:val="24"/>
          <w:szCs w:val="24"/>
        </w:rPr>
        <w:t>.质保期终止之日起</w:t>
      </w:r>
      <w:r>
        <w:rPr>
          <w:rFonts w:hint="eastAsia" w:ascii="宋体" w:hAnsi="宋体" w:eastAsia="宋体" w:cs="宋体"/>
          <w:sz w:val="24"/>
          <w:szCs w:val="24"/>
          <w:highlight w:val="yellow"/>
          <w:u w:val="single"/>
        </w:rPr>
        <w:t>一年内</w:t>
      </w:r>
      <w:r>
        <w:rPr>
          <w:rFonts w:hint="eastAsia" w:ascii="宋体" w:hAnsi="宋体" w:eastAsia="宋体" w:cs="宋体"/>
          <w:sz w:val="24"/>
          <w:szCs w:val="24"/>
        </w:rPr>
        <w:t>重复出现的质保期之内出现的故障，仍属质保范围而且应当免费。</w:t>
      </w:r>
    </w:p>
    <w:p w14:paraId="40DE1C8C">
      <w:pPr>
        <w:pStyle w:val="237"/>
        <w:spacing w:line="360" w:lineRule="auto"/>
        <w:rPr>
          <w:rFonts w:ascii="宋体" w:hAnsi="宋体" w:cs="宋体"/>
        </w:rPr>
      </w:pPr>
      <w:r>
        <w:rPr>
          <w:rFonts w:hint="eastAsia" w:ascii="宋体" w:hAnsi="宋体" w:cs="宋体"/>
        </w:rPr>
        <w:t>二、技术及培训服务</w:t>
      </w:r>
    </w:p>
    <w:p w14:paraId="021103A1">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1.应负责在买方货物使用现场，对技术、维修和操作人员提供免费的理论、技术和操作、维修等方面的技术指导和培训，并接受买方有关人员的技术咨询。培训工作日不少于</w:t>
      </w:r>
      <w:r>
        <w:rPr>
          <w:rFonts w:hint="eastAsia" w:ascii="宋体" w:hAnsi="宋体" w:eastAsia="宋体" w:cs="宋体"/>
          <w:color w:val="000000"/>
          <w:sz w:val="24"/>
          <w:szCs w:val="24"/>
          <w:u w:val="single"/>
          <w:shd w:val="pct10" w:color="auto" w:fill="FFFFFF"/>
        </w:rPr>
        <w:t>3</w:t>
      </w:r>
      <w:r>
        <w:rPr>
          <w:rFonts w:hint="eastAsia" w:ascii="宋体" w:hAnsi="宋体" w:eastAsia="宋体" w:cs="宋体"/>
          <w:color w:val="000000"/>
          <w:sz w:val="24"/>
          <w:szCs w:val="24"/>
        </w:rPr>
        <w:t>个日历日。</w:t>
      </w:r>
    </w:p>
    <w:p w14:paraId="498D7283">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2.应免费提供一定数量的培训资料。</w:t>
      </w:r>
    </w:p>
    <w:p w14:paraId="5A30C065">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3.应按要求免费积极协助和提供买方以及买方所委托的工程设计单位有关人员所需要的、与货物有关的工程设计资料、技术咨询等。</w:t>
      </w:r>
    </w:p>
    <w:p w14:paraId="32D31F3C">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4.若卖方提供货物涉及到外购外协货物、而且该货物的技术质量等较为关键时，卖方应能保证得到配套厂家的技术支持，并免费为买方提供技术服务。</w:t>
      </w:r>
    </w:p>
    <w:p w14:paraId="4B5D7FE5">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14:paraId="19AE2BE0">
      <w:pPr>
        <w:pStyle w:val="237"/>
        <w:spacing w:line="360" w:lineRule="auto"/>
        <w:rPr>
          <w:rFonts w:ascii="宋体" w:hAnsi="宋体" w:cs="宋体"/>
        </w:rPr>
      </w:pPr>
      <w:r>
        <w:rPr>
          <w:rFonts w:hint="eastAsia" w:ascii="宋体" w:hAnsi="宋体" w:cs="宋体"/>
        </w:rPr>
        <w:t>三、安装调试及验收服务</w:t>
      </w:r>
    </w:p>
    <w:p w14:paraId="437AFC25">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指导安装调试或负责安装调试以及协助验收，投标人均应在投标文件中明确其收费额或免费约定，否则视同免费；安装调试及验收服务均应按照合同约定或协议、通知及时组织并完成。因卖方原因造成的延期，所发生的费用全部由卖方承担。</w:t>
      </w:r>
    </w:p>
    <w:p w14:paraId="7F70EE41">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2.若卖方提供的货物涉及到外购外协货物、而且该货物的技术质量等较为关键时，应保证能得到供应商的技术支持，并免费为买方提供安装使用现场的指导与培训。</w:t>
      </w:r>
    </w:p>
    <w:p w14:paraId="6F98074C">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14:paraId="546201F6">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4.在卖方所提供货物需要得到买方建设项目所在地政府或行业主管部门的查验、试验、验收时，卖方应当免费完成或协助招标人完成所需要的工作、材料和服务等。协助完成的，应当在投标文件报价内容中予以说明，否则视同免费。</w:t>
      </w:r>
    </w:p>
    <w:p w14:paraId="73B0C6FB">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5.卖方应当向买方提供货物试验、验收的有关标准、规范和方法，同时提供货物涉及并使用的软件合法性证明。</w:t>
      </w:r>
    </w:p>
    <w:p w14:paraId="33BE384D">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6.服务缺陷视同货物缺陷和履约延期。</w:t>
      </w:r>
    </w:p>
    <w:p w14:paraId="035403C0">
      <w:pPr>
        <w:pStyle w:val="237"/>
        <w:spacing w:line="360" w:lineRule="auto"/>
        <w:rPr>
          <w:rFonts w:ascii="宋体" w:hAnsi="宋体" w:cs="宋体"/>
        </w:rPr>
      </w:pPr>
      <w:r>
        <w:rPr>
          <w:rFonts w:hint="eastAsia" w:ascii="宋体" w:hAnsi="宋体" w:cs="宋体"/>
        </w:rPr>
        <w:t>四、售后服务</w:t>
      </w:r>
    </w:p>
    <w:p w14:paraId="7DEA2071">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1.卖方提供的货物涉及的所有售后服务均由卖方负责。如果发生问题并且收到通知，卖方应当在2小时内予以答复。</w:t>
      </w:r>
    </w:p>
    <w:p w14:paraId="44457AB0">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2.如发现所提供的货物存在问题，需要卖方解决或配合解决时：在质保期之内，应在接到通知后</w:t>
      </w:r>
      <w:r>
        <w:rPr>
          <w:rFonts w:hint="eastAsia" w:ascii="宋体" w:hAnsi="宋体" w:eastAsia="宋体" w:cs="宋体"/>
          <w:color w:val="000000"/>
          <w:sz w:val="24"/>
          <w:szCs w:val="24"/>
          <w:u w:val="single"/>
          <w:shd w:val="pct10" w:color="auto" w:fill="FFFFFF"/>
        </w:rPr>
        <w:t>24</w:t>
      </w:r>
      <w:r>
        <w:rPr>
          <w:rFonts w:hint="eastAsia" w:ascii="宋体" w:hAnsi="宋体" w:eastAsia="宋体" w:cs="宋体"/>
          <w:color w:val="000000"/>
          <w:sz w:val="24"/>
          <w:szCs w:val="24"/>
        </w:rPr>
        <w:t>小时内派有关人员到达现场；在质保期之外，应在接到通知后</w:t>
      </w:r>
      <w:r>
        <w:rPr>
          <w:rFonts w:hint="eastAsia" w:ascii="宋体" w:hAnsi="宋体" w:eastAsia="宋体" w:cs="宋体"/>
          <w:color w:val="000000"/>
          <w:sz w:val="24"/>
          <w:szCs w:val="24"/>
          <w:u w:val="single"/>
          <w:shd w:val="pct10" w:color="auto" w:fill="FFFFFF"/>
        </w:rPr>
        <w:t>72</w:t>
      </w:r>
      <w:r>
        <w:rPr>
          <w:rFonts w:hint="eastAsia" w:ascii="宋体" w:hAnsi="宋体" w:eastAsia="宋体" w:cs="宋体"/>
          <w:color w:val="000000"/>
          <w:sz w:val="24"/>
          <w:szCs w:val="24"/>
        </w:rPr>
        <w:t>小时内派有关人员到达现场。</w:t>
      </w:r>
    </w:p>
    <w:p w14:paraId="78947019">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3.卖方派往买方使用现场的人员，应具有较高的业务素质；现场解决问题时，不得无故拖延或推迟，应为买方提供最佳的服务。</w:t>
      </w:r>
    </w:p>
    <w:p w14:paraId="4630F802">
      <w:pPr>
        <w:pStyle w:val="237"/>
        <w:spacing w:line="360" w:lineRule="auto"/>
        <w:rPr>
          <w:rFonts w:ascii="宋体" w:hAnsi="宋体" w:cs="宋体"/>
        </w:rPr>
      </w:pPr>
      <w:r>
        <w:rPr>
          <w:rFonts w:hint="eastAsia" w:ascii="宋体" w:hAnsi="宋体" w:cs="宋体"/>
        </w:rPr>
        <w:t>五、其它服务</w:t>
      </w:r>
    </w:p>
    <w:p w14:paraId="2CFB6C3B">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1.若卖方所提供货物有需要进口的，卖方一般应自行、自费办理；必要时，买卖双方共同办理。</w:t>
      </w:r>
    </w:p>
    <w:p w14:paraId="21603C4A">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2.除招标文件、投标文件、答疑</w:t>
      </w:r>
      <w:r>
        <w:rPr>
          <w:rFonts w:hint="eastAsia" w:ascii="宋体" w:hAnsi="宋体" w:eastAsia="宋体" w:cs="宋体"/>
          <w:color w:val="000000"/>
          <w:sz w:val="24"/>
          <w:szCs w:val="24"/>
          <w:highlight w:val="none"/>
        </w:rPr>
        <w:t>文</w:t>
      </w:r>
      <w:r>
        <w:rPr>
          <w:rFonts w:hint="eastAsia" w:ascii="宋体" w:hAnsi="宋体" w:eastAsia="宋体" w:cs="宋体"/>
          <w:color w:val="000000"/>
          <w:sz w:val="24"/>
          <w:szCs w:val="24"/>
        </w:rPr>
        <w:t>件、技术标书、合同等约定之外，卖方应免费负责必要的或强制性的货物的检验、试验、化验等直接费用。</w:t>
      </w:r>
    </w:p>
    <w:p w14:paraId="2C0C68A5">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3.本章节条款所列“免费”，并非指定不可收费，而是指招标文件、投标文件、答疑文件、技术交流文件、技术标书和合同等范围之外，投标人不可另行收取的费用。</w:t>
      </w:r>
    </w:p>
    <w:p w14:paraId="56761226">
      <w:pPr>
        <w:pStyle w:val="24"/>
        <w:rPr>
          <w:rFonts w:eastAsia="宋体"/>
        </w:rPr>
      </w:pPr>
      <w:r>
        <w:rPr>
          <w:rFonts w:eastAsia="宋体"/>
        </w:rPr>
        <w:br w:type="page"/>
      </w:r>
    </w:p>
    <w:p w14:paraId="2CD87FC9">
      <w:pPr>
        <w:keepNext/>
        <w:keepLines/>
        <w:spacing w:line="360" w:lineRule="auto"/>
        <w:jc w:val="center"/>
        <w:outlineLvl w:val="1"/>
        <w:rPr>
          <w:rFonts w:ascii="Calibri" w:hAnsi="Calibri" w:eastAsia="宋体" w:cs="Times New Roman"/>
          <w:b/>
          <w:bCs/>
          <w:kern w:val="44"/>
          <w:sz w:val="28"/>
          <w:szCs w:val="28"/>
        </w:rPr>
      </w:pPr>
      <w:bookmarkStart w:id="25" w:name="_Toc465187646"/>
      <w:r>
        <w:rPr>
          <w:rFonts w:hint="eastAsia" w:ascii="Calibri" w:hAnsi="Calibri" w:eastAsia="宋体" w:cs="Times New Roman"/>
          <w:b/>
          <w:bCs/>
          <w:kern w:val="44"/>
          <w:sz w:val="28"/>
          <w:szCs w:val="28"/>
        </w:rPr>
        <w:t>第五章  预验收和终验收</w:t>
      </w:r>
      <w:bookmarkEnd w:id="25"/>
    </w:p>
    <w:p w14:paraId="04EAA8A0">
      <w:pPr>
        <w:pStyle w:val="237"/>
        <w:spacing w:line="360" w:lineRule="auto"/>
        <w:rPr>
          <w:rFonts w:ascii="宋体" w:hAnsi="宋体" w:cs="宋体"/>
        </w:rPr>
      </w:pPr>
      <w:r>
        <w:rPr>
          <w:rFonts w:hint="eastAsia" w:ascii="宋体" w:hAnsi="宋体" w:cs="宋体"/>
        </w:rPr>
        <w:t>一、验收依据和验收标准</w:t>
      </w:r>
    </w:p>
    <w:p w14:paraId="7440191A">
      <w:pPr>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1.验收标准一般以技术标书和合同规定验收。无论技术标书和合同，是否全部并准确列明验收所涉及的相关标准，均作为验收标准之一。</w:t>
      </w:r>
    </w:p>
    <w:p w14:paraId="1B3D1909">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2.如果验收过程中，发现招标文件、投标文件、答疑文件、技术交流文件等与技术标书、合同存在差异，原则上以涉及条款中对买方最有利条款为验收依据。</w:t>
      </w:r>
    </w:p>
    <w:p w14:paraId="7BC66FE7">
      <w:pPr>
        <w:pStyle w:val="237"/>
        <w:spacing w:line="360" w:lineRule="auto"/>
        <w:rPr>
          <w:rFonts w:ascii="宋体" w:hAnsi="宋体" w:cs="宋体"/>
        </w:rPr>
      </w:pPr>
      <w:r>
        <w:rPr>
          <w:rFonts w:hint="eastAsia" w:ascii="宋体" w:hAnsi="宋体" w:cs="宋体"/>
        </w:rPr>
        <w:t>二、检验</w:t>
      </w:r>
    </w:p>
    <w:p w14:paraId="02E62AD5">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如果采购货物涉及必要的或必需的检验，投标人应当在投标文件中明确可能涉及的检验费用，并将该费用包含在投标总报价之内；不作针对性澄清或说明的，视同包含在投标总价之内。基本约定如下：</w:t>
      </w:r>
    </w:p>
    <w:p w14:paraId="2137C7D3">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1.国产货物的检验一般由买卖双方共同进行或按照合同要求进行。</w:t>
      </w:r>
    </w:p>
    <w:p w14:paraId="79D0B83E">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2.进口货物的检验，卖方需要按照下述要求进行：</w:t>
      </w:r>
    </w:p>
    <w:p w14:paraId="2A61BFDC">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2.1 进口货物发货前，应对货物的质量、型号、规格、性能和数量/重量作精密、全面的检验，并出具证明书，证明所供货物符合合同规定。</w:t>
      </w:r>
    </w:p>
    <w:p w14:paraId="7F3EE86E">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2.2 应依据合同规定的要求，提供买卖双方达成一致的货物的验收标准和装箱单，作为买方检验的依据。</w:t>
      </w:r>
    </w:p>
    <w:p w14:paraId="411B7B84">
      <w:pPr>
        <w:adjustRightInd w:val="0"/>
        <w:snapToGrid w:val="0"/>
        <w:spacing w:line="360" w:lineRule="auto"/>
        <w:ind w:firstLine="480" w:firstLineChars="200"/>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2.3 进口货物到达目的地后，买方有权申请中国商品检验检疫局进行检验，如发现货物的品质及规格与合同或发票不符，除买方的责任外，买方有权在货物到达卸货目的地后180个日历日内，根据中国商品检验检疫局出具的证明书向卖方提出索赔，因索赔所发生的一切费用(包括检验检疫费等)均由卖方承担。</w:t>
      </w:r>
      <w:r>
        <w:rPr>
          <w:rFonts w:hint="eastAsia" w:ascii="宋体" w:hAnsi="宋体" w:eastAsia="宋体" w:cs="宋体"/>
          <w:color w:val="000000"/>
          <w:sz w:val="24"/>
          <w:szCs w:val="24"/>
          <w:lang w:val="en-US" w:eastAsia="zh-CN"/>
        </w:rPr>
        <w:t xml:space="preserve"> </w:t>
      </w:r>
    </w:p>
    <w:p w14:paraId="031C949D">
      <w:pPr>
        <w:pStyle w:val="237"/>
        <w:spacing w:line="360" w:lineRule="auto"/>
        <w:rPr>
          <w:rFonts w:ascii="宋体" w:hAnsi="宋体" w:cs="宋体"/>
        </w:rPr>
      </w:pPr>
      <w:r>
        <w:rPr>
          <w:rFonts w:hint="eastAsia" w:ascii="宋体" w:hAnsi="宋体" w:cs="宋体"/>
        </w:rPr>
        <w:t>三、验收基本条件</w:t>
      </w:r>
    </w:p>
    <w:p w14:paraId="1C660061">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14:paraId="657DA6E6">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买卖双方按照合同约定执行了合同，同时货物完成了试运行并经检验合格，则具备验收条件。</w:t>
      </w:r>
    </w:p>
    <w:p w14:paraId="23A009DE">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1.预验收一般条件</w:t>
      </w:r>
    </w:p>
    <w:p w14:paraId="734A2515">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1.1 卖方已经按照“供货范围”要求提供了预验收资料，并且资料齐全、完整和有效。</w:t>
      </w:r>
    </w:p>
    <w:p w14:paraId="792A6AFB">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1.2 货物应完整且所有的零部件应该安装牢固，外观无损伤，所有的焊缝饱满、无残渣等缺陷。</w:t>
      </w:r>
    </w:p>
    <w:p w14:paraId="7BC78C59">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1.3 货物的油漆质量应饱满、有光泽，无掉漆、无色差、无“桔皮”等不良现象（特殊标志除外）。</w:t>
      </w:r>
    </w:p>
    <w:p w14:paraId="2F690E14">
      <w:pPr>
        <w:adjustRightInd w:val="0"/>
        <w:snapToGrid w:val="0"/>
        <w:spacing w:line="360" w:lineRule="auto"/>
        <w:ind w:firstLine="480" w:firstLineChars="200"/>
        <w:rPr>
          <w:rFonts w:ascii="宋体" w:hAnsi="宋体" w:eastAsia="宋体" w:cs="宋体"/>
          <w:color w:val="000000"/>
          <w:sz w:val="24"/>
          <w:szCs w:val="24"/>
        </w:rPr>
      </w:pPr>
      <w:r>
        <w:rPr>
          <w:rFonts w:hint="eastAsia" w:ascii="宋体" w:hAnsi="宋体" w:eastAsia="宋体" w:cs="宋体"/>
          <w:color w:val="000000"/>
          <w:sz w:val="24"/>
          <w:szCs w:val="24"/>
        </w:rPr>
        <w:t>1.4 货物标牌完整、清晰、明确。</w:t>
      </w:r>
    </w:p>
    <w:p w14:paraId="5D3F8C3A">
      <w:pPr>
        <w:adjustRightInd w:val="0"/>
        <w:snapToGrid w:val="0"/>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1.5 货物的安全要求符合中国最新的相关法律、法规、标准和规范以及合同要求。</w:t>
      </w:r>
    </w:p>
    <w:p w14:paraId="29C27478">
      <w:pPr>
        <w:adjustRightInd w:val="0"/>
        <w:snapToGrid w:val="0"/>
        <w:spacing w:line="360" w:lineRule="auto"/>
        <w:ind w:firstLine="480" w:firstLineChars="200"/>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1.6空载运行，设备运行稳定、可靠、安全，无非正常变形，非正常振动，无异常声音；无漏水、漏液、漏气（风）、漏电等现象。运动的零部件动作平稳、灵活运动准确。设备部件的润滑可靠，润滑点易于到达。</w:t>
      </w:r>
    </w:p>
    <w:p w14:paraId="74C1CF0E">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2.终验收一般条件</w:t>
      </w:r>
    </w:p>
    <w:p w14:paraId="13B9985F">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2.1 经过预验收而且没有出现新的质量问题，或者满足预验收条款。</w:t>
      </w:r>
    </w:p>
    <w:p w14:paraId="2EB5E0AD">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2.2 货物安装调试完毕，并至少经过了验收要求的负荷试运行。</w:t>
      </w:r>
    </w:p>
    <w:p w14:paraId="52176E26">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2.3 货物正常运行时，噪声等环境影响因素满足国家和当地环保主管部门规定，安全措施落实、有效。</w:t>
      </w:r>
    </w:p>
    <w:p w14:paraId="2AEF7D02">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2.4 计量仪器、仪表配套合理，采用中国的法定计量单位，计量准确、灵敏可靠。保证设计指标和仪器说明书的参数的实现（提供合格证或第三方鉴定文件）。</w:t>
      </w:r>
    </w:p>
    <w:p w14:paraId="309FA11C">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2.5 试运行期间或之后无维修、调整等行为（特殊情况除外）。</w:t>
      </w:r>
    </w:p>
    <w:p w14:paraId="1447D1F5">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2.6 货物质量、技术性能等，达到签定的技术标书和合同规定的终验收标准。</w:t>
      </w:r>
    </w:p>
    <w:p w14:paraId="099F7E2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3.终验</w:t>
      </w:r>
      <w:r>
        <w:rPr>
          <w:rFonts w:hint="eastAsia" w:ascii="宋体" w:hAnsi="宋体" w:eastAsia="宋体" w:cs="宋体"/>
          <w:sz w:val="24"/>
          <w:szCs w:val="24"/>
          <w:highlight w:val="none"/>
        </w:rPr>
        <w:t>收基本要求</w:t>
      </w:r>
    </w:p>
    <w:p w14:paraId="6BA05EDF">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3.1 出现下列问题之一，视作验收失败：</w:t>
      </w:r>
    </w:p>
    <w:p w14:paraId="3FF97B6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3.1.1 设备验收时，其参数无法满足招标书中的技术要求。</w:t>
      </w:r>
    </w:p>
    <w:p w14:paraId="546ECF71">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3.1.2 在整个验收过程中发生关键零部件损坏或重大故障；</w:t>
      </w:r>
    </w:p>
    <w:p w14:paraId="1A75C1BF">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3.1.3 一般性故障超过</w:t>
      </w:r>
      <w:r>
        <w:rPr>
          <w:rFonts w:hint="eastAsia" w:ascii="宋体" w:hAnsi="宋体" w:eastAsia="宋体" w:cs="宋体"/>
          <w:sz w:val="24"/>
          <w:szCs w:val="24"/>
          <w:u w:val="single"/>
          <w:shd w:val="pct10" w:color="auto" w:fill="FFFFFF"/>
        </w:rPr>
        <w:t>2</w:t>
      </w:r>
      <w:r>
        <w:rPr>
          <w:rFonts w:hint="eastAsia" w:ascii="宋体" w:hAnsi="宋体" w:eastAsia="宋体" w:cs="宋体"/>
          <w:sz w:val="24"/>
          <w:szCs w:val="24"/>
        </w:rPr>
        <w:t>次；</w:t>
      </w:r>
    </w:p>
    <w:p w14:paraId="456FA082">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3.1.4 更换的零部件货值超过总货值的</w:t>
      </w:r>
      <w:r>
        <w:rPr>
          <w:rFonts w:hint="eastAsia" w:ascii="宋体" w:hAnsi="宋体" w:eastAsia="宋体" w:cs="宋体"/>
          <w:sz w:val="24"/>
          <w:szCs w:val="24"/>
          <w:u w:val="single"/>
          <w:shd w:val="pct10" w:color="auto" w:fill="FFFFFF"/>
          <w:lang w:val="en-US" w:eastAsia="zh-CN"/>
        </w:rPr>
        <w:t>10</w:t>
      </w:r>
      <w:r>
        <w:rPr>
          <w:rFonts w:hint="eastAsia" w:ascii="宋体" w:hAnsi="宋体" w:eastAsia="宋体" w:cs="宋体"/>
          <w:sz w:val="24"/>
          <w:szCs w:val="24"/>
        </w:rPr>
        <w:t>%。</w:t>
      </w:r>
    </w:p>
    <w:p w14:paraId="1B5AEDFE">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3.2 累计负载运行实际性能（或生产率）达不到合同规定；</w:t>
      </w:r>
    </w:p>
    <w:p w14:paraId="62B725A4">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3.3 终验收原则上要求一次完成。若一次验收不成功，最多允许两次；如果出现第三次验收失败，重新作价或退货；</w:t>
      </w:r>
    </w:p>
    <w:p w14:paraId="297C9673">
      <w:pPr>
        <w:adjustRightInd w:val="0"/>
        <w:snapToGrid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3.4 终验收通过后买卖双方共同签署终验收报告，并移交、核对全部供货范围内物品。</w:t>
      </w:r>
    </w:p>
    <w:p w14:paraId="6338E2A3">
      <w:pPr>
        <w:adjustRightInd w:val="0"/>
        <w:snapToGrid w:val="0"/>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3.5所有出现的调整，每次调整时间均不超过20分钟，所有调整时间的总和不超过总运行时间的10%。</w:t>
      </w:r>
      <w:r>
        <w:rPr>
          <w:rFonts w:hint="eastAsia" w:ascii="宋体" w:hAnsi="宋体" w:cs="宋体"/>
          <w:sz w:val="24"/>
          <w:szCs w:val="24"/>
          <w:highlight w:val="none"/>
          <w:lang w:val="en-US" w:eastAsia="zh-CN"/>
        </w:rPr>
        <w:t>设备</w:t>
      </w:r>
      <w:r>
        <w:rPr>
          <w:rFonts w:hint="eastAsia" w:ascii="宋体" w:hAnsi="宋体" w:eastAsia="宋体" w:cs="宋体"/>
          <w:b w:val="0"/>
          <w:bCs w:val="0"/>
          <w:kern w:val="2"/>
          <w:sz w:val="24"/>
          <w:szCs w:val="24"/>
          <w:highlight w:val="none"/>
          <w:lang w:val="en-US" w:eastAsia="zh-CN" w:bidi="ar-SA"/>
        </w:rPr>
        <w:t>连续72h稳定试运行，调试检测后至少稳定运行7d</w:t>
      </w:r>
      <w:r>
        <w:rPr>
          <w:rFonts w:hint="eastAsia" w:ascii="宋体" w:hAnsi="宋体" w:cs="宋体"/>
          <w:b w:val="0"/>
          <w:bCs w:val="0"/>
          <w:kern w:val="2"/>
          <w:sz w:val="24"/>
          <w:szCs w:val="24"/>
          <w:lang w:val="en-US" w:eastAsia="zh-CN" w:bidi="ar-SA"/>
        </w:rPr>
        <w:t>。</w:t>
      </w:r>
    </w:p>
    <w:p w14:paraId="4C0E3310">
      <w:pPr>
        <w:adjustRightInd w:val="0"/>
        <w:snapToGrid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3.6双方约定：设备终验收时由于工艺原因造成设备不能连续运转，不在考核设备范畴。</w:t>
      </w:r>
    </w:p>
    <w:p w14:paraId="47EAE70A">
      <w:pPr>
        <w:pStyle w:val="3"/>
        <w:rPr>
          <w:rFonts w:hint="default"/>
          <w:lang w:val="en-US" w:eastAsia="zh-CN"/>
        </w:rPr>
      </w:pPr>
    </w:p>
    <w:p w14:paraId="09AB2B23">
      <w:pPr>
        <w:pStyle w:val="24"/>
        <w:spacing w:line="360" w:lineRule="auto"/>
      </w:pPr>
    </w:p>
    <w:p w14:paraId="1E76CC68">
      <w:pPr>
        <w:rPr>
          <w:rFonts w:hint="eastAsia" w:ascii="Calibri" w:hAnsi="Calibri" w:eastAsia="宋体" w:cs="Times New Roman"/>
          <w:b/>
          <w:bCs/>
          <w:kern w:val="44"/>
          <w:sz w:val="28"/>
          <w:szCs w:val="28"/>
        </w:rPr>
      </w:pPr>
      <w:bookmarkStart w:id="26" w:name="_Toc465187647"/>
      <w:r>
        <w:rPr>
          <w:rFonts w:hint="eastAsia" w:ascii="Calibri" w:hAnsi="Calibri" w:eastAsia="宋体" w:cs="Times New Roman"/>
          <w:b/>
          <w:bCs/>
          <w:kern w:val="44"/>
          <w:sz w:val="28"/>
          <w:szCs w:val="28"/>
        </w:rPr>
        <w:br w:type="page"/>
      </w:r>
    </w:p>
    <w:p w14:paraId="387C6204">
      <w:pPr>
        <w:keepNext/>
        <w:keepLines/>
        <w:spacing w:line="360" w:lineRule="auto"/>
        <w:jc w:val="center"/>
        <w:outlineLvl w:val="1"/>
        <w:rPr>
          <w:rFonts w:hint="eastAsia" w:ascii="Calibri" w:hAnsi="Calibri" w:eastAsia="宋体" w:cs="Times New Roman"/>
          <w:b/>
          <w:bCs/>
          <w:kern w:val="44"/>
          <w:sz w:val="28"/>
          <w:szCs w:val="28"/>
        </w:rPr>
      </w:pPr>
      <w:r>
        <w:rPr>
          <w:rFonts w:hint="eastAsia" w:ascii="Calibri" w:hAnsi="Calibri" w:eastAsia="宋体" w:cs="Times New Roman"/>
          <w:b/>
          <w:bCs/>
          <w:kern w:val="44"/>
          <w:sz w:val="28"/>
          <w:szCs w:val="28"/>
        </w:rPr>
        <w:t>第六章  投标技术文件一般要求</w:t>
      </w:r>
      <w:bookmarkEnd w:id="26"/>
    </w:p>
    <w:p w14:paraId="62F5C183">
      <w:pPr>
        <w:pStyle w:val="237"/>
        <w:spacing w:line="360" w:lineRule="auto"/>
        <w:rPr>
          <w:color w:val="auto"/>
        </w:rPr>
      </w:pPr>
      <w:r>
        <w:rPr>
          <w:color w:val="auto"/>
        </w:rPr>
        <w:t>一、技术文件一般内容要求</w:t>
      </w:r>
    </w:p>
    <w:p w14:paraId="0873E54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1.投标人应认真阅读招标文件和本技术标书，并按要求编写投标技术文件。</w:t>
      </w:r>
    </w:p>
    <w:p w14:paraId="53F65C5C">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2.投标技术文件至少应对投标货物的功能用途、技术性能、质量标准、技术参数等作出详细说明。</w:t>
      </w:r>
    </w:p>
    <w:p w14:paraId="7D4345B0">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3.投标技术文件至少应根据投标货物的关键设备、总成、零部件或系统作出满足或优于招标文件要求的详细说明。</w:t>
      </w:r>
    </w:p>
    <w:p w14:paraId="30FD86B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4.投标技术文件至少应按照招标文件要求（或投标人建议）列明备品备件、易损件和专用耗材明细。</w:t>
      </w:r>
    </w:p>
    <w:p w14:paraId="25836AE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5.投标人应当而且必须分别说明所列备品备件、易损件和专用耗材的使用寿命（以有效工作小时数说明）。</w:t>
      </w:r>
    </w:p>
    <w:p w14:paraId="4B2B704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6.投标的货物，应当根据其配置和备品备件、易损件、专用耗材情况，尽可能详细且分类填入下表：</w:t>
      </w:r>
    </w:p>
    <w:p w14:paraId="5F942DF3">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6.1备品备件、易损件和专用耗材明细表：</w:t>
      </w:r>
    </w:p>
    <w:p w14:paraId="04EA4ACE">
      <w:pPr>
        <w:adjustRightInd w:val="0"/>
        <w:snapToGrid w:val="0"/>
        <w:spacing w:line="420" w:lineRule="exact"/>
        <w:ind w:firstLine="1890" w:firstLineChars="900"/>
        <w:rPr>
          <w:rFonts w:ascii="宋体" w:hAnsi="宋体" w:eastAsia="宋体" w:cs="宋体"/>
        </w:rPr>
      </w:pPr>
      <w:r>
        <w:rPr>
          <w:rFonts w:hint="eastAsia" w:ascii="宋体" w:hAnsi="宋体" w:eastAsia="宋体" w:cs="宋体"/>
        </w:rPr>
        <w:t>备品备件、易损件和专用耗材明细表             单位：元</w:t>
      </w:r>
    </w:p>
    <w:tbl>
      <w:tblPr>
        <w:tblStyle w:val="48"/>
        <w:tblW w:w="9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1440"/>
        <w:gridCol w:w="2190"/>
        <w:gridCol w:w="690"/>
        <w:gridCol w:w="645"/>
        <w:gridCol w:w="780"/>
        <w:gridCol w:w="825"/>
        <w:gridCol w:w="1856"/>
      </w:tblGrid>
      <w:tr w14:paraId="36292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020FF489">
            <w:pPr>
              <w:adjustRightInd w:val="0"/>
              <w:snapToGrid w:val="0"/>
              <w:spacing w:line="360" w:lineRule="exact"/>
              <w:jc w:val="center"/>
              <w:rPr>
                <w:rFonts w:ascii="宋体" w:hAnsi="宋体" w:eastAsia="宋体" w:cs="宋体"/>
              </w:rPr>
            </w:pPr>
            <w:r>
              <w:rPr>
                <w:rFonts w:hint="eastAsia" w:ascii="宋体" w:hAnsi="宋体" w:eastAsia="宋体" w:cs="宋体"/>
              </w:rPr>
              <w:t>序号</w:t>
            </w:r>
          </w:p>
        </w:tc>
        <w:tc>
          <w:tcPr>
            <w:tcW w:w="1440" w:type="dxa"/>
          </w:tcPr>
          <w:p w14:paraId="64979510">
            <w:pPr>
              <w:adjustRightInd w:val="0"/>
              <w:snapToGrid w:val="0"/>
              <w:spacing w:line="360" w:lineRule="exact"/>
              <w:jc w:val="center"/>
              <w:rPr>
                <w:rFonts w:ascii="宋体" w:hAnsi="宋体" w:eastAsia="宋体" w:cs="宋体"/>
              </w:rPr>
            </w:pPr>
            <w:r>
              <w:rPr>
                <w:rFonts w:hint="eastAsia" w:ascii="宋体" w:hAnsi="宋体" w:eastAsia="宋体" w:cs="宋体"/>
              </w:rPr>
              <w:t>名称</w:t>
            </w:r>
          </w:p>
        </w:tc>
        <w:tc>
          <w:tcPr>
            <w:tcW w:w="2190" w:type="dxa"/>
          </w:tcPr>
          <w:p w14:paraId="267B606F">
            <w:pPr>
              <w:adjustRightInd w:val="0"/>
              <w:snapToGrid w:val="0"/>
              <w:spacing w:line="360" w:lineRule="exact"/>
              <w:jc w:val="center"/>
              <w:rPr>
                <w:rFonts w:ascii="宋体" w:hAnsi="宋体" w:eastAsia="宋体" w:cs="宋体"/>
              </w:rPr>
            </w:pPr>
            <w:r>
              <w:rPr>
                <w:rFonts w:hint="eastAsia" w:ascii="宋体" w:hAnsi="宋体" w:eastAsia="宋体" w:cs="宋体"/>
              </w:rPr>
              <w:t>型号规格</w:t>
            </w:r>
          </w:p>
        </w:tc>
        <w:tc>
          <w:tcPr>
            <w:tcW w:w="690" w:type="dxa"/>
          </w:tcPr>
          <w:p w14:paraId="4F057041">
            <w:pPr>
              <w:adjustRightInd w:val="0"/>
              <w:snapToGrid w:val="0"/>
              <w:spacing w:line="360" w:lineRule="exact"/>
              <w:jc w:val="center"/>
              <w:rPr>
                <w:rFonts w:ascii="宋体" w:hAnsi="宋体" w:eastAsia="宋体" w:cs="宋体"/>
              </w:rPr>
            </w:pPr>
            <w:r>
              <w:rPr>
                <w:rFonts w:hint="eastAsia" w:ascii="宋体" w:hAnsi="宋体" w:eastAsia="宋体" w:cs="宋体"/>
              </w:rPr>
              <w:t>单位</w:t>
            </w:r>
          </w:p>
        </w:tc>
        <w:tc>
          <w:tcPr>
            <w:tcW w:w="645" w:type="dxa"/>
          </w:tcPr>
          <w:p w14:paraId="4DF866D3">
            <w:pPr>
              <w:adjustRightInd w:val="0"/>
              <w:snapToGrid w:val="0"/>
              <w:spacing w:line="360" w:lineRule="exact"/>
              <w:jc w:val="center"/>
              <w:rPr>
                <w:rFonts w:ascii="宋体" w:hAnsi="宋体" w:eastAsia="宋体" w:cs="宋体"/>
              </w:rPr>
            </w:pPr>
            <w:r>
              <w:rPr>
                <w:rFonts w:hint="eastAsia" w:ascii="宋体" w:hAnsi="宋体" w:eastAsia="宋体" w:cs="宋体"/>
              </w:rPr>
              <w:t>数量</w:t>
            </w:r>
          </w:p>
        </w:tc>
        <w:tc>
          <w:tcPr>
            <w:tcW w:w="780" w:type="dxa"/>
          </w:tcPr>
          <w:p w14:paraId="3B72DF1B">
            <w:pPr>
              <w:adjustRightInd w:val="0"/>
              <w:snapToGrid w:val="0"/>
              <w:spacing w:line="360" w:lineRule="exact"/>
              <w:jc w:val="center"/>
              <w:rPr>
                <w:rFonts w:ascii="宋体" w:hAnsi="宋体" w:eastAsia="宋体" w:cs="宋体"/>
              </w:rPr>
            </w:pPr>
            <w:r>
              <w:rPr>
                <w:rFonts w:hint="eastAsia" w:ascii="宋体" w:hAnsi="宋体" w:eastAsia="宋体" w:cs="宋体"/>
              </w:rPr>
              <w:t>单价</w:t>
            </w:r>
          </w:p>
        </w:tc>
        <w:tc>
          <w:tcPr>
            <w:tcW w:w="825" w:type="dxa"/>
          </w:tcPr>
          <w:p w14:paraId="4BEF7AF7">
            <w:pPr>
              <w:adjustRightInd w:val="0"/>
              <w:snapToGrid w:val="0"/>
              <w:spacing w:line="360" w:lineRule="exact"/>
              <w:jc w:val="center"/>
              <w:rPr>
                <w:rFonts w:ascii="宋体" w:hAnsi="宋体" w:eastAsia="宋体" w:cs="宋体"/>
              </w:rPr>
            </w:pPr>
            <w:r>
              <w:rPr>
                <w:rFonts w:hint="eastAsia" w:ascii="宋体" w:hAnsi="宋体" w:eastAsia="宋体" w:cs="宋体"/>
              </w:rPr>
              <w:t>总价</w:t>
            </w:r>
          </w:p>
        </w:tc>
        <w:tc>
          <w:tcPr>
            <w:tcW w:w="1856" w:type="dxa"/>
          </w:tcPr>
          <w:p w14:paraId="271E2373">
            <w:pPr>
              <w:adjustRightInd w:val="0"/>
              <w:snapToGrid w:val="0"/>
              <w:spacing w:line="360" w:lineRule="exact"/>
              <w:jc w:val="center"/>
              <w:rPr>
                <w:rFonts w:ascii="宋体" w:hAnsi="宋体" w:eastAsia="宋体" w:cs="宋体"/>
              </w:rPr>
            </w:pPr>
            <w:r>
              <w:rPr>
                <w:rFonts w:hint="eastAsia" w:ascii="宋体" w:hAnsi="宋体" w:eastAsia="宋体" w:cs="宋体"/>
              </w:rPr>
              <w:t>制造商</w:t>
            </w:r>
          </w:p>
        </w:tc>
      </w:tr>
      <w:tr w14:paraId="281AF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55D3B530">
            <w:pPr>
              <w:adjustRightInd w:val="0"/>
              <w:snapToGrid w:val="0"/>
              <w:spacing w:line="360" w:lineRule="exact"/>
              <w:jc w:val="center"/>
              <w:rPr>
                <w:rFonts w:hint="eastAsia" w:ascii="宋体" w:hAnsi="宋体" w:eastAsia="宋体" w:cs="宋体"/>
                <w:lang w:val="en-US" w:eastAsia="zh-CN"/>
              </w:rPr>
            </w:pPr>
            <w:r>
              <w:rPr>
                <w:rFonts w:hint="eastAsia" w:ascii="宋体" w:hAnsi="宋体" w:cs="宋体"/>
                <w:lang w:val="en-US" w:eastAsia="zh-CN"/>
              </w:rPr>
              <w:t>1</w:t>
            </w:r>
          </w:p>
        </w:tc>
        <w:tc>
          <w:tcPr>
            <w:tcW w:w="1440" w:type="dxa"/>
            <w:vAlign w:val="top"/>
          </w:tcPr>
          <w:p w14:paraId="340F4652">
            <w:pPr>
              <w:adjustRightInd w:val="0"/>
              <w:snapToGrid w:val="0"/>
              <w:spacing w:line="360" w:lineRule="exact"/>
              <w:rPr>
                <w:rFonts w:hint="default" w:ascii="宋体" w:hAnsi="宋体" w:eastAsia="宋体" w:cs="宋体"/>
                <w:lang w:val="en-US"/>
              </w:rPr>
            </w:pPr>
          </w:p>
        </w:tc>
        <w:tc>
          <w:tcPr>
            <w:tcW w:w="2190" w:type="dxa"/>
            <w:vAlign w:val="top"/>
          </w:tcPr>
          <w:p w14:paraId="5691CA4F">
            <w:pPr>
              <w:adjustRightInd w:val="0"/>
              <w:snapToGrid w:val="0"/>
              <w:spacing w:line="360" w:lineRule="exact"/>
              <w:rPr>
                <w:rFonts w:hint="default" w:ascii="宋体" w:hAnsi="宋体" w:eastAsia="宋体" w:cs="宋体"/>
                <w:lang w:val="en-US" w:eastAsia="zh-CN"/>
              </w:rPr>
            </w:pPr>
          </w:p>
        </w:tc>
        <w:tc>
          <w:tcPr>
            <w:tcW w:w="690" w:type="dxa"/>
          </w:tcPr>
          <w:p w14:paraId="7EC21104">
            <w:pPr>
              <w:adjustRightInd w:val="0"/>
              <w:snapToGrid w:val="0"/>
              <w:spacing w:line="360" w:lineRule="exact"/>
              <w:jc w:val="center"/>
              <w:rPr>
                <w:rFonts w:hint="eastAsia" w:ascii="宋体" w:hAnsi="宋体" w:eastAsia="宋体" w:cs="宋体"/>
                <w:lang w:val="en-US" w:eastAsia="zh-CN"/>
              </w:rPr>
            </w:pPr>
          </w:p>
        </w:tc>
        <w:tc>
          <w:tcPr>
            <w:tcW w:w="645" w:type="dxa"/>
          </w:tcPr>
          <w:p w14:paraId="2C994294">
            <w:pPr>
              <w:adjustRightInd w:val="0"/>
              <w:snapToGrid w:val="0"/>
              <w:spacing w:line="360" w:lineRule="exact"/>
              <w:jc w:val="center"/>
              <w:rPr>
                <w:rFonts w:hint="default" w:ascii="宋体" w:hAnsi="宋体" w:eastAsia="宋体" w:cs="宋体"/>
                <w:lang w:val="en-US" w:eastAsia="zh-CN"/>
              </w:rPr>
            </w:pPr>
          </w:p>
        </w:tc>
        <w:tc>
          <w:tcPr>
            <w:tcW w:w="780" w:type="dxa"/>
          </w:tcPr>
          <w:p w14:paraId="03A76B06">
            <w:pPr>
              <w:adjustRightInd w:val="0"/>
              <w:snapToGrid w:val="0"/>
              <w:spacing w:line="360" w:lineRule="exact"/>
              <w:jc w:val="center"/>
              <w:rPr>
                <w:rFonts w:hint="eastAsia" w:ascii="宋体" w:hAnsi="宋体" w:eastAsia="宋体" w:cs="宋体"/>
                <w:lang w:val="en-US" w:eastAsia="zh-CN"/>
              </w:rPr>
            </w:pPr>
            <w:r>
              <w:rPr>
                <w:rFonts w:hint="eastAsia" w:ascii="宋体" w:hAnsi="宋体" w:cs="宋体"/>
                <w:lang w:val="en-US" w:eastAsia="zh-CN"/>
              </w:rPr>
              <w:t xml:space="preserve"> </w:t>
            </w:r>
          </w:p>
        </w:tc>
        <w:tc>
          <w:tcPr>
            <w:tcW w:w="825" w:type="dxa"/>
          </w:tcPr>
          <w:p w14:paraId="6E5DE2EE">
            <w:pPr>
              <w:adjustRightInd w:val="0"/>
              <w:snapToGrid w:val="0"/>
              <w:spacing w:line="360" w:lineRule="exact"/>
              <w:jc w:val="center"/>
              <w:rPr>
                <w:rFonts w:hint="eastAsia" w:ascii="宋体" w:hAnsi="宋体" w:eastAsia="宋体" w:cs="宋体"/>
                <w:lang w:val="en-US" w:eastAsia="zh-CN"/>
              </w:rPr>
            </w:pPr>
            <w:r>
              <w:rPr>
                <w:rFonts w:hint="eastAsia" w:ascii="宋体" w:hAnsi="宋体" w:cs="宋体"/>
                <w:lang w:val="en-US" w:eastAsia="zh-CN"/>
              </w:rPr>
              <w:t xml:space="preserve"> </w:t>
            </w:r>
          </w:p>
        </w:tc>
        <w:tc>
          <w:tcPr>
            <w:tcW w:w="1856" w:type="dxa"/>
          </w:tcPr>
          <w:p w14:paraId="60F364DF">
            <w:pPr>
              <w:adjustRightInd w:val="0"/>
              <w:snapToGrid w:val="0"/>
              <w:spacing w:line="360" w:lineRule="exact"/>
              <w:rPr>
                <w:rFonts w:ascii="宋体" w:hAnsi="宋体" w:eastAsia="宋体" w:cs="宋体"/>
              </w:rPr>
            </w:pPr>
            <w:r>
              <w:rPr>
                <w:rFonts w:hint="eastAsia" w:ascii="宋体" w:hAnsi="宋体" w:cs="宋体"/>
                <w:lang w:val="en-US" w:eastAsia="zh-CN"/>
              </w:rPr>
              <w:t xml:space="preserve"> </w:t>
            </w:r>
          </w:p>
        </w:tc>
      </w:tr>
      <w:tr w14:paraId="5BC49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5" w:type="dxa"/>
          </w:tcPr>
          <w:p w14:paraId="11B961DA">
            <w:pPr>
              <w:adjustRightInd w:val="0"/>
              <w:snapToGrid w:val="0"/>
              <w:spacing w:line="360" w:lineRule="exact"/>
              <w:jc w:val="center"/>
              <w:rPr>
                <w:rFonts w:hint="eastAsia" w:ascii="宋体" w:hAnsi="宋体" w:eastAsia="宋体" w:cs="宋体"/>
                <w:lang w:val="en-US" w:eastAsia="zh-CN"/>
              </w:rPr>
            </w:pPr>
            <w:r>
              <w:rPr>
                <w:rFonts w:hint="eastAsia" w:ascii="宋体" w:hAnsi="宋体" w:cs="宋体"/>
                <w:lang w:val="en-US" w:eastAsia="zh-CN"/>
              </w:rPr>
              <w:t>2</w:t>
            </w:r>
          </w:p>
        </w:tc>
        <w:tc>
          <w:tcPr>
            <w:tcW w:w="1440" w:type="dxa"/>
            <w:vAlign w:val="top"/>
          </w:tcPr>
          <w:p w14:paraId="21945172">
            <w:pPr>
              <w:adjustRightInd w:val="0"/>
              <w:snapToGrid w:val="0"/>
              <w:spacing w:line="360" w:lineRule="exact"/>
              <w:rPr>
                <w:rFonts w:hint="default" w:ascii="宋体" w:hAnsi="宋体" w:eastAsia="宋体" w:cs="宋体"/>
                <w:lang w:val="en-US"/>
              </w:rPr>
            </w:pPr>
          </w:p>
        </w:tc>
        <w:tc>
          <w:tcPr>
            <w:tcW w:w="2190" w:type="dxa"/>
            <w:vAlign w:val="top"/>
          </w:tcPr>
          <w:p w14:paraId="56AEC423">
            <w:pPr>
              <w:adjustRightInd w:val="0"/>
              <w:snapToGrid w:val="0"/>
              <w:spacing w:line="360" w:lineRule="exact"/>
              <w:rPr>
                <w:rFonts w:hint="default" w:ascii="宋体" w:hAnsi="宋体" w:eastAsia="宋体" w:cs="宋体"/>
                <w:lang w:val="en-US"/>
              </w:rPr>
            </w:pPr>
          </w:p>
        </w:tc>
        <w:tc>
          <w:tcPr>
            <w:tcW w:w="690" w:type="dxa"/>
          </w:tcPr>
          <w:p w14:paraId="1C8F1ADF">
            <w:pPr>
              <w:adjustRightInd w:val="0"/>
              <w:snapToGrid w:val="0"/>
              <w:spacing w:line="360" w:lineRule="exact"/>
              <w:jc w:val="center"/>
              <w:rPr>
                <w:rFonts w:hint="eastAsia" w:ascii="宋体" w:hAnsi="宋体" w:eastAsia="宋体" w:cs="宋体"/>
                <w:lang w:val="en-US" w:eastAsia="zh-CN"/>
              </w:rPr>
            </w:pPr>
          </w:p>
        </w:tc>
        <w:tc>
          <w:tcPr>
            <w:tcW w:w="645" w:type="dxa"/>
          </w:tcPr>
          <w:p w14:paraId="4A97064A">
            <w:pPr>
              <w:adjustRightInd w:val="0"/>
              <w:snapToGrid w:val="0"/>
              <w:spacing w:line="360" w:lineRule="exact"/>
              <w:jc w:val="center"/>
              <w:rPr>
                <w:rFonts w:hint="default" w:ascii="宋体" w:hAnsi="宋体" w:eastAsia="宋体" w:cs="宋体"/>
                <w:lang w:val="en-US" w:eastAsia="zh-CN"/>
              </w:rPr>
            </w:pPr>
          </w:p>
        </w:tc>
        <w:tc>
          <w:tcPr>
            <w:tcW w:w="780" w:type="dxa"/>
          </w:tcPr>
          <w:p w14:paraId="40662326">
            <w:pPr>
              <w:adjustRightInd w:val="0"/>
              <w:snapToGrid w:val="0"/>
              <w:spacing w:line="360" w:lineRule="exact"/>
              <w:jc w:val="center"/>
              <w:rPr>
                <w:rFonts w:hint="eastAsia" w:ascii="宋体" w:hAnsi="宋体" w:eastAsia="宋体" w:cs="宋体"/>
                <w:lang w:val="en-US" w:eastAsia="zh-CN"/>
              </w:rPr>
            </w:pPr>
            <w:r>
              <w:rPr>
                <w:rFonts w:hint="eastAsia" w:ascii="宋体" w:hAnsi="宋体" w:cs="宋体"/>
                <w:lang w:val="en-US" w:eastAsia="zh-CN"/>
              </w:rPr>
              <w:t xml:space="preserve"> </w:t>
            </w:r>
          </w:p>
        </w:tc>
        <w:tc>
          <w:tcPr>
            <w:tcW w:w="825" w:type="dxa"/>
          </w:tcPr>
          <w:p w14:paraId="09AECB1C">
            <w:pPr>
              <w:adjustRightInd w:val="0"/>
              <w:snapToGrid w:val="0"/>
              <w:spacing w:line="360" w:lineRule="exact"/>
              <w:jc w:val="center"/>
              <w:rPr>
                <w:rFonts w:hint="eastAsia" w:ascii="宋体" w:hAnsi="宋体" w:eastAsia="宋体" w:cs="宋体"/>
                <w:lang w:val="en-US" w:eastAsia="zh-CN"/>
              </w:rPr>
            </w:pPr>
            <w:r>
              <w:rPr>
                <w:rFonts w:hint="eastAsia" w:ascii="宋体" w:hAnsi="宋体" w:cs="宋体"/>
                <w:lang w:val="en-US" w:eastAsia="zh-CN"/>
              </w:rPr>
              <w:t xml:space="preserve"> </w:t>
            </w:r>
          </w:p>
        </w:tc>
        <w:tc>
          <w:tcPr>
            <w:tcW w:w="1856" w:type="dxa"/>
          </w:tcPr>
          <w:p w14:paraId="5AE9C6FC">
            <w:pPr>
              <w:adjustRightInd w:val="0"/>
              <w:snapToGrid w:val="0"/>
              <w:spacing w:line="360" w:lineRule="exact"/>
              <w:rPr>
                <w:rFonts w:ascii="宋体" w:hAnsi="宋体" w:eastAsia="宋体" w:cs="宋体"/>
              </w:rPr>
            </w:pPr>
            <w:r>
              <w:rPr>
                <w:rFonts w:hint="eastAsia" w:ascii="宋体" w:hAnsi="宋体" w:cs="宋体"/>
                <w:lang w:val="en-US" w:eastAsia="zh-CN"/>
              </w:rPr>
              <w:t xml:space="preserve"> </w:t>
            </w:r>
          </w:p>
        </w:tc>
      </w:tr>
    </w:tbl>
    <w:p w14:paraId="7F5FA84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6.2“开标一览表”和“明细表”仅作为投标人编制投标技术文件的一般格式。其中序号编写应当便于招标人了解分类或分项货物之间的所属关系，如1、1.1、1.2；</w:t>
      </w:r>
    </w:p>
    <w:p w14:paraId="3A0701F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6.3应当尽可能将货物的配置列全、列细，这将有助于投标人胜出；</w:t>
      </w:r>
    </w:p>
    <w:p w14:paraId="5FCD6B5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6.4单价与总价之间、总价与分类小计价之间、分类小计价与合计价之间数据应当齐全而且准确；</w:t>
      </w:r>
    </w:p>
    <w:p w14:paraId="11E3DAD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6.5  本条款表格中的制造商，应当为全称或公认的简称。</w:t>
      </w:r>
    </w:p>
    <w:p w14:paraId="76E0DB05">
      <w:pPr>
        <w:pStyle w:val="237"/>
        <w:spacing w:line="360" w:lineRule="auto"/>
        <w:rPr>
          <w:rFonts w:ascii="宋体" w:hAnsi="宋体" w:cs="宋体"/>
          <w:color w:val="auto"/>
        </w:rPr>
      </w:pPr>
      <w:r>
        <w:rPr>
          <w:rFonts w:hint="eastAsia" w:ascii="宋体" w:hAnsi="宋体" w:cs="宋体"/>
          <w:color w:val="auto"/>
        </w:rPr>
        <w:t>二、技术文件中货物报价格式要求</w:t>
      </w:r>
    </w:p>
    <w:p w14:paraId="4E31066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投标技术文件中，如未按照要求编写、或者存在漏项和缺项，将有可能造成对投标人不必要的误解；必要时，漏项和缺项涉及的费用，将有可能以其它投标人中，相同或相似项目的最高价，计入投标人的投标总报价之内，作为评标的依据之一。</w:t>
      </w:r>
    </w:p>
    <w:p w14:paraId="5A3ABAD5">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2.如果投标总报价与其它价格出现错误或不一致，将有可能导致废标。</w:t>
      </w:r>
    </w:p>
    <w:p w14:paraId="748828D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3.投标总报价为自合同签定生效至合同无异议执行完毕涉及的买方需要支付的全部费用。如投标人认为本招标及投标货物涉及特需或专门的设计，应当单独列明设计费。</w:t>
      </w:r>
    </w:p>
    <w:p w14:paraId="4808D4A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4.备品备件、易损件和专用耗材，招标人将可能与投标人按照投标价格另行签署供货合同。</w:t>
      </w:r>
    </w:p>
    <w:p w14:paraId="4CD8141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5.要求投标总报价、分项报价、明细报价之间应当具有相互间对应关系以及填报分项和明细报价，仅为便于评标而不妨碍投标人以最合适的形式签署合同。</w:t>
      </w:r>
    </w:p>
    <w:p w14:paraId="2918A219">
      <w:pPr>
        <w:pStyle w:val="237"/>
        <w:spacing w:line="360" w:lineRule="auto"/>
        <w:rPr>
          <w:rFonts w:ascii="宋体" w:hAnsi="宋体" w:cs="宋体"/>
          <w:color w:val="auto"/>
        </w:rPr>
      </w:pPr>
      <w:r>
        <w:rPr>
          <w:rFonts w:hint="eastAsia" w:ascii="宋体" w:hAnsi="宋体" w:cs="宋体"/>
          <w:color w:val="auto"/>
        </w:rPr>
        <w:t>三、验收标准及内容要求</w:t>
      </w:r>
    </w:p>
    <w:p w14:paraId="7C775A5B">
      <w:pPr>
        <w:adjustRightInd w:val="0"/>
        <w:snapToGrid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除招标文件明确的验收标准或内容之外，投标人应当在投标文件中提供预验收（必要时）和终验收的标准以及规程；在合同签定之前，经投标人和招标人双方洽谈确认并签署，以作为验收标准执行。</w:t>
      </w:r>
    </w:p>
    <w:p w14:paraId="024CBD27">
      <w:pPr>
        <w:pStyle w:val="2"/>
        <w:spacing w:before="120" w:after="120" w:line="360" w:lineRule="auto"/>
        <w:rPr>
          <w:rFonts w:ascii="宋体" w:hAnsi="宋体" w:eastAsia="宋体" w:cs="宋体"/>
          <w:b w:val="0"/>
          <w:sz w:val="24"/>
          <w:szCs w:val="24"/>
        </w:rPr>
        <w:sectPr>
          <w:footerReference r:id="rId5" w:type="first"/>
          <w:headerReference r:id="rId3" w:type="default"/>
          <w:footerReference r:id="rId4" w:type="default"/>
          <w:pgSz w:w="11906" w:h="16838"/>
          <w:pgMar w:top="1588" w:right="1418" w:bottom="1134" w:left="1418" w:header="851" w:footer="992" w:gutter="0"/>
          <w:pgNumType w:fmt="numberInDash"/>
          <w:cols w:space="720" w:num="1"/>
          <w:titlePg/>
          <w:docGrid w:linePitch="312" w:charSpace="0"/>
        </w:sectPr>
      </w:pPr>
      <w:bookmarkStart w:id="27" w:name="_Toc465187648"/>
    </w:p>
    <w:p w14:paraId="3196A10D">
      <w:pPr>
        <w:pStyle w:val="238"/>
        <w:jc w:val="center"/>
        <w:outlineLvl w:val="1"/>
        <w:rPr>
          <w:rFonts w:hint="eastAsia" w:ascii="Calibri" w:hAnsi="Calibri" w:eastAsia="宋体" w:cs="Times New Roman"/>
          <w:b/>
          <w:bCs/>
          <w:color w:val="auto"/>
          <w:kern w:val="44"/>
          <w:sz w:val="28"/>
          <w:szCs w:val="28"/>
          <w:lang w:val="en-US" w:eastAsia="zh-CN" w:bidi="ar-SA"/>
        </w:rPr>
      </w:pPr>
      <w:r>
        <w:rPr>
          <w:rFonts w:hint="eastAsia" w:ascii="Calibri" w:hAnsi="Calibri" w:eastAsia="宋体" w:cs="Times New Roman"/>
          <w:b/>
          <w:bCs/>
          <w:color w:val="auto"/>
          <w:kern w:val="44"/>
          <w:sz w:val="28"/>
          <w:szCs w:val="28"/>
          <w:lang w:val="en-US" w:eastAsia="zh-CN" w:bidi="ar-SA"/>
        </w:rPr>
        <w:t>第七章  其它要求及说明</w:t>
      </w:r>
      <w:bookmarkEnd w:id="27"/>
    </w:p>
    <w:p w14:paraId="6F53BF26">
      <w:pPr>
        <w:pStyle w:val="237"/>
        <w:spacing w:line="360" w:lineRule="auto"/>
        <w:rPr>
          <w:rFonts w:ascii="宋体" w:hAnsi="宋体" w:cs="宋体"/>
          <w:color w:val="auto"/>
        </w:rPr>
      </w:pPr>
      <w:r>
        <w:rPr>
          <w:rFonts w:hint="eastAsia" w:ascii="宋体" w:hAnsi="宋体" w:cs="宋体"/>
          <w:color w:val="auto"/>
        </w:rPr>
        <w:t>一、要求</w:t>
      </w:r>
    </w:p>
    <w:p w14:paraId="4043C53B">
      <w:pPr>
        <w:pStyle w:val="27"/>
        <w:spacing w:after="0" w:line="360" w:lineRule="auto"/>
        <w:ind w:left="0" w:leftChars="0" w:firstLine="480" w:firstLineChars="200"/>
        <w:rPr>
          <w:rFonts w:ascii="宋体" w:hAnsi="宋体" w:eastAsia="宋体" w:cs="宋体"/>
          <w:sz w:val="24"/>
          <w:szCs w:val="24"/>
        </w:rPr>
      </w:pPr>
      <w:r>
        <w:rPr>
          <w:rFonts w:hint="eastAsia" w:ascii="宋体" w:hAnsi="宋体" w:eastAsia="宋体" w:cs="宋体"/>
          <w:sz w:val="24"/>
          <w:szCs w:val="24"/>
        </w:rPr>
        <w:t>为保证本技术标书所列采购货物的质量以及先进性、可靠性、经济性和实用性，要求投标人在投标文件中，至少应具备以下资格证明文件或资料：</w:t>
      </w:r>
    </w:p>
    <w:p w14:paraId="6DE66DD5">
      <w:pPr>
        <w:spacing w:line="360" w:lineRule="auto"/>
        <w:ind w:firstLine="477" w:firstLineChars="199"/>
        <w:rPr>
          <w:rFonts w:ascii="宋体" w:hAnsi="宋体" w:eastAsia="宋体" w:cs="宋体"/>
          <w:sz w:val="24"/>
          <w:szCs w:val="24"/>
        </w:rPr>
      </w:pPr>
      <w:r>
        <w:rPr>
          <w:rFonts w:hint="eastAsia" w:ascii="宋体" w:hAnsi="宋体" w:eastAsia="宋体" w:cs="宋体"/>
          <w:sz w:val="24"/>
          <w:szCs w:val="24"/>
        </w:rPr>
        <w:t>1.投标人应是独立法人或得到法人授权的机构。应当在投标文件中提供法人营业执照（复印件）、税务登记证以及组织机构代码证（国际供应商参考该要求提供有效证明文件），并保证其真实性和有效性。</w:t>
      </w:r>
    </w:p>
    <w:p w14:paraId="389ECD60">
      <w:pPr>
        <w:spacing w:line="360" w:lineRule="auto"/>
        <w:ind w:firstLine="477" w:firstLineChars="199"/>
        <w:rPr>
          <w:rFonts w:ascii="宋体" w:hAnsi="宋体" w:eastAsia="宋体" w:cs="宋体"/>
          <w:sz w:val="24"/>
          <w:szCs w:val="24"/>
        </w:rPr>
      </w:pPr>
      <w:r>
        <w:rPr>
          <w:rFonts w:hint="eastAsia" w:ascii="宋体" w:hAnsi="宋体" w:eastAsia="宋体" w:cs="宋体"/>
          <w:sz w:val="24"/>
          <w:szCs w:val="24"/>
        </w:rPr>
        <w:t>2.投标人应当是通过有关资格认证的法人。应当在投标文件中提供有效期内的资格认证证书，如：ISO9001、VDA6.1、QS9000等。</w:t>
      </w:r>
    </w:p>
    <w:p w14:paraId="4AB68390">
      <w:pPr>
        <w:spacing w:line="360" w:lineRule="auto"/>
        <w:ind w:firstLine="477" w:firstLineChars="199"/>
        <w:rPr>
          <w:rFonts w:ascii="宋体" w:hAnsi="宋体" w:eastAsia="宋体" w:cs="宋体"/>
          <w:sz w:val="24"/>
          <w:szCs w:val="24"/>
        </w:rPr>
      </w:pPr>
      <w:r>
        <w:rPr>
          <w:rFonts w:hint="eastAsia" w:ascii="宋体" w:hAnsi="宋体" w:eastAsia="宋体" w:cs="宋体"/>
          <w:sz w:val="24"/>
          <w:szCs w:val="24"/>
        </w:rPr>
        <w:t>3.国产设备应附有采购货物（或设备）涉及的由“中国质量认证中心”颁发的《中国国家强制性产品认证证书》（CCC证书）。</w:t>
      </w:r>
    </w:p>
    <w:p w14:paraId="71DBE2B4">
      <w:pPr>
        <w:spacing w:line="360" w:lineRule="auto"/>
        <w:ind w:firstLine="477" w:firstLineChars="199"/>
        <w:rPr>
          <w:rFonts w:ascii="宋体" w:hAnsi="宋体" w:eastAsia="宋体" w:cs="宋体"/>
          <w:sz w:val="24"/>
          <w:szCs w:val="24"/>
        </w:rPr>
      </w:pPr>
      <w:r>
        <w:rPr>
          <w:rFonts w:hint="eastAsia" w:ascii="宋体" w:hAnsi="宋体" w:eastAsia="宋体" w:cs="宋体"/>
          <w:sz w:val="24"/>
          <w:szCs w:val="24"/>
        </w:rPr>
        <w:t>4.应附有其它与投标人、采购货物有关的荣誉证书或资料。</w:t>
      </w:r>
    </w:p>
    <w:p w14:paraId="41C48363">
      <w:pPr>
        <w:spacing w:line="360" w:lineRule="auto"/>
        <w:ind w:firstLine="477" w:firstLineChars="199"/>
        <w:rPr>
          <w:rFonts w:ascii="宋体" w:hAnsi="宋体" w:eastAsia="宋体" w:cs="宋体"/>
          <w:sz w:val="24"/>
          <w:szCs w:val="24"/>
        </w:rPr>
      </w:pPr>
      <w:r>
        <w:rPr>
          <w:rFonts w:hint="eastAsia" w:ascii="宋体" w:hAnsi="宋体" w:eastAsia="宋体" w:cs="宋体"/>
          <w:sz w:val="24"/>
          <w:szCs w:val="24"/>
        </w:rPr>
        <w:t>5.必须附有投标货物涉及产品要求的、国家或行业管理规定要求的、或者投标人认为能够体现其投标货物合法性及先进性的最高级别的证明材料（投标货物不涉及的除外）：</w:t>
      </w:r>
    </w:p>
    <w:p w14:paraId="1DB66FD8">
      <w:pPr>
        <w:spacing w:line="360" w:lineRule="auto"/>
        <w:ind w:firstLine="477" w:firstLineChars="199"/>
        <w:rPr>
          <w:rFonts w:ascii="宋体" w:hAnsi="宋体" w:eastAsia="宋体" w:cs="宋体"/>
          <w:sz w:val="24"/>
          <w:szCs w:val="24"/>
        </w:rPr>
      </w:pPr>
      <w:r>
        <w:rPr>
          <w:rFonts w:hint="eastAsia" w:ascii="宋体" w:hAnsi="宋体" w:eastAsia="宋体" w:cs="宋体"/>
          <w:sz w:val="24"/>
          <w:szCs w:val="24"/>
        </w:rPr>
        <w:t>5.1国家相关机构颁发的有效期之内所必需的《生产许可证》；</w:t>
      </w:r>
    </w:p>
    <w:p w14:paraId="3080DEB8">
      <w:pPr>
        <w:spacing w:line="360" w:lineRule="auto"/>
        <w:ind w:firstLine="477" w:firstLineChars="199"/>
        <w:rPr>
          <w:rFonts w:ascii="宋体" w:hAnsi="宋体" w:eastAsia="宋体" w:cs="宋体"/>
          <w:sz w:val="24"/>
          <w:szCs w:val="24"/>
        </w:rPr>
      </w:pPr>
      <w:r>
        <w:rPr>
          <w:rFonts w:hint="eastAsia" w:ascii="宋体" w:hAnsi="宋体" w:eastAsia="宋体" w:cs="宋体"/>
          <w:sz w:val="24"/>
          <w:szCs w:val="24"/>
        </w:rPr>
        <w:t>5.2产品（或技术）鉴定报告/证书、专利证书或专利许可证书、新技术成果证书等；</w:t>
      </w:r>
    </w:p>
    <w:p w14:paraId="75FE3D56">
      <w:pPr>
        <w:spacing w:line="360" w:lineRule="auto"/>
        <w:ind w:firstLine="477" w:firstLineChars="199"/>
        <w:rPr>
          <w:rFonts w:ascii="宋体" w:hAnsi="宋体" w:eastAsia="宋体" w:cs="宋体"/>
          <w:sz w:val="24"/>
          <w:szCs w:val="24"/>
        </w:rPr>
      </w:pPr>
      <w:r>
        <w:rPr>
          <w:rFonts w:hint="eastAsia" w:ascii="宋体" w:hAnsi="宋体" w:eastAsia="宋体" w:cs="宋体"/>
          <w:sz w:val="24"/>
          <w:szCs w:val="24"/>
        </w:rPr>
        <w:t>5.3产品相关检验、试验报告，如：型式试验检验报告、安全试验检验报告、电弧效应试验报告、噪声检测报告等；</w:t>
      </w:r>
    </w:p>
    <w:p w14:paraId="480E65D2">
      <w:pPr>
        <w:spacing w:line="360" w:lineRule="auto"/>
        <w:ind w:firstLine="477" w:firstLineChars="199"/>
        <w:rPr>
          <w:rFonts w:ascii="宋体" w:hAnsi="宋体" w:eastAsia="宋体" w:cs="宋体"/>
          <w:sz w:val="24"/>
          <w:szCs w:val="24"/>
        </w:rPr>
      </w:pPr>
      <w:r>
        <w:rPr>
          <w:rFonts w:hint="eastAsia" w:ascii="宋体" w:hAnsi="宋体" w:eastAsia="宋体" w:cs="宋体"/>
          <w:sz w:val="24"/>
          <w:szCs w:val="24"/>
        </w:rPr>
        <w:t>5.4其它能够证明所供货物的质量水平、技术水平、安全性水平、节能性水平、环保性水平等相关的其它证明文件或资料、报告等；</w:t>
      </w:r>
    </w:p>
    <w:p w14:paraId="4EF1A106">
      <w:pPr>
        <w:spacing w:line="360" w:lineRule="auto"/>
        <w:ind w:firstLine="477" w:firstLineChars="199"/>
        <w:rPr>
          <w:rFonts w:ascii="宋体" w:hAnsi="宋体" w:eastAsia="宋体" w:cs="宋体"/>
          <w:sz w:val="24"/>
          <w:szCs w:val="24"/>
        </w:rPr>
      </w:pPr>
      <w:r>
        <w:rPr>
          <w:rFonts w:hint="eastAsia" w:ascii="宋体" w:hAnsi="宋体" w:eastAsia="宋体" w:cs="宋体"/>
          <w:sz w:val="24"/>
          <w:szCs w:val="24"/>
        </w:rPr>
        <w:t>5.5该类报告或证明材料对于投标人胜出乃至中标极为重要！</w:t>
      </w:r>
    </w:p>
    <w:p w14:paraId="691C1847">
      <w:pPr>
        <w:numPr>
          <w:ilvl w:val="255"/>
          <w:numId w:val="0"/>
        </w:numPr>
        <w:spacing w:line="360" w:lineRule="auto"/>
        <w:ind w:firstLine="482" w:firstLineChars="200"/>
        <w:rPr>
          <w:rFonts w:ascii="宋体" w:hAnsi="宋体" w:eastAsia="宋体" w:cs="宋体"/>
          <w:sz w:val="24"/>
          <w:szCs w:val="24"/>
        </w:rPr>
      </w:pPr>
      <w:r>
        <w:rPr>
          <w:rFonts w:hint="eastAsia" w:ascii="宋体" w:hAnsi="宋体" w:eastAsia="宋体" w:cs="宋体"/>
          <w:b/>
          <w:sz w:val="24"/>
          <w:szCs w:val="24"/>
        </w:rPr>
        <w:t>6.必须附有：</w:t>
      </w:r>
      <w:r>
        <w:rPr>
          <w:rFonts w:hint="eastAsia" w:ascii="宋体" w:hAnsi="宋体" w:eastAsia="宋体" w:cs="宋体"/>
          <w:sz w:val="24"/>
          <w:szCs w:val="24"/>
        </w:rPr>
        <w:t>与本采购货物相同或相似技术规格、型号的而且已经正常使用或通过验收的近三年以上的货物的市场销售业绩清单，清单中应具备：买方单位名称、销售货物的规格型号、数量、（交货）时间、联系人和联系电话（非移动通信号码）等条目内容；投标人应当保证其业绩的真实性，否则将影响投标或中标资格。</w:t>
      </w:r>
    </w:p>
    <w:p w14:paraId="3898EBFF">
      <w:pPr>
        <w:pStyle w:val="237"/>
        <w:spacing w:line="360" w:lineRule="auto"/>
      </w:pPr>
      <w:r>
        <w:rPr>
          <w:rFonts w:hint="eastAsia" w:ascii="宋体" w:hAnsi="宋体" w:cs="宋体"/>
          <w:color w:val="auto"/>
        </w:rPr>
        <w:t>二、其他</w:t>
      </w:r>
    </w:p>
    <w:p w14:paraId="33D155C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1.投标人可以根据自身的技术、经验等优势以及对招标文件和本技术标书的理解，写明对招标人所采购货物的优化方案或建议意见。投标人的这些努力，招标人表示感谢，并将有助于投标人优先胜出。</w:t>
      </w:r>
    </w:p>
    <w:p w14:paraId="7A0BFB7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2.即使有建议意见或建议方案，仍应依据招标文件和本技术标书要求，编写符合要求的投标文件。建议方案或建议意见，应以单独篇章或文件，予以说明和报价。</w:t>
      </w:r>
    </w:p>
    <w:p w14:paraId="1649DB1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3.请投标人仔细阅读“采购货物概况”章节内说明，针对允许分投分中的货物，招标人有权利选择其中优秀设备或服务，作为投标人合同供货范围中的指定选用设备或服务（替代投标人分投而未中标部分）。</w:t>
      </w:r>
    </w:p>
    <w:p w14:paraId="58321BF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4.招标文件、投标文件、答疑文件、技术交流文件、技术标书等，在采购过程全部为有效文件，如有差异，以对招标人最有利的条款为准。</w:t>
      </w:r>
    </w:p>
    <w:p w14:paraId="6745DF3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5.为避免歧义，本技术标书涉及招投标环节的条款，均将潜在的卖方称为投标人、将买方称为招标人；定标后合同签署环节以及后续的合同执行环节条款，招标人称为买方、投标人中的中标方称为卖方。</w:t>
      </w:r>
    </w:p>
    <w:p w14:paraId="10083CB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p>
    <w:p w14:paraId="1AFBE455">
      <w:pPr>
        <w:pStyle w:val="3"/>
        <w:rPr>
          <w:rFonts w:hint="eastAsia"/>
        </w:rPr>
      </w:pPr>
    </w:p>
    <w:p w14:paraId="6195A1F0"/>
    <w:p w14:paraId="1D9C7A3D">
      <w:pPr>
        <w:spacing w:line="360" w:lineRule="auto"/>
        <w:rPr>
          <w:rFonts w:ascii="宋体" w:hAnsi="宋体" w:eastAsia="宋体" w:cs="宋体"/>
          <w:sz w:val="24"/>
          <w:highlight w:val="none"/>
        </w:rPr>
      </w:pPr>
    </w:p>
    <w:p w14:paraId="2997BF5D"/>
    <w:p w14:paraId="1C1C00B3"/>
    <w:p w14:paraId="0171A0EB"/>
    <w:p w14:paraId="418BF563">
      <w:pPr>
        <w:pStyle w:val="235"/>
        <w:rPr>
          <w:b/>
          <w:bCs/>
        </w:rPr>
      </w:pPr>
    </w:p>
    <w:p w14:paraId="1DDC7B0D">
      <w:pPr>
        <w:rPr>
          <w:rFonts w:hint="eastAsia" w:ascii="仿宋" w:hAnsi="仿宋" w:eastAsia="仿宋"/>
          <w:b/>
          <w:bCs/>
          <w:sz w:val="28"/>
        </w:rPr>
      </w:pPr>
      <w:r>
        <w:rPr>
          <w:rFonts w:hint="eastAsia" w:ascii="仿宋" w:hAnsi="仿宋" w:eastAsia="仿宋"/>
          <w:b/>
          <w:bCs/>
          <w:sz w:val="28"/>
        </w:rPr>
        <w:br w:type="page"/>
      </w:r>
    </w:p>
    <w:p w14:paraId="6666FB12">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附件1</w:t>
      </w:r>
      <w:bookmarkStart w:id="28" w:name="_Toc25811"/>
      <w:bookmarkStart w:id="29" w:name="_Toc639004"/>
      <w:bookmarkStart w:id="30" w:name="_Toc212369550"/>
      <w:bookmarkStart w:id="31" w:name="_Toc353881012"/>
      <w:r>
        <w:rPr>
          <w:rFonts w:hint="default" w:ascii="Times New Roman" w:hAnsi="Times New Roman" w:eastAsia="宋体" w:cs="Times New Roman"/>
          <w:b/>
          <w:bCs/>
          <w:color w:val="000000"/>
          <w:sz w:val="24"/>
          <w:szCs w:val="24"/>
        </w:rPr>
        <w:t xml:space="preserve"> 投标函</w:t>
      </w:r>
      <w:bookmarkEnd w:id="28"/>
      <w:bookmarkEnd w:id="29"/>
      <w:bookmarkEnd w:id="30"/>
      <w:bookmarkEnd w:id="31"/>
    </w:p>
    <w:p w14:paraId="217708FD">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致：</w:t>
      </w:r>
      <w:r>
        <w:rPr>
          <w:rFonts w:hint="eastAsia" w:ascii="Times New Roman" w:hAnsi="Times New Roman" w:eastAsia="宋体" w:cs="Times New Roman"/>
          <w:color w:val="000000"/>
          <w:sz w:val="24"/>
          <w:szCs w:val="24"/>
          <w:lang w:eastAsia="zh-CN"/>
        </w:rPr>
        <w:t>中国重汽集团济南动力有限公司</w:t>
      </w:r>
      <w:r>
        <w:rPr>
          <w:rFonts w:hint="default" w:ascii="Times New Roman" w:hAnsi="Times New Roman" w:eastAsia="宋体" w:cs="Times New Roman"/>
          <w:color w:val="000000"/>
          <w:sz w:val="24"/>
          <w:szCs w:val="24"/>
        </w:rPr>
        <w:t>：</w:t>
      </w:r>
    </w:p>
    <w:p w14:paraId="76048B7F">
      <w:pPr>
        <w:pStyle w:val="19"/>
        <w:spacing w:after="156"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根据贵方</w:t>
      </w:r>
      <w:r>
        <w:rPr>
          <w:rFonts w:hint="eastAsia" w:ascii="Times New Roman" w:hAnsi="Times New Roman" w:eastAsia="宋体" w:cs="Times New Roman"/>
          <w:color w:val="000000"/>
          <w:sz w:val="24"/>
          <w:szCs w:val="24"/>
          <w:lang w:val="en-US" w:eastAsia="zh-CN"/>
        </w:rPr>
        <w:t xml:space="preserve">  </w:t>
      </w:r>
      <w:r>
        <w:rPr>
          <w:rFonts w:hint="default" w:ascii="Times New Roman" w:hAnsi="Times New Roman" w:eastAsia="宋体" w:cs="Times New Roman"/>
          <w:b/>
          <w:bCs/>
          <w:color w:val="000000"/>
          <w:sz w:val="24"/>
          <w:szCs w:val="24"/>
          <w:u w:val="single"/>
        </w:rPr>
        <w:t xml:space="preserve"> </w:t>
      </w:r>
      <w:r>
        <w:rPr>
          <w:rFonts w:hint="eastAsia" w:ascii="Times New Roman" w:hAnsi="Times New Roman" w:eastAsia="宋体" w:cs="Times New Roman"/>
          <w:b/>
          <w:bCs/>
          <w:color w:val="000000"/>
          <w:sz w:val="24"/>
          <w:szCs w:val="24"/>
          <w:u w:val="single"/>
          <w:lang w:val="en-US" w:eastAsia="zh-CN"/>
        </w:rPr>
        <w:t xml:space="preserve">                      </w:t>
      </w:r>
      <w:r>
        <w:rPr>
          <w:rFonts w:hint="default" w:ascii="Times New Roman" w:hAnsi="Times New Roman" w:eastAsia="宋体" w:cs="Times New Roman"/>
          <w:bCs/>
          <w:snapToGrid w:val="0"/>
          <w:color w:val="000000"/>
          <w:kern w:val="0"/>
          <w:sz w:val="24"/>
          <w:szCs w:val="24"/>
        </w:rPr>
        <w:t>招标公告</w:t>
      </w:r>
      <w:r>
        <w:rPr>
          <w:rFonts w:hint="default" w:ascii="Times New Roman" w:hAnsi="Times New Roman" w:eastAsia="宋体" w:cs="Times New Roman"/>
          <w:b/>
          <w:bCs/>
          <w:snapToGrid w:val="0"/>
          <w:color w:val="000000"/>
          <w:kern w:val="0"/>
          <w:sz w:val="24"/>
          <w:szCs w:val="24"/>
          <w:u w:val="single"/>
        </w:rPr>
        <w:t xml:space="preserve">              </w:t>
      </w:r>
      <w:r>
        <w:rPr>
          <w:rFonts w:hint="default" w:ascii="Times New Roman" w:hAnsi="Times New Roman" w:eastAsia="宋体" w:cs="Times New Roman"/>
          <w:color w:val="000000"/>
          <w:sz w:val="24"/>
          <w:szCs w:val="24"/>
        </w:rPr>
        <w:t>，</w:t>
      </w:r>
      <w:r>
        <w:rPr>
          <w:rFonts w:hint="default" w:ascii="Times New Roman" w:hAnsi="Times New Roman" w:eastAsia="宋体" w:cs="Times New Roman"/>
          <w:b/>
          <w:color w:val="000000"/>
          <w:sz w:val="24"/>
          <w:szCs w:val="24"/>
          <w:u w:val="single"/>
        </w:rPr>
        <w:t xml:space="preserve">            </w:t>
      </w:r>
      <w:r>
        <w:rPr>
          <w:rFonts w:hint="default" w:ascii="Times New Roman" w:hAnsi="Times New Roman" w:eastAsia="宋体" w:cs="Times New Roman"/>
          <w:color w:val="000000"/>
          <w:sz w:val="24"/>
          <w:szCs w:val="24"/>
        </w:rPr>
        <w:t>投标公司， 法人代表人为</w:t>
      </w: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，正式授权</w:t>
      </w: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 xml:space="preserve"> 提交纸质投标文件：资质证明文件、商务文件和技术文件</w:t>
      </w:r>
      <w:r>
        <w:rPr>
          <w:rFonts w:hint="eastAsia" w:ascii="Times New Roman" w:hAnsi="Times New Roman" w:eastAsia="宋体" w:cs="Times New Roman"/>
          <w:color w:val="000000"/>
          <w:sz w:val="24"/>
          <w:szCs w:val="24"/>
          <w:lang w:val="en-US" w:eastAsia="zh-CN"/>
        </w:rPr>
        <w:t>的</w:t>
      </w:r>
      <w:r>
        <w:rPr>
          <w:rFonts w:hint="default" w:ascii="Times New Roman" w:hAnsi="Times New Roman" w:eastAsia="宋体" w:cs="Times New Roman"/>
          <w:color w:val="000000"/>
          <w:sz w:val="24"/>
          <w:szCs w:val="24"/>
        </w:rPr>
        <w:t>电子版投标文件一份（</w:t>
      </w:r>
      <w:r>
        <w:rPr>
          <w:rFonts w:hint="default" w:ascii="Times New Roman" w:hAnsi="Times New Roman" w:eastAsia="宋体" w:cs="Times New Roman"/>
          <w:bCs/>
          <w:color w:val="000000"/>
          <w:sz w:val="24"/>
          <w:szCs w:val="24"/>
        </w:rPr>
        <w:t>电子版投标文件为纸质盖章版的扫描件或加盖电子章；不盖章无效。</w:t>
      </w:r>
      <w:r>
        <w:rPr>
          <w:rFonts w:hint="default" w:ascii="Times New Roman" w:hAnsi="Times New Roman" w:eastAsia="宋体" w:cs="Times New Roman"/>
          <w:color w:val="000000"/>
          <w:sz w:val="24"/>
          <w:szCs w:val="24"/>
        </w:rPr>
        <w:t>）。</w:t>
      </w:r>
    </w:p>
    <w:p w14:paraId="40D981A8">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据此函，签字代表宣布同意如下：</w:t>
      </w:r>
    </w:p>
    <w:p w14:paraId="75F5E312">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1.投标人已详细审查全部“招标文件”，包括修改文件（如有的话）以及全部参考资料和有关附件，已经了解我方对于招标文件、采购过程、采购结果有依法进行询问、质疑、投诉的权利及相关渠道和要求。</w:t>
      </w:r>
    </w:p>
    <w:p w14:paraId="0DF00843">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2.投标人在投标之前已经与贵方进行了充分的沟通，完全理解并接受招标文件的各项规定和要求，对招标文件的合理性、合法性不再有异议。</w:t>
      </w:r>
    </w:p>
    <w:p w14:paraId="181DB79A">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3.本投标有效期自开标日起</w:t>
      </w:r>
      <w:r>
        <w:rPr>
          <w:rFonts w:hint="default" w:ascii="Times New Roman" w:hAnsi="Times New Roman" w:eastAsia="宋体" w:cs="Times New Roman"/>
          <w:bCs/>
          <w:color w:val="000000"/>
          <w:sz w:val="24"/>
          <w:szCs w:val="24"/>
          <w:u w:val="single"/>
        </w:rPr>
        <w:t xml:space="preserve"> 90</w:t>
      </w:r>
      <w:r>
        <w:rPr>
          <w:rFonts w:hint="default" w:ascii="Times New Roman" w:hAnsi="Times New Roman" w:eastAsia="宋体" w:cs="Times New Roman"/>
          <w:color w:val="000000"/>
          <w:sz w:val="24"/>
          <w:szCs w:val="24"/>
        </w:rPr>
        <w:t>个日历日。</w:t>
      </w:r>
    </w:p>
    <w:p w14:paraId="7408657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4.如中标，本投标文件至本项目合同履行完毕止均保持有效，本投标人将按“招标文件”及政府采购法律、法规的规定履行合同责任和义务。</w:t>
      </w:r>
    </w:p>
    <w:p w14:paraId="326509F6">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5.投标人同意按照贵方要求提供与投标有关的一切数据或资料。</w:t>
      </w:r>
    </w:p>
    <w:p w14:paraId="06049BF7">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6.与本投标有关的一切正式往来信函请寄：</w:t>
      </w:r>
    </w:p>
    <w:p w14:paraId="1BF2C584">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地址：                             </w:t>
      </w:r>
    </w:p>
    <w:p w14:paraId="791F58D0">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邮编：        </w:t>
      </w:r>
    </w:p>
    <w:p w14:paraId="7F9ACF1A">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电话：        传真：                   </w:t>
      </w:r>
    </w:p>
    <w:p w14:paraId="7C4BD817">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投标人代表姓名：</w:t>
      </w: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 xml:space="preserve">职务：          </w:t>
      </w:r>
    </w:p>
    <w:p w14:paraId="549A486D">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开户银行：                   </w:t>
      </w:r>
    </w:p>
    <w:p w14:paraId="08AE3D4E">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银行帐号：                   </w:t>
      </w:r>
    </w:p>
    <w:p w14:paraId="34FDD6CB">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投标人名称（</w:t>
      </w:r>
      <w:r>
        <w:rPr>
          <w:rFonts w:hint="default" w:ascii="Times New Roman" w:hAnsi="Times New Roman" w:eastAsia="宋体" w:cs="Times New Roman"/>
          <w:bCs/>
          <w:color w:val="000000"/>
          <w:sz w:val="24"/>
          <w:szCs w:val="24"/>
        </w:rPr>
        <w:t>盖章）</w:t>
      </w:r>
      <w:r>
        <w:rPr>
          <w:rFonts w:hint="default" w:ascii="Times New Roman" w:hAnsi="Times New Roman" w:eastAsia="宋体" w:cs="Times New Roman"/>
          <w:color w:val="000000"/>
          <w:sz w:val="24"/>
          <w:szCs w:val="24"/>
        </w:rPr>
        <w:t xml:space="preserve">: </w:t>
      </w:r>
    </w:p>
    <w:p w14:paraId="6D673F20">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授权代表签字</w:t>
      </w:r>
      <w:r>
        <w:rPr>
          <w:rFonts w:hint="default" w:ascii="Times New Roman" w:hAnsi="Times New Roman" w:eastAsia="宋体" w:cs="Times New Roman"/>
          <w:bCs/>
          <w:color w:val="000000"/>
          <w:sz w:val="24"/>
          <w:szCs w:val="24"/>
        </w:rPr>
        <w:t>：</w:t>
      </w:r>
    </w:p>
    <w:p w14:paraId="563190FE">
      <w:pPr>
        <w:spacing w:line="360" w:lineRule="auto"/>
        <w:ind w:firstLine="480" w:firstLineChars="200"/>
        <w:rPr>
          <w:rFonts w:hint="default" w:ascii="Times New Roman" w:hAnsi="Times New Roman" w:eastAsia="黑体" w:cs="Times New Roman"/>
          <w:color w:val="000000"/>
          <w:sz w:val="24"/>
          <w:szCs w:val="24"/>
        </w:rPr>
      </w:pPr>
      <w:r>
        <w:rPr>
          <w:rFonts w:hint="default" w:ascii="Times New Roman" w:hAnsi="Times New Roman" w:eastAsia="宋体" w:cs="Times New Roman"/>
          <w:color w:val="000000"/>
          <w:sz w:val="24"/>
          <w:szCs w:val="24"/>
        </w:rPr>
        <w:t>日期：     年      月      日</w:t>
      </w:r>
      <w:r>
        <w:rPr>
          <w:rFonts w:hint="default" w:ascii="Times New Roman" w:hAnsi="Times New Roman" w:eastAsia="黑体" w:cs="Times New Roman"/>
          <w:color w:val="000000"/>
          <w:sz w:val="24"/>
          <w:szCs w:val="24"/>
        </w:rPr>
        <w:br w:type="page"/>
      </w:r>
    </w:p>
    <w:p w14:paraId="55C83132">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附件2 法定代表人授权委托书</w:t>
      </w:r>
    </w:p>
    <w:p w14:paraId="0D017F7C">
      <w:pPr>
        <w:adjustRightInd w:val="0"/>
        <w:snapToGrid w:val="0"/>
        <w:spacing w:before="93" w:beforeLines="30" w:line="240" w:lineRule="exact"/>
        <w:jc w:val="center"/>
        <w:rPr>
          <w:rFonts w:hint="default" w:ascii="Times New Roman" w:hAnsi="Times New Roman" w:eastAsia="宋体" w:cs="Times New Roman"/>
          <w:sz w:val="24"/>
          <w:szCs w:val="20"/>
        </w:rPr>
      </w:pPr>
    </w:p>
    <w:p w14:paraId="6DF2BD27">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本授权委托书声明：我＿＿＿＿＿＿＿（姓名）系＿＿＿＿＿＿＿＿＿＿＿＿＿＿＿＿＿＿＿＿＿＿＿＿＿＿＿＿（投标人全称）的法定代表人，就</w:t>
      </w:r>
      <w:r>
        <w:rPr>
          <w:rFonts w:hint="default" w:ascii="Times New Roman" w:hAnsi="Times New Roman" w:eastAsia="宋体" w:cs="Times New Roman"/>
          <w:b/>
          <w:bCs/>
          <w:color w:val="000000"/>
          <w:sz w:val="24"/>
          <w:szCs w:val="24"/>
          <w:u w:val="single"/>
        </w:rPr>
        <w:t xml:space="preserve"> </w:t>
      </w:r>
      <w:r>
        <w:rPr>
          <w:rFonts w:hint="eastAsia" w:cs="Times New Roman"/>
          <w:b/>
          <w:bCs/>
          <w:color w:val="000000"/>
          <w:sz w:val="24"/>
          <w:szCs w:val="24"/>
          <w:u w:val="single"/>
          <w:lang w:val="en-US" w:eastAsia="zh-CN"/>
        </w:rPr>
        <w:t>济南成型厂颗粒物在线监测设备更新技改项目</w:t>
      </w:r>
      <w:r>
        <w:rPr>
          <w:rFonts w:hint="default" w:ascii="Times New Roman" w:hAnsi="Times New Roman" w:eastAsia="宋体" w:cs="Times New Roman"/>
          <w:b/>
          <w:bCs/>
          <w:color w:val="000000"/>
          <w:sz w:val="24"/>
          <w:szCs w:val="24"/>
        </w:rPr>
        <w:t xml:space="preserve"> </w:t>
      </w:r>
      <w:r>
        <w:rPr>
          <w:rFonts w:hint="default" w:ascii="Times New Roman" w:hAnsi="Times New Roman"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19C70D69">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全权代表无转委权。特此委托。</w:t>
      </w:r>
    </w:p>
    <w:tbl>
      <w:tblPr>
        <w:tblStyle w:val="48"/>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52DEB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285BF60A">
            <w:pPr>
              <w:adjustRightInd w:val="0"/>
              <w:snapToGrid w:val="0"/>
              <w:spacing w:before="93" w:beforeLines="30" w:line="312" w:lineRule="auto"/>
              <w:jc w:val="center"/>
              <w:rPr>
                <w:rFonts w:hint="default" w:ascii="Times New Roman" w:hAnsi="Times New Roman" w:eastAsia="宋体" w:cs="Times New Roman"/>
                <w:sz w:val="24"/>
                <w:szCs w:val="20"/>
              </w:rPr>
            </w:pPr>
            <w:r>
              <w:rPr>
                <w:rFonts w:hint="default" w:ascii="Times New Roman" w:hAnsi="Times New Roman" w:eastAsia="宋体" w:cs="Times New Roman"/>
                <w:sz w:val="24"/>
                <w:szCs w:val="20"/>
              </w:rPr>
              <w:t>附法人身份证明复印件（</w:t>
            </w:r>
            <w:r>
              <w:rPr>
                <w:rFonts w:hint="default" w:ascii="Times New Roman" w:hAnsi="Times New Roman" w:eastAsia="宋体" w:cs="Times New Roman"/>
                <w:color w:val="000000" w:themeColor="text1"/>
                <w:sz w:val="24"/>
                <w:szCs w:val="20"/>
                <w14:textFill>
                  <w14:solidFill>
                    <w14:schemeClr w14:val="tx1"/>
                  </w14:solidFill>
                </w14:textFill>
              </w:rPr>
              <w:t>正反面）</w:t>
            </w:r>
          </w:p>
          <w:p w14:paraId="60EF30DC">
            <w:pPr>
              <w:adjustRightInd w:val="0"/>
              <w:snapToGrid w:val="0"/>
              <w:spacing w:before="93" w:beforeLines="30" w:line="312" w:lineRule="auto"/>
              <w:jc w:val="center"/>
              <w:rPr>
                <w:rFonts w:hint="default" w:ascii="Times New Roman" w:hAnsi="Times New Roman" w:eastAsia="宋体" w:cs="Times New Roman"/>
                <w:sz w:val="24"/>
                <w:szCs w:val="20"/>
              </w:rPr>
            </w:pPr>
            <w:r>
              <w:rPr>
                <w:rFonts w:hint="default" w:ascii="Times New Roman" w:hAnsi="Times New Roman" w:eastAsia="宋体" w:cs="Times New Roman"/>
                <w:sz w:val="24"/>
                <w:szCs w:val="20"/>
              </w:rPr>
              <w:t>附授权代理人身份证明复印件（正反面）</w:t>
            </w:r>
          </w:p>
        </w:tc>
      </w:tr>
    </w:tbl>
    <w:p w14:paraId="03B1D265">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全权代表姓名：            性别：          年龄：</w:t>
      </w:r>
    </w:p>
    <w:p w14:paraId="57AC56B2">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单位：                    部门：          职务：</w:t>
      </w:r>
    </w:p>
    <w:p w14:paraId="7920E3B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法定代表人签字或盖章                          </w:t>
      </w:r>
    </w:p>
    <w:p w14:paraId="13CE0933">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被授权人签字  </w:t>
      </w:r>
    </w:p>
    <w:p w14:paraId="6A5050D3">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被授权人电话：                          </w:t>
      </w:r>
    </w:p>
    <w:p w14:paraId="6C3A5341">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 xml:space="preserve">投标人名称（公章）                       </w:t>
      </w:r>
    </w:p>
    <w:p w14:paraId="469DE19D">
      <w:pPr>
        <w:spacing w:line="460" w:lineRule="exact"/>
        <w:ind w:firstLine="5520" w:firstLineChars="23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6267C063">
      <w:pPr>
        <w:rPr>
          <w:rFonts w:hint="default" w:ascii="Times New Roman" w:hAnsi="Times New Roman" w:eastAsia="黑体" w:cs="Times New Roman"/>
          <w:b/>
          <w:bCs/>
          <w:color w:val="000000"/>
          <w:sz w:val="28"/>
          <w:szCs w:val="20"/>
        </w:rPr>
      </w:pPr>
    </w:p>
    <w:p w14:paraId="7B534184">
      <w:pPr>
        <w:pStyle w:val="24"/>
        <w:rPr>
          <w:rFonts w:hint="default" w:ascii="Times New Roman" w:hAnsi="Times New Roman" w:eastAsia="黑体" w:cs="Times New Roman"/>
          <w:b/>
          <w:bCs/>
          <w:color w:val="000000"/>
          <w:sz w:val="28"/>
          <w:szCs w:val="20"/>
        </w:rPr>
      </w:pPr>
    </w:p>
    <w:p w14:paraId="6BA0FD1E">
      <w:pPr>
        <w:rPr>
          <w:rFonts w:hint="default" w:ascii="Times New Roman" w:hAnsi="Times New Roman" w:cs="Times New Roman"/>
        </w:rPr>
        <w:sectPr>
          <w:footerReference r:id="rId8" w:type="first"/>
          <w:headerReference r:id="rId6" w:type="default"/>
          <w:footerReference r:id="rId7"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6BF0633B">
      <w:pPr>
        <w:keepNext/>
        <w:keepLines/>
        <w:outlineLvl w:val="1"/>
        <w:rPr>
          <w:rFonts w:hint="default" w:ascii="Times New Roman" w:hAnsi="Times New Roman" w:eastAsia="宋体" w:cs="Times New Roman"/>
          <w:spacing w:val="-9"/>
          <w:sz w:val="24"/>
          <w:szCs w:val="24"/>
        </w:rPr>
      </w:pPr>
      <w:r>
        <w:rPr>
          <w:rFonts w:hint="default" w:ascii="Times New Roman" w:hAnsi="Times New Roman" w:eastAsia="宋体" w:cs="Times New Roman"/>
          <w:spacing w:val="-17"/>
          <w:sz w:val="24"/>
          <w:szCs w:val="24"/>
          <w14:textOutline w14:w="4356" w14:cap="sq" w14:cmpd="sng" w14:algn="ctr">
            <w14:solidFill>
              <w14:srgbClr w14:val="000000"/>
            </w14:solidFill>
            <w14:prstDash w14:val="solid"/>
            <w14:bevel/>
          </w14:textOutline>
        </w:rPr>
        <w:t>附</w:t>
      </w:r>
      <w:r>
        <w:rPr>
          <w:rFonts w:hint="default" w:ascii="Times New Roman" w:hAnsi="Times New Roman" w:eastAsia="宋体" w:cs="Times New Roman"/>
          <w:spacing w:val="-14"/>
          <w:sz w:val="24"/>
          <w:szCs w:val="24"/>
          <w14:textOutline w14:w="4356" w14:cap="sq" w14:cmpd="sng" w14:algn="ctr">
            <w14:solidFill>
              <w14:srgbClr w14:val="000000"/>
            </w14:solidFill>
            <w14:prstDash w14:val="solid"/>
            <w14:bevel/>
          </w14:textOutline>
        </w:rPr>
        <w:t>件</w:t>
      </w:r>
      <w:r>
        <w:rPr>
          <w:rFonts w:hint="default" w:ascii="Times New Roman" w:hAnsi="Times New Roman" w:eastAsia="宋体" w:cs="Times New Roman"/>
          <w:spacing w:val="-17"/>
          <w:sz w:val="24"/>
          <w:szCs w:val="24"/>
          <w14:textOutline w14:w="4356" w14:cap="sq" w14:cmpd="sng" w14:algn="ctr">
            <w14:solidFill>
              <w14:srgbClr w14:val="000000"/>
            </w14:solidFill>
            <w14:prstDash w14:val="solid"/>
            <w14:bevel/>
          </w14:textOutline>
        </w:rPr>
        <w:t xml:space="preserve">3 </w:t>
      </w:r>
      <w:r>
        <w:rPr>
          <w:rFonts w:hint="default" w:ascii="Times New Roman" w:hAnsi="Times New Roman" w:eastAsia="宋体" w:cs="Times New Roman"/>
          <w:spacing w:val="15"/>
          <w:position w:val="3"/>
          <w:sz w:val="24"/>
          <w:szCs w:val="24"/>
          <w14:textOutline w14:w="4356" w14:cap="sq" w14:cmpd="sng" w14:algn="ctr">
            <w14:solidFill>
              <w14:srgbClr w14:val="000000"/>
            </w14:solidFill>
            <w14:prstDash w14:val="solid"/>
            <w14:bevel/>
          </w14:textOutline>
        </w:rPr>
        <w:t>投</w:t>
      </w:r>
      <w:r>
        <w:rPr>
          <w:rFonts w:hint="default" w:ascii="Times New Roman" w:hAnsi="Times New Roman" w:eastAsia="宋体" w:cs="Times New Roman"/>
          <w:spacing w:val="8"/>
          <w:position w:val="3"/>
          <w:sz w:val="24"/>
          <w:szCs w:val="24"/>
          <w14:textOutline w14:w="4356" w14:cap="sq" w14:cmpd="sng" w14:algn="ctr">
            <w14:solidFill>
              <w14:srgbClr w14:val="000000"/>
            </w14:solidFill>
            <w14:prstDash w14:val="solid"/>
            <w14:bevel/>
          </w14:textOutline>
        </w:rPr>
        <w:t>标人基本情况及</w:t>
      </w:r>
      <w:r>
        <w:rPr>
          <w:rFonts w:hint="default" w:ascii="Times New Roman" w:hAnsi="Times New Roman" w:eastAsia="宋体" w:cs="Times New Roman"/>
          <w:spacing w:val="8"/>
          <w:sz w:val="24"/>
          <w:szCs w:val="24"/>
          <w14:textOutline w14:w="4356" w14:cap="sq" w14:cmpd="sng" w14:algn="ctr">
            <w14:solidFill>
              <w14:srgbClr w14:val="000000"/>
            </w14:solidFill>
            <w14:prstDash w14:val="solid"/>
            <w14:bevel/>
          </w14:textOutline>
        </w:rPr>
        <w:t>资产情况汇总</w:t>
      </w:r>
      <w:r>
        <w:rPr>
          <w:rFonts w:hint="default" w:ascii="Times New Roman" w:hAnsi="Times New Roman" w:eastAsia="宋体" w:cs="Times New Roman"/>
          <w:spacing w:val="7"/>
          <w:sz w:val="24"/>
          <w:szCs w:val="24"/>
          <w14:textOutline w14:w="4356" w14:cap="sq" w14:cmpd="sng" w14:algn="ctr">
            <w14:solidFill>
              <w14:srgbClr w14:val="000000"/>
            </w14:solidFill>
            <w14:prstDash w14:val="solid"/>
            <w14:bevel/>
          </w14:textOutline>
        </w:rPr>
        <w:t>表</w:t>
      </w:r>
    </w:p>
    <w:p w14:paraId="52CC2F29">
      <w:pPr>
        <w:keepNext/>
        <w:keepLines/>
        <w:outlineLvl w:val="2"/>
        <w:rPr>
          <w:rFonts w:hint="default" w:ascii="Times New Roman" w:hAnsi="Times New Roman" w:eastAsia="宋体" w:cs="Times New Roman"/>
          <w:b/>
          <w:bCs/>
          <w:color w:val="000000"/>
          <w:sz w:val="24"/>
          <w:szCs w:val="24"/>
        </w:rPr>
      </w:pPr>
      <w:r>
        <w:rPr>
          <w:rFonts w:hint="default" w:ascii="Times New Roman" w:hAnsi="Times New Roman" w:eastAsia="宋体" w:cs="Times New Roman"/>
          <w:spacing w:val="-9"/>
          <w:sz w:val="24"/>
          <w:szCs w:val="24"/>
          <w14:textOutline w14:w="4356" w14:cap="flat" w14:cmpd="sng" w14:algn="ctr">
            <w14:solidFill>
              <w14:srgbClr w14:val="000000"/>
            </w14:solidFill>
            <w14:prstDash w14:val="solid"/>
            <w14:miter w14:val="0"/>
          </w14:textOutline>
        </w:rPr>
        <w:t>表</w:t>
      </w:r>
      <w:r>
        <w:rPr>
          <w:rFonts w:hint="default" w:ascii="Times New Roman" w:hAnsi="Times New Roman" w:eastAsia="宋体" w:cs="Times New Roman"/>
          <w:spacing w:val="-7"/>
          <w:sz w:val="24"/>
          <w:szCs w:val="24"/>
        </w:rPr>
        <w:t xml:space="preserve"> </w:t>
      </w:r>
      <w:r>
        <w:rPr>
          <w:rFonts w:hint="default" w:ascii="Times New Roman" w:hAnsi="Times New Roman" w:eastAsia="宋体" w:cs="Times New Roman"/>
          <w:b/>
          <w:bCs/>
          <w:spacing w:val="-7"/>
          <w:sz w:val="24"/>
          <w:szCs w:val="24"/>
        </w:rPr>
        <w:t>3-</w:t>
      </w:r>
      <w:r>
        <w:rPr>
          <w:rFonts w:hint="default" w:ascii="Times New Roman" w:hAnsi="Times New Roman" w:eastAsia="宋体" w:cs="Times New Roman"/>
          <w:spacing w:val="-7"/>
          <w:sz w:val="24"/>
          <w:szCs w:val="24"/>
          <w14:textOutline w14:w="4356" w14:cap="flat" w14:cmpd="sng" w14:algn="ctr">
            <w14:solidFill>
              <w14:srgbClr w14:val="000000"/>
            </w14:solidFill>
            <w14:prstDash w14:val="solid"/>
            <w14:miter w14:val="0"/>
          </w14:textOutline>
        </w:rPr>
        <w:t xml:space="preserve">1 </w:t>
      </w:r>
      <w:r>
        <w:rPr>
          <w:rFonts w:hint="default" w:ascii="Times New Roman" w:hAnsi="Times New Roman" w:eastAsia="宋体" w:cs="Times New Roman"/>
          <w:b/>
          <w:bCs/>
          <w:color w:val="000000"/>
          <w:sz w:val="24"/>
          <w:szCs w:val="24"/>
        </w:rPr>
        <w:t>投标人基本情况表</w:t>
      </w:r>
    </w:p>
    <w:tbl>
      <w:tblPr>
        <w:tblStyle w:val="232"/>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06F3D1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191C243E">
            <w:pPr>
              <w:pStyle w:val="231"/>
              <w:spacing w:before="114"/>
              <w:ind w:left="720"/>
              <w:rPr>
                <w:rFonts w:hint="default" w:ascii="Times New Roman" w:hAnsi="Times New Roman" w:cs="Times New Roman"/>
              </w:rPr>
            </w:pPr>
            <w:r>
              <w:rPr>
                <w:rFonts w:hint="default" w:ascii="Times New Roman" w:hAnsi="Times New Roman" w:cs="Times New Roman"/>
              </w:rPr>
              <w:t xml:space="preserve">企业名称 </w:t>
            </w:r>
          </w:p>
        </w:tc>
        <w:tc>
          <w:tcPr>
            <w:tcW w:w="4680" w:type="dxa"/>
            <w:gridSpan w:val="4"/>
            <w:vAlign w:val="center"/>
          </w:tcPr>
          <w:p w14:paraId="38785D6F">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3B1CED88">
            <w:pPr>
              <w:pStyle w:val="231"/>
              <w:spacing w:before="106"/>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联系人 </w:t>
            </w:r>
          </w:p>
        </w:tc>
        <w:tc>
          <w:tcPr>
            <w:tcW w:w="1510" w:type="dxa"/>
            <w:vAlign w:val="center"/>
          </w:tcPr>
          <w:p w14:paraId="3B925544">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28C2E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5721A620">
            <w:pPr>
              <w:pStyle w:val="231"/>
              <w:spacing w:before="114"/>
              <w:ind w:left="720"/>
              <w:rPr>
                <w:rFonts w:hint="default" w:ascii="Times New Roman" w:hAnsi="Times New Roman" w:cs="Times New Roman"/>
              </w:rPr>
            </w:pPr>
            <w:r>
              <w:rPr>
                <w:rFonts w:hint="default" w:ascii="Times New Roman" w:hAnsi="Times New Roman" w:cs="Times New Roman"/>
              </w:rPr>
              <w:t xml:space="preserve">企业地址 </w:t>
            </w:r>
          </w:p>
        </w:tc>
        <w:tc>
          <w:tcPr>
            <w:tcW w:w="4680" w:type="dxa"/>
            <w:gridSpan w:val="4"/>
            <w:vAlign w:val="center"/>
          </w:tcPr>
          <w:p w14:paraId="577DBB3B">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31ED4E79">
            <w:pPr>
              <w:pStyle w:val="231"/>
              <w:spacing w:before="106"/>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联系人电话 </w:t>
            </w:r>
          </w:p>
        </w:tc>
        <w:tc>
          <w:tcPr>
            <w:tcW w:w="1510" w:type="dxa"/>
            <w:vAlign w:val="center"/>
          </w:tcPr>
          <w:p w14:paraId="574AA924">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57705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1B19CA0B">
            <w:pPr>
              <w:pStyle w:val="231"/>
              <w:spacing w:before="111"/>
              <w:ind w:left="720"/>
              <w:rPr>
                <w:rFonts w:hint="default" w:ascii="Times New Roman" w:hAnsi="Times New Roman" w:cs="Times New Roman"/>
              </w:rPr>
            </w:pPr>
            <w:r>
              <w:rPr>
                <w:rFonts w:hint="default" w:ascii="Times New Roman" w:hAnsi="Times New Roman" w:cs="Times New Roman"/>
              </w:rPr>
              <w:t xml:space="preserve">企业性质 </w:t>
            </w:r>
          </w:p>
        </w:tc>
        <w:tc>
          <w:tcPr>
            <w:tcW w:w="4680" w:type="dxa"/>
            <w:gridSpan w:val="4"/>
            <w:vAlign w:val="center"/>
          </w:tcPr>
          <w:p w14:paraId="622E5C68">
            <w:pPr>
              <w:widowControl/>
              <w:jc w:val="center"/>
              <w:textAlignment w:val="center"/>
              <w:rPr>
                <w:rFonts w:hint="default" w:ascii="Times New Roman" w:hAnsi="Times New Roman" w:eastAsia="宋体" w:cs="Times New Roman"/>
                <w:color w:val="000000" w:themeColor="text1"/>
                <w14:textFill>
                  <w14:solidFill>
                    <w14:schemeClr w14:val="tx1"/>
                  </w14:solidFill>
                </w14:textFill>
              </w:rPr>
            </w:pPr>
          </w:p>
        </w:tc>
        <w:tc>
          <w:tcPr>
            <w:tcW w:w="1310" w:type="dxa"/>
          </w:tcPr>
          <w:p w14:paraId="744257B9">
            <w:pPr>
              <w:pStyle w:val="231"/>
              <w:spacing w:before="103"/>
              <w:ind w:left="154"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 xml:space="preserve">注册时间 </w:t>
            </w:r>
          </w:p>
        </w:tc>
        <w:tc>
          <w:tcPr>
            <w:tcW w:w="1510" w:type="dxa"/>
            <w:vAlign w:val="center"/>
          </w:tcPr>
          <w:p w14:paraId="2943A09F">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1898D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62606A0D">
            <w:pPr>
              <w:pStyle w:val="231"/>
              <w:spacing w:before="111"/>
              <w:ind w:left="509"/>
              <w:rPr>
                <w:rFonts w:hint="default" w:ascii="Times New Roman" w:hAnsi="Times New Roman" w:cs="Times New Roman"/>
                <w:highlight w:val="yellow"/>
              </w:rPr>
            </w:pPr>
            <w:r>
              <w:rPr>
                <w:rFonts w:hint="default" w:ascii="Times New Roman" w:hAnsi="Times New Roman" w:cs="Times New Roman"/>
              </w:rPr>
              <w:t xml:space="preserve">企业法人代表  </w:t>
            </w:r>
          </w:p>
        </w:tc>
        <w:tc>
          <w:tcPr>
            <w:tcW w:w="4680" w:type="dxa"/>
            <w:gridSpan w:val="4"/>
          </w:tcPr>
          <w:p w14:paraId="4581DE8E">
            <w:pPr>
              <w:pStyle w:val="4"/>
              <w:keepNext w:val="0"/>
              <w:keepLines w:val="0"/>
              <w:widowControl/>
              <w:shd w:val="clear" w:color="auto" w:fill="FFFFFF"/>
              <w:spacing w:before="0" w:after="0" w:line="450" w:lineRule="atLeast"/>
              <w:rPr>
                <w:rFonts w:hint="default" w:ascii="Times New Roman" w:hAnsi="Times New Roman" w:cs="Times New Roman"/>
                <w:color w:val="000000" w:themeColor="text1"/>
                <w14:textFill>
                  <w14:solidFill>
                    <w14:schemeClr w14:val="tx1"/>
                  </w14:solidFill>
                </w14:textFill>
              </w:rPr>
            </w:pPr>
          </w:p>
        </w:tc>
        <w:tc>
          <w:tcPr>
            <w:tcW w:w="1310" w:type="dxa"/>
          </w:tcPr>
          <w:p w14:paraId="7A5B0B56">
            <w:pPr>
              <w:pStyle w:val="231"/>
              <w:spacing w:before="103"/>
              <w:ind w:right="26"/>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t>企业资质</w:t>
            </w:r>
          </w:p>
        </w:tc>
        <w:tc>
          <w:tcPr>
            <w:tcW w:w="1510" w:type="dxa"/>
            <w:vAlign w:val="center"/>
          </w:tcPr>
          <w:p w14:paraId="22F3064E">
            <w:pPr>
              <w:widowControl/>
              <w:jc w:val="center"/>
              <w:textAlignment w:val="center"/>
              <w:rPr>
                <w:rFonts w:hint="default" w:ascii="Times New Roman" w:hAnsi="Times New Roman" w:eastAsia="宋体" w:cs="Times New Roman"/>
                <w:color w:val="000000" w:themeColor="text1"/>
                <w:szCs w:val="21"/>
                <w14:textFill>
                  <w14:solidFill>
                    <w14:schemeClr w14:val="tx1"/>
                  </w14:solidFill>
                </w14:textFill>
              </w:rPr>
            </w:pPr>
          </w:p>
        </w:tc>
      </w:tr>
      <w:tr w14:paraId="781A2E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59BE352C">
            <w:pPr>
              <w:pStyle w:val="231"/>
              <w:spacing w:before="114"/>
              <w:ind w:left="720"/>
              <w:rPr>
                <w:rFonts w:hint="default" w:ascii="Times New Roman" w:hAnsi="Times New Roman" w:cs="Times New Roman"/>
              </w:rPr>
            </w:pPr>
            <w:r>
              <w:rPr>
                <w:rFonts w:hint="default" w:ascii="Times New Roman" w:hAnsi="Times New Roman" w:cs="Times New Roman"/>
              </w:rPr>
              <w:t xml:space="preserve">品牌区分 </w:t>
            </w:r>
          </w:p>
        </w:tc>
        <w:tc>
          <w:tcPr>
            <w:tcW w:w="7500" w:type="dxa"/>
            <w:gridSpan w:val="6"/>
          </w:tcPr>
          <w:p w14:paraId="76E5C832">
            <w:pPr>
              <w:pStyle w:val="231"/>
              <w:spacing w:before="106"/>
              <w:ind w:left="401"/>
              <w:rPr>
                <w:rFonts w:hint="default" w:ascii="Times New Roman" w:hAnsi="Times New Roman" w:cs="Times New Roman"/>
              </w:rPr>
            </w:pPr>
            <w:r>
              <w:rPr>
                <w:rFonts w:hint="default" w:ascii="Times New Roman" w:hAnsi="Times New Roman" w:cs="Times New Roman"/>
              </w:rPr>
              <w:t xml:space="preserve"> 自产 总代理 代理  经销 </w:t>
            </w:r>
          </w:p>
        </w:tc>
      </w:tr>
      <w:tr w14:paraId="4FA2F3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79C5520D">
            <w:pPr>
              <w:pStyle w:val="231"/>
              <w:spacing w:before="178"/>
              <w:ind w:left="720"/>
              <w:rPr>
                <w:rFonts w:hint="default" w:ascii="Times New Roman" w:hAnsi="Times New Roman" w:cs="Times New Roman"/>
              </w:rPr>
            </w:pPr>
            <w:r>
              <w:rPr>
                <w:rFonts w:hint="default" w:ascii="Times New Roman" w:hAnsi="Times New Roman" w:cs="Times New Roman"/>
              </w:rPr>
              <w:t xml:space="preserve">品牌名称 </w:t>
            </w:r>
          </w:p>
        </w:tc>
        <w:tc>
          <w:tcPr>
            <w:tcW w:w="3583" w:type="dxa"/>
            <w:gridSpan w:val="3"/>
            <w:vAlign w:val="center"/>
          </w:tcPr>
          <w:p w14:paraId="3ECF0C37">
            <w:pPr>
              <w:widowControl/>
              <w:rPr>
                <w:rFonts w:hint="default" w:ascii="Times New Roman" w:hAnsi="Times New Roman" w:eastAsia="仿宋_GB2312" w:cs="Times New Roman"/>
                <w:kern w:val="0"/>
                <w:szCs w:val="21"/>
                <w:lang w:bidi="ar"/>
              </w:rPr>
            </w:pPr>
          </w:p>
        </w:tc>
        <w:tc>
          <w:tcPr>
            <w:tcW w:w="1097" w:type="dxa"/>
          </w:tcPr>
          <w:p w14:paraId="4DF56DC6">
            <w:pPr>
              <w:pStyle w:val="231"/>
              <w:spacing w:before="15"/>
              <w:ind w:left="279"/>
              <w:rPr>
                <w:rFonts w:hint="default" w:ascii="Times New Roman" w:hAnsi="Times New Roman" w:cs="Times New Roman"/>
              </w:rPr>
            </w:pPr>
            <w:r>
              <w:rPr>
                <w:rFonts w:hint="default" w:ascii="Times New Roman" w:hAnsi="Times New Roman" w:cs="Times New Roman"/>
                <w:spacing w:val="-2"/>
              </w:rPr>
              <w:t>质量</w:t>
            </w:r>
            <w:r>
              <w:rPr>
                <w:rFonts w:hint="default" w:ascii="Times New Roman" w:hAnsi="Times New Roman" w:cs="Times New Roman"/>
              </w:rPr>
              <w:t xml:space="preserve"> </w:t>
            </w:r>
          </w:p>
          <w:p w14:paraId="36017E50">
            <w:pPr>
              <w:pStyle w:val="231"/>
              <w:spacing w:before="30" w:line="277" w:lineRule="exact"/>
              <w:ind w:left="279"/>
              <w:rPr>
                <w:rFonts w:hint="default" w:ascii="Times New Roman" w:hAnsi="Times New Roman" w:cs="Times New Roman"/>
              </w:rPr>
            </w:pPr>
            <w:r>
              <w:rPr>
                <w:rFonts w:hint="default" w:ascii="Times New Roman" w:hAnsi="Times New Roman" w:cs="Times New Roman"/>
              </w:rPr>
              <w:t>体系</w:t>
            </w:r>
          </w:p>
        </w:tc>
        <w:tc>
          <w:tcPr>
            <w:tcW w:w="2820" w:type="dxa"/>
            <w:gridSpan w:val="2"/>
          </w:tcPr>
          <w:p w14:paraId="1D7355E3">
            <w:pPr>
              <w:pStyle w:val="231"/>
              <w:spacing w:before="158"/>
              <w:jc w:val="center"/>
              <w:rPr>
                <w:rFonts w:hint="default" w:ascii="Times New Roman" w:hAnsi="Times New Roman" w:cs="Times New Roman"/>
                <w:sz w:val="24"/>
              </w:rPr>
            </w:pPr>
          </w:p>
        </w:tc>
      </w:tr>
      <w:tr w14:paraId="3EA928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306CFDF6">
            <w:pPr>
              <w:pStyle w:val="231"/>
              <w:spacing w:before="149"/>
              <w:ind w:left="3345" w:right="3223"/>
              <w:jc w:val="center"/>
              <w:rPr>
                <w:rFonts w:hint="default" w:ascii="Times New Roman" w:hAnsi="Times New Roman" w:cs="Times New Roman"/>
              </w:rPr>
            </w:pPr>
            <w:r>
              <w:rPr>
                <w:rFonts w:hint="default" w:ascii="Times New Roman" w:hAnsi="Times New Roman" w:cs="Times New Roman"/>
                <w:szCs w:val="21"/>
              </w:rPr>
              <w:t>单位概况</w:t>
            </w:r>
          </w:p>
        </w:tc>
      </w:tr>
      <w:tr w14:paraId="4DF90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34380841">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2"/>
                <w:szCs w:val="21"/>
              </w:rPr>
              <w:t>参保职工总人</w:t>
            </w:r>
            <w:r>
              <w:rPr>
                <w:rFonts w:hint="default" w:ascii="Times New Roman" w:hAnsi="Times New Roman" w:eastAsia="宋体" w:cs="Times New Roman"/>
                <w:spacing w:val="-1"/>
                <w:szCs w:val="21"/>
              </w:rPr>
              <w:t>数</w:t>
            </w:r>
          </w:p>
        </w:tc>
        <w:tc>
          <w:tcPr>
            <w:tcW w:w="990" w:type="dxa"/>
            <w:vAlign w:val="center"/>
          </w:tcPr>
          <w:p w14:paraId="483F7506">
            <w:pPr>
              <w:widowControl/>
              <w:textAlignment w:val="center"/>
              <w:rPr>
                <w:rFonts w:hint="default" w:ascii="Times New Roman" w:hAnsi="Times New Roman" w:eastAsia="宋体" w:cs="Times New Roman"/>
                <w:szCs w:val="21"/>
              </w:rPr>
            </w:pPr>
          </w:p>
        </w:tc>
        <w:tc>
          <w:tcPr>
            <w:tcW w:w="1530" w:type="dxa"/>
            <w:vAlign w:val="center"/>
          </w:tcPr>
          <w:p w14:paraId="75B3AFC3">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2"/>
                <w:szCs w:val="21"/>
              </w:rPr>
              <w:t>工程技术人</w:t>
            </w:r>
            <w:r>
              <w:rPr>
                <w:rFonts w:hint="default" w:ascii="Times New Roman" w:hAnsi="Times New Roman" w:eastAsia="宋体" w:cs="Times New Roman"/>
                <w:spacing w:val="-1"/>
                <w:szCs w:val="21"/>
              </w:rPr>
              <w:t>员</w:t>
            </w:r>
          </w:p>
        </w:tc>
        <w:tc>
          <w:tcPr>
            <w:tcW w:w="1063" w:type="dxa"/>
            <w:vAlign w:val="center"/>
          </w:tcPr>
          <w:p w14:paraId="343E36F6">
            <w:pPr>
              <w:widowControl/>
              <w:jc w:val="center"/>
              <w:textAlignment w:val="center"/>
              <w:rPr>
                <w:rFonts w:hint="default" w:ascii="Times New Roman" w:hAnsi="Times New Roman" w:eastAsia="宋体" w:cs="Times New Roman"/>
                <w:szCs w:val="21"/>
              </w:rPr>
            </w:pPr>
          </w:p>
        </w:tc>
        <w:tc>
          <w:tcPr>
            <w:tcW w:w="1097" w:type="dxa"/>
            <w:vAlign w:val="center"/>
          </w:tcPr>
          <w:p w14:paraId="3BA4D60E">
            <w:pPr>
              <w:widowControl/>
              <w:textAlignment w:val="center"/>
              <w:rPr>
                <w:rFonts w:hint="default" w:ascii="Times New Roman" w:hAnsi="Times New Roman" w:eastAsia="宋体" w:cs="Times New Roman"/>
                <w:szCs w:val="21"/>
              </w:rPr>
            </w:pPr>
            <w:r>
              <w:rPr>
                <w:rFonts w:hint="default" w:ascii="Times New Roman" w:hAnsi="Times New Roman" w:eastAsia="宋体" w:cs="Times New Roman"/>
                <w:spacing w:val="-3"/>
                <w:szCs w:val="21"/>
              </w:rPr>
              <w:t>生</w:t>
            </w:r>
            <w:r>
              <w:rPr>
                <w:rFonts w:hint="default" w:ascii="Times New Roman" w:hAnsi="Times New Roman" w:eastAsia="宋体" w:cs="Times New Roman"/>
                <w:spacing w:val="-2"/>
                <w:szCs w:val="21"/>
              </w:rPr>
              <w:t>产、销售人员</w:t>
            </w:r>
          </w:p>
        </w:tc>
        <w:tc>
          <w:tcPr>
            <w:tcW w:w="2820" w:type="dxa"/>
            <w:gridSpan w:val="2"/>
            <w:vAlign w:val="center"/>
          </w:tcPr>
          <w:p w14:paraId="2A1A8ED0">
            <w:pPr>
              <w:widowControl/>
              <w:jc w:val="center"/>
              <w:textAlignment w:val="center"/>
              <w:rPr>
                <w:rFonts w:hint="default" w:ascii="Times New Roman" w:hAnsi="Times New Roman" w:eastAsia="宋体" w:cs="Times New Roman"/>
                <w:szCs w:val="21"/>
              </w:rPr>
            </w:pPr>
          </w:p>
        </w:tc>
      </w:tr>
      <w:tr w14:paraId="64A4B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463B4891">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企业优势、关键产品特点</w:t>
            </w:r>
          </w:p>
        </w:tc>
        <w:tc>
          <w:tcPr>
            <w:tcW w:w="7500" w:type="dxa"/>
            <w:gridSpan w:val="6"/>
            <w:vAlign w:val="center"/>
          </w:tcPr>
          <w:p w14:paraId="3995175F">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2E598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709F7E8D">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color w:val="000000"/>
                <w:kern w:val="0"/>
                <w:szCs w:val="21"/>
                <w:lang w:bidi="ar"/>
              </w:rPr>
              <w:t>企业行业水平及行业口碑</w:t>
            </w:r>
          </w:p>
        </w:tc>
        <w:tc>
          <w:tcPr>
            <w:tcW w:w="7500" w:type="dxa"/>
            <w:gridSpan w:val="6"/>
            <w:vAlign w:val="center"/>
          </w:tcPr>
          <w:p w14:paraId="07375B7D">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73C59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26637DC8">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spacing w:val="-10"/>
                <w:szCs w:val="21"/>
              </w:rPr>
              <w:t>公</w:t>
            </w:r>
            <w:r>
              <w:rPr>
                <w:rFonts w:hint="default" w:ascii="Times New Roman" w:hAnsi="Times New Roman" w:eastAsia="宋体" w:cs="Times New Roman"/>
                <w:spacing w:val="-7"/>
                <w:szCs w:val="21"/>
              </w:rPr>
              <w:t>司</w:t>
            </w:r>
            <w:r>
              <w:rPr>
                <w:rFonts w:hint="default" w:ascii="Times New Roman" w:hAnsi="Times New Roman" w:eastAsia="宋体" w:cs="Times New Roman"/>
                <w:spacing w:val="-5"/>
                <w:szCs w:val="21"/>
              </w:rPr>
              <w:t>现有主要研发、</w:t>
            </w:r>
            <w:r>
              <w:rPr>
                <w:rFonts w:hint="default" w:ascii="Times New Roman" w:hAnsi="Times New Roman" w:eastAsia="宋体" w:cs="Times New Roman"/>
                <w:szCs w:val="21"/>
              </w:rPr>
              <w:t xml:space="preserve"> </w:t>
            </w:r>
            <w:r>
              <w:rPr>
                <w:rFonts w:hint="default" w:ascii="Times New Roman" w:hAnsi="Times New Roman" w:eastAsia="宋体" w:cs="Times New Roman"/>
                <w:spacing w:val="-4"/>
                <w:szCs w:val="21"/>
              </w:rPr>
              <w:t>实</w:t>
            </w:r>
            <w:r>
              <w:rPr>
                <w:rFonts w:hint="default" w:ascii="Times New Roman" w:hAnsi="Times New Roman" w:eastAsia="宋体" w:cs="Times New Roman"/>
                <w:spacing w:val="-2"/>
                <w:szCs w:val="21"/>
              </w:rPr>
              <w:t>验、生产设备</w:t>
            </w:r>
          </w:p>
        </w:tc>
        <w:tc>
          <w:tcPr>
            <w:tcW w:w="7500" w:type="dxa"/>
            <w:gridSpan w:val="6"/>
            <w:vAlign w:val="center"/>
          </w:tcPr>
          <w:p w14:paraId="6711A712">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531EE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2A7EDB5E">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近三或五年企业类似业绩及履约情况</w:t>
            </w:r>
          </w:p>
        </w:tc>
        <w:tc>
          <w:tcPr>
            <w:tcW w:w="7500" w:type="dxa"/>
            <w:gridSpan w:val="6"/>
            <w:vAlign w:val="center"/>
          </w:tcPr>
          <w:p w14:paraId="56FAE5EC">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7BB5E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0D5EB08">
            <w:pPr>
              <w:widowControl/>
              <w:jc w:val="center"/>
              <w:textAlignment w:val="center"/>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售后服务及质量</w:t>
            </w:r>
          </w:p>
        </w:tc>
        <w:tc>
          <w:tcPr>
            <w:tcW w:w="7500" w:type="dxa"/>
            <w:gridSpan w:val="6"/>
            <w:vAlign w:val="center"/>
          </w:tcPr>
          <w:p w14:paraId="37000EEE">
            <w:pPr>
              <w:widowControl/>
              <w:jc w:val="left"/>
              <w:rPr>
                <w:rFonts w:hint="default" w:ascii="Times New Roman" w:hAnsi="Times New Roman" w:eastAsia="宋体" w:cs="Times New Roman"/>
                <w:szCs w:val="21"/>
              </w:rPr>
            </w:pPr>
            <w:r>
              <w:rPr>
                <w:rFonts w:hint="default" w:ascii="Times New Roman" w:hAnsi="Times New Roman" w:eastAsia="宋体" w:cs="Times New Roman"/>
                <w:kern w:val="0"/>
                <w:szCs w:val="21"/>
                <w:lang w:bidi="ar"/>
              </w:rPr>
              <w:t>　</w:t>
            </w:r>
          </w:p>
        </w:tc>
      </w:tr>
      <w:tr w14:paraId="3E934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10A4197E">
            <w:pPr>
              <w:widowControl/>
              <w:textAlignment w:val="center"/>
              <w:rPr>
                <w:rFonts w:hint="default" w:ascii="Times New Roman" w:hAnsi="Times New Roman" w:eastAsia="宋体" w:cs="Times New Roman"/>
                <w:kern w:val="0"/>
                <w:szCs w:val="21"/>
                <w:lang w:bidi="ar"/>
              </w:rPr>
            </w:pPr>
            <w:r>
              <w:rPr>
                <w:rFonts w:hint="default" w:ascii="Times New Roman" w:hAnsi="Times New Roman" w:eastAsia="宋体" w:cs="Times New Roman"/>
                <w:spacing w:val="-4"/>
                <w:szCs w:val="21"/>
              </w:rPr>
              <w:t>对本项目在设计、制造、进度、财务等方面采取的组织措施和相</w:t>
            </w:r>
            <w:r>
              <w:rPr>
                <w:rFonts w:hint="default" w:ascii="Times New Roman" w:hAnsi="Times New Roman" w:eastAsia="宋体" w:cs="Times New Roman"/>
                <w:spacing w:val="-2"/>
                <w:szCs w:val="21"/>
              </w:rPr>
              <w:t>关</w:t>
            </w:r>
            <w:r>
              <w:rPr>
                <w:rFonts w:hint="default" w:ascii="Times New Roman" w:hAnsi="Times New Roman" w:eastAsia="宋体" w:cs="Times New Roman"/>
                <w:spacing w:val="-3"/>
                <w:szCs w:val="21"/>
              </w:rPr>
              <w:t>人</w:t>
            </w:r>
            <w:r>
              <w:rPr>
                <w:rFonts w:hint="default" w:ascii="Times New Roman" w:hAnsi="Times New Roman" w:eastAsia="宋体" w:cs="Times New Roman"/>
                <w:spacing w:val="-2"/>
                <w:szCs w:val="21"/>
              </w:rPr>
              <w:t>员简介</w:t>
            </w:r>
          </w:p>
        </w:tc>
        <w:tc>
          <w:tcPr>
            <w:tcW w:w="7500" w:type="dxa"/>
            <w:gridSpan w:val="6"/>
            <w:vAlign w:val="center"/>
          </w:tcPr>
          <w:p w14:paraId="59D528C3">
            <w:pPr>
              <w:widowControl/>
              <w:jc w:val="left"/>
              <w:rPr>
                <w:rFonts w:hint="default" w:ascii="Times New Roman" w:hAnsi="Times New Roman" w:eastAsia="宋体" w:cs="Times New Roman"/>
                <w:kern w:val="0"/>
                <w:szCs w:val="21"/>
                <w:lang w:bidi="ar"/>
              </w:rPr>
            </w:pPr>
          </w:p>
        </w:tc>
      </w:tr>
    </w:tbl>
    <w:p w14:paraId="51578F67">
      <w:pPr>
        <w:pStyle w:val="24"/>
        <w:rPr>
          <w:rFonts w:hint="default" w:ascii="Times New Roman" w:hAnsi="Times New Roman" w:eastAsia="宋体" w:cs="Times New Roman"/>
          <w:b/>
          <w:bCs/>
          <w:color w:val="000000"/>
          <w:sz w:val="24"/>
          <w:szCs w:val="24"/>
        </w:rPr>
      </w:pPr>
    </w:p>
    <w:p w14:paraId="3D222394">
      <w:pPr>
        <w:pStyle w:val="24"/>
        <w:rPr>
          <w:rFonts w:hint="default" w:ascii="Times New Roman" w:hAnsi="Times New Roman" w:eastAsia="宋体" w:cs="Times New Roman"/>
          <w:b/>
          <w:bCs/>
          <w:color w:val="000000"/>
          <w:sz w:val="24"/>
          <w:szCs w:val="24"/>
        </w:rPr>
      </w:pPr>
    </w:p>
    <w:p w14:paraId="5C7F80F9">
      <w:pPr>
        <w:pStyle w:val="24"/>
        <w:rPr>
          <w:rFonts w:hint="default" w:ascii="Times New Roman" w:hAnsi="Times New Roman" w:eastAsia="宋体" w:cs="Times New Roman"/>
          <w:b/>
          <w:bCs/>
          <w:color w:val="000000"/>
          <w:sz w:val="24"/>
          <w:szCs w:val="24"/>
        </w:rPr>
      </w:pPr>
    </w:p>
    <w:p w14:paraId="28213CF3">
      <w:pPr>
        <w:pStyle w:val="24"/>
        <w:rPr>
          <w:rFonts w:hint="default" w:ascii="Times New Roman" w:hAnsi="Times New Roman" w:eastAsia="宋体" w:cs="Times New Roman"/>
          <w:b/>
          <w:bCs/>
          <w:color w:val="000000"/>
          <w:sz w:val="24"/>
          <w:szCs w:val="24"/>
        </w:rPr>
      </w:pPr>
    </w:p>
    <w:p w14:paraId="036DD63A">
      <w:pPr>
        <w:pStyle w:val="24"/>
        <w:rPr>
          <w:rFonts w:hint="default" w:ascii="Times New Roman" w:hAnsi="Times New Roman" w:eastAsia="宋体" w:cs="Times New Roman"/>
          <w:b/>
          <w:bCs/>
          <w:color w:val="000000"/>
          <w:sz w:val="24"/>
          <w:szCs w:val="24"/>
        </w:rPr>
      </w:pPr>
    </w:p>
    <w:p w14:paraId="19985344">
      <w:pPr>
        <w:pStyle w:val="24"/>
        <w:rPr>
          <w:rFonts w:hint="default" w:ascii="Times New Roman" w:hAnsi="Times New Roman" w:eastAsia="宋体" w:cs="Times New Roman"/>
          <w:b/>
          <w:bCs/>
          <w:color w:val="000000"/>
          <w:sz w:val="24"/>
          <w:szCs w:val="24"/>
        </w:rPr>
      </w:pPr>
    </w:p>
    <w:p w14:paraId="33080A87">
      <w:pPr>
        <w:pStyle w:val="24"/>
        <w:outlineLvl w:val="2"/>
        <w:rPr>
          <w:rFonts w:hint="default" w:ascii="Times New Roman" w:hAnsi="Times New Roman" w:eastAsia="宋体" w:cs="Times New Roman"/>
          <w:b/>
          <w:bCs/>
          <w:color w:val="000000"/>
          <w:sz w:val="24"/>
          <w:szCs w:val="24"/>
        </w:rPr>
      </w:pPr>
      <w:r>
        <w:rPr>
          <w:rFonts w:hint="default" w:ascii="Times New Roman" w:hAnsi="Times New Roman" w:eastAsia="宋体" w:cs="Times New Roman"/>
          <w:spacing w:val="-9"/>
          <w:sz w:val="24"/>
          <w:szCs w:val="24"/>
          <w14:textOutline w14:w="4356" w14:cap="flat" w14:cmpd="sng" w14:algn="ctr">
            <w14:solidFill>
              <w14:srgbClr w14:val="000000"/>
            </w14:solidFill>
            <w14:prstDash w14:val="solid"/>
            <w14:miter w14:val="0"/>
          </w14:textOutline>
        </w:rPr>
        <w:t>表</w:t>
      </w:r>
      <w:r>
        <w:rPr>
          <w:rFonts w:hint="default" w:ascii="Times New Roman" w:hAnsi="Times New Roman" w:eastAsia="宋体" w:cs="Times New Roman"/>
          <w:b/>
          <w:bCs/>
          <w:spacing w:val="-7"/>
          <w:sz w:val="24"/>
          <w:szCs w:val="24"/>
        </w:rPr>
        <w:t xml:space="preserve"> 3-</w:t>
      </w:r>
      <w:r>
        <w:rPr>
          <w:rFonts w:hint="default" w:ascii="Times New Roman" w:hAnsi="Times New Roman" w:eastAsia="宋体" w:cs="Times New Roman"/>
          <w:spacing w:val="-7"/>
          <w:sz w:val="24"/>
          <w:szCs w:val="24"/>
          <w14:textOutline w14:w="4356" w14:cap="flat" w14:cmpd="sng" w14:algn="ctr">
            <w14:solidFill>
              <w14:srgbClr w14:val="000000"/>
            </w14:solidFill>
            <w14:prstDash w14:val="solid"/>
            <w14:miter w14:val="0"/>
          </w14:textOutline>
        </w:rPr>
        <w:t xml:space="preserve">2 </w:t>
      </w:r>
      <w:r>
        <w:rPr>
          <w:rFonts w:hint="default" w:ascii="Times New Roman" w:hAnsi="Times New Roman" w:eastAsia="宋体" w:cs="Times New Roman"/>
          <w:b/>
          <w:bCs/>
          <w:color w:val="000000"/>
          <w:sz w:val="24"/>
          <w:szCs w:val="24"/>
        </w:rPr>
        <w:t>资产情况汇总表</w:t>
      </w:r>
    </w:p>
    <w:tbl>
      <w:tblPr>
        <w:tblStyle w:val="48"/>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2406"/>
        <w:gridCol w:w="2291"/>
        <w:gridCol w:w="2070"/>
      </w:tblGrid>
      <w:tr w14:paraId="459D6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286" w:type="dxa"/>
            <w:gridSpan w:val="4"/>
            <w:vAlign w:val="center"/>
          </w:tcPr>
          <w:p w14:paraId="3BF45AB9">
            <w:pPr>
              <w:spacing w:line="440" w:lineRule="exact"/>
              <w:jc w:val="center"/>
              <w:rPr>
                <w:rFonts w:hint="default" w:ascii="Times New Roman" w:hAnsi="Times New Roman" w:eastAsia="宋体" w:cs="Times New Roman"/>
                <w:color w:val="000000"/>
                <w:sz w:val="24"/>
                <w:szCs w:val="24"/>
                <w:u w:val="single"/>
              </w:rPr>
            </w:pPr>
            <w:r>
              <w:rPr>
                <w:rFonts w:hint="default" w:ascii="Times New Roman" w:hAnsi="Times New Roman" w:eastAsia="宋体" w:cs="Times New Roman"/>
                <w:color w:val="000000"/>
                <w:sz w:val="24"/>
                <w:szCs w:val="24"/>
                <w:u w:val="single"/>
              </w:rPr>
              <w:t xml:space="preserve">                   </w:t>
            </w:r>
            <w:r>
              <w:rPr>
                <w:rFonts w:hint="default" w:ascii="Times New Roman" w:hAnsi="Times New Roman" w:eastAsia="宋体" w:cs="Times New Roman"/>
                <w:color w:val="000000"/>
                <w:sz w:val="24"/>
                <w:szCs w:val="24"/>
              </w:rPr>
              <w:t>公司资产情况汇总表</w:t>
            </w:r>
          </w:p>
        </w:tc>
      </w:tr>
      <w:tr w14:paraId="08BA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8E636E1">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注册资金（万元）</w:t>
            </w:r>
          </w:p>
        </w:tc>
        <w:tc>
          <w:tcPr>
            <w:tcW w:w="6767" w:type="dxa"/>
            <w:gridSpan w:val="3"/>
          </w:tcPr>
          <w:p w14:paraId="1B008D9B">
            <w:pPr>
              <w:spacing w:line="440" w:lineRule="exact"/>
              <w:jc w:val="center"/>
              <w:rPr>
                <w:rFonts w:hint="default" w:ascii="Times New Roman" w:hAnsi="Times New Roman" w:cs="Times New Roman"/>
                <w:color w:val="000000"/>
                <w:sz w:val="24"/>
                <w:szCs w:val="24"/>
              </w:rPr>
            </w:pPr>
          </w:p>
        </w:tc>
      </w:tr>
      <w:tr w14:paraId="2890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90F9E4D">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实收资金（万元）</w:t>
            </w:r>
          </w:p>
        </w:tc>
        <w:tc>
          <w:tcPr>
            <w:tcW w:w="6767" w:type="dxa"/>
            <w:gridSpan w:val="3"/>
          </w:tcPr>
          <w:p w14:paraId="0E74CB23">
            <w:pPr>
              <w:spacing w:line="440" w:lineRule="exact"/>
              <w:jc w:val="center"/>
              <w:rPr>
                <w:rFonts w:hint="default" w:ascii="Times New Roman" w:hAnsi="Times New Roman" w:cs="Times New Roman"/>
                <w:color w:val="000000"/>
                <w:sz w:val="24"/>
                <w:szCs w:val="24"/>
              </w:rPr>
            </w:pPr>
          </w:p>
        </w:tc>
      </w:tr>
      <w:tr w14:paraId="0583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2EADDA64">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年度资产情况</w:t>
            </w:r>
          </w:p>
        </w:tc>
        <w:tc>
          <w:tcPr>
            <w:tcW w:w="2406" w:type="dxa"/>
            <w:vAlign w:val="center"/>
          </w:tcPr>
          <w:p w14:paraId="7120A450">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202</w:t>
            </w:r>
            <w:r>
              <w:rPr>
                <w:rFonts w:hint="eastAsia" w:cs="Times New Roman"/>
                <w:color w:val="000000"/>
                <w:sz w:val="24"/>
                <w:szCs w:val="24"/>
                <w:lang w:val="en-US" w:eastAsia="zh-CN"/>
              </w:rPr>
              <w:t>3</w:t>
            </w:r>
            <w:r>
              <w:rPr>
                <w:rFonts w:hint="default" w:ascii="Times New Roman" w:hAnsi="Times New Roman" w:eastAsia="宋体" w:cs="Times New Roman"/>
                <w:color w:val="000000"/>
                <w:sz w:val="24"/>
                <w:szCs w:val="24"/>
              </w:rPr>
              <w:t>年</w:t>
            </w:r>
          </w:p>
        </w:tc>
        <w:tc>
          <w:tcPr>
            <w:tcW w:w="2291" w:type="dxa"/>
            <w:vAlign w:val="center"/>
          </w:tcPr>
          <w:p w14:paraId="1141BBB5">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202</w:t>
            </w:r>
            <w:r>
              <w:rPr>
                <w:rFonts w:hint="eastAsia" w:cs="Times New Roman"/>
                <w:color w:val="000000"/>
                <w:sz w:val="24"/>
                <w:szCs w:val="24"/>
                <w:lang w:val="en-US" w:eastAsia="zh-CN"/>
              </w:rPr>
              <w:t>4</w:t>
            </w:r>
            <w:r>
              <w:rPr>
                <w:rFonts w:hint="default" w:ascii="Times New Roman" w:hAnsi="Times New Roman" w:eastAsia="宋体" w:cs="Times New Roman"/>
                <w:color w:val="000000"/>
                <w:sz w:val="24"/>
                <w:szCs w:val="24"/>
              </w:rPr>
              <w:t>年</w:t>
            </w:r>
          </w:p>
        </w:tc>
        <w:tc>
          <w:tcPr>
            <w:tcW w:w="2070" w:type="dxa"/>
            <w:vAlign w:val="center"/>
          </w:tcPr>
          <w:p w14:paraId="266E8D21">
            <w:pPr>
              <w:spacing w:line="440" w:lineRule="exact"/>
              <w:jc w:val="center"/>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202</w:t>
            </w:r>
            <w:r>
              <w:rPr>
                <w:rFonts w:hint="eastAsia" w:cs="Times New Roman"/>
                <w:color w:val="000000"/>
                <w:sz w:val="24"/>
                <w:szCs w:val="24"/>
                <w:lang w:val="en-US" w:eastAsia="zh-CN"/>
              </w:rPr>
              <w:t>5</w:t>
            </w:r>
            <w:r>
              <w:rPr>
                <w:rFonts w:hint="default" w:ascii="Times New Roman" w:hAnsi="Times New Roman" w:eastAsia="宋体" w:cs="Times New Roman"/>
                <w:color w:val="000000"/>
                <w:sz w:val="24"/>
                <w:szCs w:val="24"/>
              </w:rPr>
              <w:t>年</w:t>
            </w:r>
          </w:p>
        </w:tc>
      </w:tr>
      <w:tr w14:paraId="6622F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60286F2E">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流动资产（万元）</w:t>
            </w:r>
          </w:p>
        </w:tc>
        <w:tc>
          <w:tcPr>
            <w:tcW w:w="2406" w:type="dxa"/>
          </w:tcPr>
          <w:p w14:paraId="6325E314">
            <w:pPr>
              <w:spacing w:line="440" w:lineRule="exact"/>
              <w:jc w:val="center"/>
              <w:rPr>
                <w:rFonts w:hint="default" w:ascii="Times New Roman" w:hAnsi="Times New Roman" w:cs="Times New Roman"/>
                <w:color w:val="000000"/>
                <w:sz w:val="24"/>
                <w:szCs w:val="24"/>
              </w:rPr>
            </w:pPr>
          </w:p>
        </w:tc>
        <w:tc>
          <w:tcPr>
            <w:tcW w:w="2291" w:type="dxa"/>
          </w:tcPr>
          <w:p w14:paraId="298FB42E">
            <w:pPr>
              <w:spacing w:line="440" w:lineRule="exact"/>
              <w:jc w:val="center"/>
              <w:rPr>
                <w:rFonts w:hint="default" w:ascii="Times New Roman" w:hAnsi="Times New Roman" w:cs="Times New Roman"/>
                <w:color w:val="000000"/>
                <w:sz w:val="24"/>
                <w:szCs w:val="24"/>
              </w:rPr>
            </w:pPr>
          </w:p>
        </w:tc>
        <w:tc>
          <w:tcPr>
            <w:tcW w:w="2070" w:type="dxa"/>
          </w:tcPr>
          <w:p w14:paraId="50DA44AC">
            <w:pPr>
              <w:spacing w:line="440" w:lineRule="exact"/>
              <w:jc w:val="center"/>
              <w:rPr>
                <w:rFonts w:hint="default" w:ascii="Times New Roman" w:hAnsi="Times New Roman" w:cs="Times New Roman"/>
                <w:color w:val="000000"/>
                <w:sz w:val="24"/>
                <w:szCs w:val="24"/>
              </w:rPr>
            </w:pPr>
          </w:p>
        </w:tc>
      </w:tr>
      <w:tr w14:paraId="69AE7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6B41A92">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非流动资产（万元）</w:t>
            </w:r>
          </w:p>
        </w:tc>
        <w:tc>
          <w:tcPr>
            <w:tcW w:w="2406" w:type="dxa"/>
          </w:tcPr>
          <w:p w14:paraId="2559481C">
            <w:pPr>
              <w:spacing w:line="440" w:lineRule="exact"/>
              <w:jc w:val="center"/>
              <w:rPr>
                <w:rFonts w:hint="default" w:ascii="Times New Roman" w:hAnsi="Times New Roman" w:cs="Times New Roman"/>
                <w:color w:val="000000"/>
                <w:sz w:val="24"/>
                <w:szCs w:val="24"/>
              </w:rPr>
            </w:pPr>
          </w:p>
        </w:tc>
        <w:tc>
          <w:tcPr>
            <w:tcW w:w="2291" w:type="dxa"/>
          </w:tcPr>
          <w:p w14:paraId="62AE1CDC">
            <w:pPr>
              <w:spacing w:line="440" w:lineRule="exact"/>
              <w:jc w:val="center"/>
              <w:rPr>
                <w:rFonts w:hint="default" w:ascii="Times New Roman" w:hAnsi="Times New Roman" w:cs="Times New Roman"/>
                <w:color w:val="000000"/>
                <w:sz w:val="24"/>
                <w:szCs w:val="24"/>
              </w:rPr>
            </w:pPr>
          </w:p>
        </w:tc>
        <w:tc>
          <w:tcPr>
            <w:tcW w:w="2070" w:type="dxa"/>
          </w:tcPr>
          <w:p w14:paraId="2927E466">
            <w:pPr>
              <w:spacing w:line="440" w:lineRule="exact"/>
              <w:jc w:val="center"/>
              <w:rPr>
                <w:rFonts w:hint="default" w:ascii="Times New Roman" w:hAnsi="Times New Roman" w:cs="Times New Roman"/>
                <w:color w:val="000000"/>
                <w:sz w:val="24"/>
                <w:szCs w:val="24"/>
              </w:rPr>
            </w:pPr>
          </w:p>
        </w:tc>
      </w:tr>
      <w:tr w14:paraId="5959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186C347">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营业收入（万元）</w:t>
            </w:r>
          </w:p>
        </w:tc>
        <w:tc>
          <w:tcPr>
            <w:tcW w:w="2406" w:type="dxa"/>
          </w:tcPr>
          <w:p w14:paraId="287E18EA">
            <w:pPr>
              <w:spacing w:line="440" w:lineRule="exact"/>
              <w:jc w:val="center"/>
              <w:rPr>
                <w:rFonts w:hint="default" w:ascii="Times New Roman" w:hAnsi="Times New Roman" w:cs="Times New Roman"/>
                <w:color w:val="000000"/>
                <w:sz w:val="24"/>
                <w:szCs w:val="24"/>
                <w:highlight w:val="yellow"/>
              </w:rPr>
            </w:pPr>
          </w:p>
        </w:tc>
        <w:tc>
          <w:tcPr>
            <w:tcW w:w="2291" w:type="dxa"/>
          </w:tcPr>
          <w:p w14:paraId="697617A2">
            <w:pPr>
              <w:spacing w:line="440" w:lineRule="exact"/>
              <w:jc w:val="center"/>
              <w:rPr>
                <w:rFonts w:hint="default" w:ascii="Times New Roman" w:hAnsi="Times New Roman" w:cs="Times New Roman"/>
                <w:color w:val="000000"/>
                <w:sz w:val="24"/>
                <w:szCs w:val="24"/>
                <w:highlight w:val="yellow"/>
              </w:rPr>
            </w:pPr>
          </w:p>
        </w:tc>
        <w:tc>
          <w:tcPr>
            <w:tcW w:w="2070" w:type="dxa"/>
          </w:tcPr>
          <w:p w14:paraId="6C688314">
            <w:pPr>
              <w:spacing w:line="440" w:lineRule="exact"/>
              <w:jc w:val="center"/>
              <w:rPr>
                <w:rFonts w:hint="default" w:ascii="Times New Roman" w:hAnsi="Times New Roman" w:cs="Times New Roman"/>
                <w:color w:val="000000"/>
                <w:sz w:val="24"/>
                <w:szCs w:val="24"/>
                <w:highlight w:val="yellow"/>
              </w:rPr>
            </w:pPr>
          </w:p>
        </w:tc>
      </w:tr>
      <w:tr w14:paraId="18D6F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763E990">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年底资产总值（万元）</w:t>
            </w:r>
          </w:p>
        </w:tc>
        <w:tc>
          <w:tcPr>
            <w:tcW w:w="2406" w:type="dxa"/>
          </w:tcPr>
          <w:p w14:paraId="7DD31642">
            <w:pPr>
              <w:spacing w:line="440" w:lineRule="exact"/>
              <w:jc w:val="center"/>
              <w:rPr>
                <w:rFonts w:hint="default" w:ascii="Times New Roman" w:hAnsi="Times New Roman" w:cs="Times New Roman"/>
                <w:color w:val="000000"/>
                <w:sz w:val="24"/>
                <w:szCs w:val="24"/>
              </w:rPr>
            </w:pPr>
          </w:p>
        </w:tc>
        <w:tc>
          <w:tcPr>
            <w:tcW w:w="2291" w:type="dxa"/>
          </w:tcPr>
          <w:p w14:paraId="28209012">
            <w:pPr>
              <w:spacing w:line="440" w:lineRule="exact"/>
              <w:jc w:val="center"/>
              <w:rPr>
                <w:rFonts w:hint="default" w:ascii="Times New Roman" w:hAnsi="Times New Roman" w:cs="Times New Roman"/>
                <w:color w:val="000000"/>
                <w:sz w:val="24"/>
                <w:szCs w:val="24"/>
              </w:rPr>
            </w:pPr>
          </w:p>
        </w:tc>
        <w:tc>
          <w:tcPr>
            <w:tcW w:w="2070" w:type="dxa"/>
          </w:tcPr>
          <w:p w14:paraId="2F4D8732">
            <w:pPr>
              <w:spacing w:line="440" w:lineRule="exact"/>
              <w:jc w:val="center"/>
              <w:rPr>
                <w:rFonts w:hint="default" w:ascii="Times New Roman" w:hAnsi="Times New Roman" w:cs="Times New Roman"/>
                <w:color w:val="000000"/>
                <w:sz w:val="24"/>
                <w:szCs w:val="24"/>
              </w:rPr>
            </w:pPr>
          </w:p>
        </w:tc>
      </w:tr>
      <w:tr w14:paraId="7B59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567C4A36">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年底负债总值（万元）</w:t>
            </w:r>
          </w:p>
        </w:tc>
        <w:tc>
          <w:tcPr>
            <w:tcW w:w="2406" w:type="dxa"/>
          </w:tcPr>
          <w:p w14:paraId="559F89A7">
            <w:pPr>
              <w:spacing w:line="440" w:lineRule="exact"/>
              <w:jc w:val="center"/>
              <w:rPr>
                <w:rFonts w:hint="default" w:ascii="Times New Roman" w:hAnsi="Times New Roman" w:cs="Times New Roman"/>
                <w:color w:val="000000"/>
                <w:sz w:val="24"/>
                <w:szCs w:val="24"/>
              </w:rPr>
            </w:pPr>
          </w:p>
        </w:tc>
        <w:tc>
          <w:tcPr>
            <w:tcW w:w="2291" w:type="dxa"/>
          </w:tcPr>
          <w:p w14:paraId="7A979D27">
            <w:pPr>
              <w:spacing w:line="440" w:lineRule="exact"/>
              <w:jc w:val="center"/>
              <w:rPr>
                <w:rFonts w:hint="default" w:ascii="Times New Roman" w:hAnsi="Times New Roman" w:cs="Times New Roman"/>
                <w:color w:val="000000"/>
                <w:sz w:val="24"/>
                <w:szCs w:val="24"/>
              </w:rPr>
            </w:pPr>
          </w:p>
        </w:tc>
        <w:tc>
          <w:tcPr>
            <w:tcW w:w="2070" w:type="dxa"/>
          </w:tcPr>
          <w:p w14:paraId="5923294E">
            <w:pPr>
              <w:spacing w:line="440" w:lineRule="exact"/>
              <w:jc w:val="center"/>
              <w:rPr>
                <w:rFonts w:hint="default" w:ascii="Times New Roman" w:hAnsi="Times New Roman" w:cs="Times New Roman"/>
                <w:color w:val="000000"/>
                <w:sz w:val="24"/>
                <w:szCs w:val="24"/>
              </w:rPr>
            </w:pPr>
          </w:p>
        </w:tc>
      </w:tr>
      <w:tr w14:paraId="3F7F4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4ACABA0">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资产负债率（  %）</w:t>
            </w:r>
          </w:p>
        </w:tc>
        <w:tc>
          <w:tcPr>
            <w:tcW w:w="2406" w:type="dxa"/>
          </w:tcPr>
          <w:p w14:paraId="3B0DAABA">
            <w:pPr>
              <w:spacing w:line="440" w:lineRule="exact"/>
              <w:jc w:val="center"/>
              <w:rPr>
                <w:rFonts w:hint="default" w:ascii="Times New Roman" w:hAnsi="Times New Roman" w:cs="Times New Roman"/>
                <w:color w:val="000000"/>
                <w:sz w:val="24"/>
                <w:szCs w:val="24"/>
                <w:highlight w:val="yellow"/>
              </w:rPr>
            </w:pPr>
          </w:p>
        </w:tc>
        <w:tc>
          <w:tcPr>
            <w:tcW w:w="2291" w:type="dxa"/>
          </w:tcPr>
          <w:p w14:paraId="24CD2477">
            <w:pPr>
              <w:spacing w:line="440" w:lineRule="exact"/>
              <w:jc w:val="center"/>
              <w:rPr>
                <w:rFonts w:hint="default" w:ascii="Times New Roman" w:hAnsi="Times New Roman" w:cs="Times New Roman"/>
                <w:color w:val="000000"/>
                <w:sz w:val="24"/>
                <w:szCs w:val="24"/>
                <w:highlight w:val="yellow"/>
              </w:rPr>
            </w:pPr>
          </w:p>
        </w:tc>
        <w:tc>
          <w:tcPr>
            <w:tcW w:w="2070" w:type="dxa"/>
          </w:tcPr>
          <w:p w14:paraId="4E35EE72">
            <w:pPr>
              <w:spacing w:line="440" w:lineRule="exact"/>
              <w:jc w:val="center"/>
              <w:rPr>
                <w:rFonts w:hint="default" w:ascii="Times New Roman" w:hAnsi="Times New Roman" w:cs="Times New Roman"/>
                <w:color w:val="000000"/>
                <w:sz w:val="24"/>
                <w:szCs w:val="24"/>
                <w:highlight w:val="yellow"/>
              </w:rPr>
            </w:pPr>
          </w:p>
        </w:tc>
      </w:tr>
      <w:tr w14:paraId="31D5A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6F1A102C">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净利润（万元）</w:t>
            </w:r>
          </w:p>
        </w:tc>
        <w:tc>
          <w:tcPr>
            <w:tcW w:w="2406" w:type="dxa"/>
          </w:tcPr>
          <w:p w14:paraId="618DF807">
            <w:pPr>
              <w:spacing w:line="440" w:lineRule="exact"/>
              <w:jc w:val="center"/>
              <w:rPr>
                <w:rFonts w:hint="default" w:ascii="Times New Roman" w:hAnsi="Times New Roman" w:cs="Times New Roman"/>
                <w:color w:val="000000"/>
                <w:sz w:val="24"/>
                <w:szCs w:val="24"/>
                <w:highlight w:val="yellow"/>
              </w:rPr>
            </w:pPr>
          </w:p>
        </w:tc>
        <w:tc>
          <w:tcPr>
            <w:tcW w:w="2291" w:type="dxa"/>
          </w:tcPr>
          <w:p w14:paraId="50E3763A">
            <w:pPr>
              <w:spacing w:line="440" w:lineRule="exact"/>
              <w:jc w:val="center"/>
              <w:rPr>
                <w:rFonts w:hint="default" w:ascii="Times New Roman" w:hAnsi="Times New Roman" w:cs="Times New Roman"/>
                <w:color w:val="000000"/>
                <w:sz w:val="24"/>
                <w:szCs w:val="24"/>
                <w:highlight w:val="yellow"/>
              </w:rPr>
            </w:pPr>
          </w:p>
        </w:tc>
        <w:tc>
          <w:tcPr>
            <w:tcW w:w="2070" w:type="dxa"/>
          </w:tcPr>
          <w:p w14:paraId="333E3831">
            <w:pPr>
              <w:spacing w:line="440" w:lineRule="exact"/>
              <w:jc w:val="center"/>
              <w:rPr>
                <w:rFonts w:hint="default" w:ascii="Times New Roman" w:hAnsi="Times New Roman" w:cs="Times New Roman"/>
                <w:color w:val="000000"/>
                <w:sz w:val="24"/>
                <w:szCs w:val="24"/>
                <w:highlight w:val="yellow"/>
              </w:rPr>
            </w:pPr>
          </w:p>
        </w:tc>
      </w:tr>
      <w:tr w14:paraId="1A338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A097684">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未分配利润（万元）</w:t>
            </w:r>
          </w:p>
        </w:tc>
        <w:tc>
          <w:tcPr>
            <w:tcW w:w="2406" w:type="dxa"/>
          </w:tcPr>
          <w:p w14:paraId="28FC915C">
            <w:pPr>
              <w:spacing w:line="440" w:lineRule="exact"/>
              <w:jc w:val="center"/>
              <w:rPr>
                <w:rFonts w:hint="default" w:ascii="Times New Roman" w:hAnsi="Times New Roman" w:cs="Times New Roman"/>
                <w:color w:val="000000"/>
                <w:sz w:val="24"/>
                <w:szCs w:val="24"/>
              </w:rPr>
            </w:pPr>
          </w:p>
        </w:tc>
        <w:tc>
          <w:tcPr>
            <w:tcW w:w="2291" w:type="dxa"/>
          </w:tcPr>
          <w:p w14:paraId="16698F79">
            <w:pPr>
              <w:spacing w:line="440" w:lineRule="exact"/>
              <w:jc w:val="center"/>
              <w:rPr>
                <w:rFonts w:hint="default" w:ascii="Times New Roman" w:hAnsi="Times New Roman" w:cs="Times New Roman"/>
                <w:color w:val="000000"/>
                <w:sz w:val="24"/>
                <w:szCs w:val="24"/>
              </w:rPr>
            </w:pPr>
          </w:p>
        </w:tc>
        <w:tc>
          <w:tcPr>
            <w:tcW w:w="2070" w:type="dxa"/>
          </w:tcPr>
          <w:p w14:paraId="32C903BE">
            <w:pPr>
              <w:spacing w:line="440" w:lineRule="exact"/>
              <w:jc w:val="center"/>
              <w:rPr>
                <w:rFonts w:hint="default" w:ascii="Times New Roman" w:hAnsi="Times New Roman" w:cs="Times New Roman"/>
                <w:color w:val="000000"/>
                <w:sz w:val="24"/>
                <w:szCs w:val="24"/>
              </w:rPr>
            </w:pPr>
          </w:p>
        </w:tc>
      </w:tr>
      <w:tr w14:paraId="560F2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BFA92E8">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营运资金</w:t>
            </w:r>
          </w:p>
        </w:tc>
        <w:tc>
          <w:tcPr>
            <w:tcW w:w="2406" w:type="dxa"/>
          </w:tcPr>
          <w:p w14:paraId="11D21A49">
            <w:pPr>
              <w:spacing w:line="440" w:lineRule="exact"/>
              <w:jc w:val="center"/>
              <w:rPr>
                <w:rFonts w:hint="default" w:ascii="Times New Roman" w:hAnsi="Times New Roman" w:cs="Times New Roman"/>
                <w:color w:val="000000"/>
                <w:sz w:val="24"/>
                <w:szCs w:val="24"/>
              </w:rPr>
            </w:pPr>
          </w:p>
        </w:tc>
        <w:tc>
          <w:tcPr>
            <w:tcW w:w="2291" w:type="dxa"/>
          </w:tcPr>
          <w:p w14:paraId="2190002A">
            <w:pPr>
              <w:spacing w:line="440" w:lineRule="exact"/>
              <w:jc w:val="center"/>
              <w:rPr>
                <w:rFonts w:hint="default" w:ascii="Times New Roman" w:hAnsi="Times New Roman" w:cs="Times New Roman"/>
                <w:color w:val="000000"/>
                <w:sz w:val="24"/>
                <w:szCs w:val="24"/>
              </w:rPr>
            </w:pPr>
          </w:p>
        </w:tc>
        <w:tc>
          <w:tcPr>
            <w:tcW w:w="2070" w:type="dxa"/>
          </w:tcPr>
          <w:p w14:paraId="1D5850C3">
            <w:pPr>
              <w:spacing w:line="440" w:lineRule="exact"/>
              <w:jc w:val="center"/>
              <w:rPr>
                <w:rFonts w:hint="default" w:ascii="Times New Roman" w:hAnsi="Times New Roman" w:cs="Times New Roman"/>
                <w:color w:val="000000"/>
                <w:sz w:val="24"/>
                <w:szCs w:val="24"/>
              </w:rPr>
            </w:pPr>
          </w:p>
        </w:tc>
      </w:tr>
      <w:tr w14:paraId="4E7E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0910FFA">
            <w:pPr>
              <w:spacing w:line="440" w:lineRule="exact"/>
              <w:jc w:val="center"/>
              <w:rPr>
                <w:rFonts w:hint="default" w:ascii="Times New Roman" w:hAnsi="Times New Roman" w:cs="Times New Roman"/>
                <w:color w:val="000000"/>
                <w:sz w:val="24"/>
                <w:szCs w:val="24"/>
              </w:rPr>
            </w:pPr>
            <w:r>
              <w:rPr>
                <w:rFonts w:hint="default" w:ascii="Times New Roman" w:hAnsi="Times New Roman" w:eastAsia="宋体" w:cs="Times New Roman"/>
                <w:color w:val="000000"/>
                <w:sz w:val="24"/>
                <w:szCs w:val="24"/>
              </w:rPr>
              <w:t>（本年营业收入-上年营业收入）÷上年营业收入</w:t>
            </w:r>
          </w:p>
        </w:tc>
        <w:tc>
          <w:tcPr>
            <w:tcW w:w="2406" w:type="dxa"/>
          </w:tcPr>
          <w:p w14:paraId="0FFCAA59">
            <w:pPr>
              <w:spacing w:line="440" w:lineRule="exact"/>
              <w:jc w:val="center"/>
              <w:rPr>
                <w:rFonts w:hint="default" w:ascii="Times New Roman" w:hAnsi="Times New Roman" w:cs="Times New Roman"/>
                <w:color w:val="000000"/>
                <w:sz w:val="24"/>
                <w:szCs w:val="24"/>
              </w:rPr>
            </w:pPr>
          </w:p>
        </w:tc>
        <w:tc>
          <w:tcPr>
            <w:tcW w:w="2291" w:type="dxa"/>
          </w:tcPr>
          <w:p w14:paraId="01BEA2E0">
            <w:pPr>
              <w:spacing w:line="440" w:lineRule="exact"/>
              <w:jc w:val="center"/>
              <w:rPr>
                <w:rFonts w:hint="default" w:ascii="Times New Roman" w:hAnsi="Times New Roman" w:cs="Times New Roman"/>
                <w:color w:val="000000"/>
                <w:sz w:val="24"/>
                <w:szCs w:val="24"/>
              </w:rPr>
            </w:pPr>
          </w:p>
        </w:tc>
        <w:tc>
          <w:tcPr>
            <w:tcW w:w="2070" w:type="dxa"/>
          </w:tcPr>
          <w:p w14:paraId="1D0AF543">
            <w:pPr>
              <w:spacing w:line="440" w:lineRule="exact"/>
              <w:jc w:val="center"/>
              <w:rPr>
                <w:rFonts w:hint="default" w:ascii="Times New Roman" w:hAnsi="Times New Roman" w:cs="Times New Roman"/>
                <w:color w:val="000000"/>
                <w:sz w:val="24"/>
                <w:szCs w:val="24"/>
              </w:rPr>
            </w:pPr>
          </w:p>
        </w:tc>
      </w:tr>
    </w:tbl>
    <w:p w14:paraId="7EFBC03E">
      <w:pPr>
        <w:spacing w:line="660" w:lineRule="exact"/>
        <w:ind w:firstLine="240" w:firstLineChars="1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557E8933">
      <w:pPr>
        <w:spacing w:line="660" w:lineRule="exact"/>
        <w:ind w:firstLine="240" w:firstLineChars="1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2368236B">
      <w:pPr>
        <w:spacing w:line="660" w:lineRule="exact"/>
        <w:ind w:firstLine="240" w:firstLineChars="100"/>
        <w:rPr>
          <w:rFonts w:hint="default" w:ascii="Times New Roman" w:hAnsi="Times New Roman" w:eastAsia="宋体" w:cs="Times New Roman"/>
          <w:b/>
          <w:bCs/>
          <w:color w:val="000000"/>
          <w:sz w:val="28"/>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3A80BFFD">
      <w:pPr>
        <w:rPr>
          <w:rFonts w:hint="default" w:ascii="Times New Roman" w:hAnsi="Times New Roman" w:cs="Times New Roman"/>
        </w:rPr>
        <w:sectPr>
          <w:footerReference r:id="rId10" w:type="first"/>
          <w:footerReference r:id="rId9"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1643DDDE">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附件4 保密承诺函</w:t>
      </w:r>
    </w:p>
    <w:p w14:paraId="110FCA63">
      <w:pPr>
        <w:spacing w:line="240" w:lineRule="exact"/>
        <w:jc w:val="center"/>
        <w:rPr>
          <w:rFonts w:hint="default" w:ascii="Times New Roman" w:hAnsi="Times New Roman" w:eastAsia="宋体" w:cs="Times New Roman"/>
          <w:b/>
          <w:bCs/>
          <w:sz w:val="36"/>
          <w:szCs w:val="20"/>
        </w:rPr>
      </w:pPr>
    </w:p>
    <w:p w14:paraId="495245CE">
      <w:pPr>
        <w:spacing w:line="360" w:lineRule="auto"/>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rPr>
        <w:t>项目名称：</w:t>
      </w:r>
      <w:r>
        <w:rPr>
          <w:rFonts w:hint="eastAsia" w:cs="Times New Roman"/>
          <w:b w:val="0"/>
          <w:bCs w:val="0"/>
          <w:color w:val="000000"/>
          <w:sz w:val="24"/>
          <w:szCs w:val="24"/>
          <w:u w:val="single"/>
          <w:lang w:val="en-US" w:eastAsia="zh-CN"/>
        </w:rPr>
        <w:t>济南成型厂颗粒物在线监测设备更新技改项目</w:t>
      </w:r>
      <w:r>
        <w:rPr>
          <w:rFonts w:hint="default" w:ascii="Times New Roman" w:hAnsi="Times New Roman" w:eastAsia="宋体" w:cs="Times New Roman"/>
          <w:b w:val="0"/>
          <w:bCs w:val="0"/>
          <w:sz w:val="24"/>
          <w:szCs w:val="20"/>
          <w:u w:val="single"/>
        </w:rPr>
        <w:t xml:space="preserve">      </w:t>
      </w:r>
      <w:r>
        <w:rPr>
          <w:rFonts w:hint="default" w:ascii="Times New Roman" w:hAnsi="Times New Roman" w:eastAsia="宋体" w:cs="Times New Roman"/>
          <w:sz w:val="24"/>
          <w:szCs w:val="20"/>
          <w:u w:val="single"/>
        </w:rPr>
        <w:t xml:space="preserve">         </w:t>
      </w:r>
    </w:p>
    <w:p w14:paraId="62BD35F2">
      <w:pPr>
        <w:spacing w:line="360" w:lineRule="auto"/>
        <w:rPr>
          <w:rFonts w:hint="default" w:ascii="Times New Roman" w:hAnsi="Times New Roman" w:eastAsia="宋体" w:cs="Times New Roman"/>
          <w:b/>
          <w:bCs/>
          <w:sz w:val="24"/>
          <w:szCs w:val="20"/>
        </w:rPr>
      </w:pPr>
      <w:r>
        <w:rPr>
          <w:rFonts w:hint="eastAsia" w:ascii="Times New Roman" w:hAnsi="Times New Roman" w:eastAsia="宋体" w:cs="Times New Roman"/>
          <w:b/>
          <w:bCs/>
          <w:sz w:val="24"/>
          <w:szCs w:val="20"/>
          <w:lang w:eastAsia="zh-CN"/>
        </w:rPr>
        <w:t>中国重汽集团济南动力有限公司</w:t>
      </w:r>
      <w:r>
        <w:rPr>
          <w:rFonts w:hint="default" w:ascii="Times New Roman" w:hAnsi="Times New Roman" w:eastAsia="宋体" w:cs="Times New Roman"/>
          <w:b/>
          <w:bCs/>
          <w:sz w:val="24"/>
          <w:szCs w:val="20"/>
        </w:rPr>
        <w:t>：</w:t>
      </w:r>
    </w:p>
    <w:p w14:paraId="2D967BCA">
      <w:pPr>
        <w:spacing w:line="360" w:lineRule="auto"/>
        <w:ind w:firstLine="48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我代表（</w:t>
      </w:r>
      <w:r>
        <w:rPr>
          <w:rFonts w:hint="default" w:ascii="Times New Roman" w:hAnsi="Times New Roman" w:eastAsia="宋体" w:cs="Times New Roman"/>
          <w:sz w:val="24"/>
          <w:szCs w:val="20"/>
          <w:highlight w:val="yellow"/>
          <w:u w:val="single"/>
        </w:rPr>
        <w:t>投标单位名称</w:t>
      </w:r>
      <w:r>
        <w:rPr>
          <w:rFonts w:hint="default" w:ascii="Times New Roman" w:hAnsi="Times New Roman" w:eastAsia="宋体" w:cs="Times New Roman"/>
          <w:sz w:val="24"/>
          <w:szCs w:val="20"/>
        </w:rPr>
        <w:t>）对招标人的商业秘密作如下承诺：</w:t>
      </w:r>
    </w:p>
    <w:p w14:paraId="08C138EC">
      <w:pPr>
        <w:spacing w:line="360" w:lineRule="auto"/>
        <w:ind w:left="479" w:leftChars="228"/>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6467EB06">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37375C44">
      <w:pPr>
        <w:spacing w:line="360" w:lineRule="auto"/>
        <w:ind w:firstLine="480" w:firstLineChars="200"/>
        <w:rPr>
          <w:rFonts w:hint="default" w:ascii="Times New Roman" w:hAnsi="Times New Roman" w:eastAsia="宋体" w:cs="Times New Roman"/>
          <w:sz w:val="24"/>
          <w:szCs w:val="20"/>
          <w:u w:val="single"/>
        </w:rPr>
      </w:pPr>
    </w:p>
    <w:p w14:paraId="6B9BDB8A">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投标人：（盖章）</w:t>
      </w:r>
    </w:p>
    <w:p w14:paraId="3A15F825">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法定代表人（委托代理人）：（签字）</w:t>
      </w:r>
    </w:p>
    <w:p w14:paraId="2BFA126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日  期：       年    月    日</w:t>
      </w:r>
    </w:p>
    <w:p w14:paraId="624656DC">
      <w:pPr>
        <w:rPr>
          <w:rFonts w:hint="default" w:ascii="Times New Roman" w:hAnsi="Times New Roman" w:eastAsia="宋体" w:cs="Times New Roman"/>
          <w:b/>
          <w:bCs/>
          <w:color w:val="000000"/>
          <w:sz w:val="28"/>
          <w:szCs w:val="20"/>
        </w:rPr>
      </w:pPr>
    </w:p>
    <w:p w14:paraId="6FB52F12">
      <w:pPr>
        <w:rPr>
          <w:rFonts w:hint="default" w:ascii="Times New Roman" w:hAnsi="Times New Roman" w:cs="Times New Roman"/>
        </w:rPr>
        <w:sectPr>
          <w:footerReference r:id="rId12" w:type="first"/>
          <w:footerReference r:id="rId11"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017F8349">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附件5 技术规格偏离表</w:t>
      </w:r>
    </w:p>
    <w:p w14:paraId="693B140E">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项目名称：</w:t>
      </w:r>
      <w:r>
        <w:rPr>
          <w:rFonts w:hint="eastAsia" w:cs="Times New Roman"/>
          <w:b w:val="0"/>
          <w:bCs w:val="0"/>
          <w:color w:val="000000"/>
          <w:sz w:val="24"/>
          <w:szCs w:val="24"/>
          <w:u w:val="single"/>
          <w:lang w:val="en-US" w:eastAsia="zh-CN"/>
        </w:rPr>
        <w:t>济南成型厂颗粒物在线监测设备更新技改项目</w:t>
      </w:r>
      <w:r>
        <w:rPr>
          <w:rFonts w:hint="default" w:ascii="Times New Roman" w:hAnsi="Times New Roman" w:eastAsia="宋体" w:cs="Times New Roman"/>
          <w:color w:val="000000"/>
          <w:sz w:val="24"/>
          <w:szCs w:val="24"/>
        </w:rPr>
        <w:t xml:space="preserve"> </w:t>
      </w:r>
    </w:p>
    <w:tbl>
      <w:tblPr>
        <w:tblStyle w:val="48"/>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2482C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14E67CA9">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序号</w:t>
            </w:r>
          </w:p>
        </w:tc>
        <w:tc>
          <w:tcPr>
            <w:tcW w:w="3449" w:type="dxa"/>
            <w:vAlign w:val="center"/>
          </w:tcPr>
          <w:p w14:paraId="25B78EAF">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招标要求</w:t>
            </w:r>
          </w:p>
        </w:tc>
        <w:tc>
          <w:tcPr>
            <w:tcW w:w="2414" w:type="dxa"/>
            <w:vAlign w:val="center"/>
          </w:tcPr>
          <w:p w14:paraId="10DDDFF7">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响应规格</w:t>
            </w:r>
          </w:p>
        </w:tc>
        <w:tc>
          <w:tcPr>
            <w:tcW w:w="1608" w:type="dxa"/>
            <w:vAlign w:val="center"/>
          </w:tcPr>
          <w:p w14:paraId="5AFB3F39">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是否偏离</w:t>
            </w:r>
          </w:p>
        </w:tc>
      </w:tr>
      <w:tr w14:paraId="7915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622BA7F9">
            <w:pPr>
              <w:jc w:val="center"/>
              <w:rPr>
                <w:rFonts w:hint="default" w:ascii="Times New Roman" w:hAnsi="Times New Roman" w:eastAsia="宋体" w:cs="Times New Roman"/>
                <w:b/>
                <w:sz w:val="24"/>
                <w:szCs w:val="20"/>
              </w:rPr>
            </w:pPr>
          </w:p>
        </w:tc>
        <w:tc>
          <w:tcPr>
            <w:tcW w:w="3449" w:type="dxa"/>
          </w:tcPr>
          <w:p w14:paraId="5A232A51">
            <w:pPr>
              <w:jc w:val="center"/>
              <w:rPr>
                <w:rFonts w:hint="default" w:ascii="Times New Roman" w:hAnsi="Times New Roman" w:eastAsia="宋体" w:cs="Times New Roman"/>
                <w:b/>
                <w:sz w:val="24"/>
                <w:szCs w:val="20"/>
              </w:rPr>
            </w:pPr>
          </w:p>
        </w:tc>
        <w:tc>
          <w:tcPr>
            <w:tcW w:w="2414" w:type="dxa"/>
          </w:tcPr>
          <w:p w14:paraId="0DE0E0FB">
            <w:pPr>
              <w:jc w:val="center"/>
              <w:rPr>
                <w:rFonts w:hint="default" w:ascii="Times New Roman" w:hAnsi="Times New Roman" w:eastAsia="宋体" w:cs="Times New Roman"/>
                <w:b/>
                <w:sz w:val="24"/>
                <w:szCs w:val="20"/>
              </w:rPr>
            </w:pPr>
          </w:p>
        </w:tc>
        <w:tc>
          <w:tcPr>
            <w:tcW w:w="1608" w:type="dxa"/>
          </w:tcPr>
          <w:p w14:paraId="475A6853">
            <w:pPr>
              <w:jc w:val="center"/>
              <w:rPr>
                <w:rFonts w:hint="default" w:ascii="Times New Roman" w:hAnsi="Times New Roman" w:eastAsia="宋体" w:cs="Times New Roman"/>
                <w:b/>
                <w:sz w:val="24"/>
                <w:szCs w:val="20"/>
              </w:rPr>
            </w:pPr>
          </w:p>
        </w:tc>
      </w:tr>
      <w:tr w14:paraId="13728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BF51A93">
            <w:pPr>
              <w:jc w:val="center"/>
              <w:rPr>
                <w:rFonts w:hint="default" w:ascii="Times New Roman" w:hAnsi="Times New Roman" w:eastAsia="宋体" w:cs="Times New Roman"/>
                <w:b/>
                <w:sz w:val="24"/>
                <w:szCs w:val="20"/>
              </w:rPr>
            </w:pPr>
          </w:p>
        </w:tc>
        <w:tc>
          <w:tcPr>
            <w:tcW w:w="3449" w:type="dxa"/>
          </w:tcPr>
          <w:p w14:paraId="09DDD5B9">
            <w:pPr>
              <w:jc w:val="center"/>
              <w:rPr>
                <w:rFonts w:hint="default" w:ascii="Times New Roman" w:hAnsi="Times New Roman" w:eastAsia="宋体" w:cs="Times New Roman"/>
                <w:b/>
                <w:sz w:val="24"/>
                <w:szCs w:val="20"/>
              </w:rPr>
            </w:pPr>
          </w:p>
        </w:tc>
        <w:tc>
          <w:tcPr>
            <w:tcW w:w="2414" w:type="dxa"/>
          </w:tcPr>
          <w:p w14:paraId="25A7C7F8">
            <w:pPr>
              <w:jc w:val="center"/>
              <w:rPr>
                <w:rFonts w:hint="default" w:ascii="Times New Roman" w:hAnsi="Times New Roman" w:eastAsia="宋体" w:cs="Times New Roman"/>
                <w:b/>
                <w:sz w:val="24"/>
                <w:szCs w:val="20"/>
              </w:rPr>
            </w:pPr>
          </w:p>
        </w:tc>
        <w:tc>
          <w:tcPr>
            <w:tcW w:w="1608" w:type="dxa"/>
          </w:tcPr>
          <w:p w14:paraId="6574B68E">
            <w:pPr>
              <w:jc w:val="center"/>
              <w:rPr>
                <w:rFonts w:hint="default" w:ascii="Times New Roman" w:hAnsi="Times New Roman" w:eastAsia="宋体" w:cs="Times New Roman"/>
                <w:b/>
                <w:sz w:val="24"/>
                <w:szCs w:val="20"/>
              </w:rPr>
            </w:pPr>
          </w:p>
        </w:tc>
      </w:tr>
      <w:tr w14:paraId="2EEF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5F9C3E4">
            <w:pPr>
              <w:jc w:val="center"/>
              <w:rPr>
                <w:rFonts w:hint="default" w:ascii="Times New Roman" w:hAnsi="Times New Roman" w:eastAsia="宋体" w:cs="Times New Roman"/>
                <w:b/>
                <w:sz w:val="24"/>
                <w:szCs w:val="20"/>
              </w:rPr>
            </w:pPr>
          </w:p>
        </w:tc>
        <w:tc>
          <w:tcPr>
            <w:tcW w:w="3449" w:type="dxa"/>
          </w:tcPr>
          <w:p w14:paraId="4639CE85">
            <w:pPr>
              <w:jc w:val="center"/>
              <w:rPr>
                <w:rFonts w:hint="default" w:ascii="Times New Roman" w:hAnsi="Times New Roman" w:eastAsia="宋体" w:cs="Times New Roman"/>
                <w:b/>
                <w:sz w:val="24"/>
                <w:szCs w:val="20"/>
              </w:rPr>
            </w:pPr>
          </w:p>
        </w:tc>
        <w:tc>
          <w:tcPr>
            <w:tcW w:w="2414" w:type="dxa"/>
          </w:tcPr>
          <w:p w14:paraId="6EAAD55E">
            <w:pPr>
              <w:jc w:val="center"/>
              <w:rPr>
                <w:rFonts w:hint="default" w:ascii="Times New Roman" w:hAnsi="Times New Roman" w:eastAsia="宋体" w:cs="Times New Roman"/>
                <w:b/>
                <w:sz w:val="24"/>
                <w:szCs w:val="20"/>
              </w:rPr>
            </w:pPr>
          </w:p>
        </w:tc>
        <w:tc>
          <w:tcPr>
            <w:tcW w:w="1608" w:type="dxa"/>
          </w:tcPr>
          <w:p w14:paraId="25E1F5FA">
            <w:pPr>
              <w:jc w:val="center"/>
              <w:rPr>
                <w:rFonts w:hint="default" w:ascii="Times New Roman" w:hAnsi="Times New Roman" w:eastAsia="宋体" w:cs="Times New Roman"/>
                <w:b/>
                <w:sz w:val="24"/>
                <w:szCs w:val="20"/>
              </w:rPr>
            </w:pPr>
          </w:p>
        </w:tc>
      </w:tr>
      <w:tr w14:paraId="60509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1178FA31">
            <w:pPr>
              <w:jc w:val="center"/>
              <w:rPr>
                <w:rFonts w:hint="default" w:ascii="Times New Roman" w:hAnsi="Times New Roman" w:eastAsia="宋体" w:cs="Times New Roman"/>
                <w:b/>
                <w:sz w:val="24"/>
                <w:szCs w:val="20"/>
              </w:rPr>
            </w:pPr>
          </w:p>
        </w:tc>
        <w:tc>
          <w:tcPr>
            <w:tcW w:w="3449" w:type="dxa"/>
          </w:tcPr>
          <w:p w14:paraId="57D83D27">
            <w:pPr>
              <w:jc w:val="center"/>
              <w:rPr>
                <w:rFonts w:hint="default" w:ascii="Times New Roman" w:hAnsi="Times New Roman" w:eastAsia="宋体" w:cs="Times New Roman"/>
                <w:b/>
                <w:sz w:val="24"/>
                <w:szCs w:val="20"/>
              </w:rPr>
            </w:pPr>
          </w:p>
        </w:tc>
        <w:tc>
          <w:tcPr>
            <w:tcW w:w="2414" w:type="dxa"/>
          </w:tcPr>
          <w:p w14:paraId="35F17D41">
            <w:pPr>
              <w:jc w:val="center"/>
              <w:rPr>
                <w:rFonts w:hint="default" w:ascii="Times New Roman" w:hAnsi="Times New Roman" w:eastAsia="宋体" w:cs="Times New Roman"/>
                <w:b/>
                <w:sz w:val="24"/>
                <w:szCs w:val="20"/>
              </w:rPr>
            </w:pPr>
          </w:p>
        </w:tc>
        <w:tc>
          <w:tcPr>
            <w:tcW w:w="1608" w:type="dxa"/>
          </w:tcPr>
          <w:p w14:paraId="209B692A">
            <w:pPr>
              <w:jc w:val="center"/>
              <w:rPr>
                <w:rFonts w:hint="default" w:ascii="Times New Roman" w:hAnsi="Times New Roman" w:eastAsia="宋体" w:cs="Times New Roman"/>
                <w:b/>
                <w:sz w:val="24"/>
                <w:szCs w:val="20"/>
              </w:rPr>
            </w:pPr>
          </w:p>
        </w:tc>
      </w:tr>
      <w:tr w14:paraId="3E246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7A854B4">
            <w:pPr>
              <w:jc w:val="center"/>
              <w:rPr>
                <w:rFonts w:hint="default" w:ascii="Times New Roman" w:hAnsi="Times New Roman" w:eastAsia="宋体" w:cs="Times New Roman"/>
                <w:b/>
                <w:sz w:val="24"/>
                <w:szCs w:val="20"/>
              </w:rPr>
            </w:pPr>
          </w:p>
        </w:tc>
        <w:tc>
          <w:tcPr>
            <w:tcW w:w="3449" w:type="dxa"/>
          </w:tcPr>
          <w:p w14:paraId="0BE3E0B4">
            <w:pPr>
              <w:jc w:val="center"/>
              <w:rPr>
                <w:rFonts w:hint="default" w:ascii="Times New Roman" w:hAnsi="Times New Roman" w:eastAsia="宋体" w:cs="Times New Roman"/>
                <w:b/>
                <w:sz w:val="24"/>
                <w:szCs w:val="20"/>
              </w:rPr>
            </w:pPr>
          </w:p>
        </w:tc>
        <w:tc>
          <w:tcPr>
            <w:tcW w:w="2414" w:type="dxa"/>
          </w:tcPr>
          <w:p w14:paraId="0E5062A3">
            <w:pPr>
              <w:jc w:val="center"/>
              <w:rPr>
                <w:rFonts w:hint="default" w:ascii="Times New Roman" w:hAnsi="Times New Roman" w:eastAsia="宋体" w:cs="Times New Roman"/>
                <w:b/>
                <w:sz w:val="24"/>
                <w:szCs w:val="20"/>
              </w:rPr>
            </w:pPr>
          </w:p>
        </w:tc>
        <w:tc>
          <w:tcPr>
            <w:tcW w:w="1608" w:type="dxa"/>
          </w:tcPr>
          <w:p w14:paraId="5B6D551C">
            <w:pPr>
              <w:jc w:val="center"/>
              <w:rPr>
                <w:rFonts w:hint="default" w:ascii="Times New Roman" w:hAnsi="Times New Roman" w:eastAsia="宋体" w:cs="Times New Roman"/>
                <w:b/>
                <w:sz w:val="24"/>
                <w:szCs w:val="20"/>
              </w:rPr>
            </w:pPr>
          </w:p>
        </w:tc>
      </w:tr>
      <w:tr w14:paraId="678C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3876ABA">
            <w:pPr>
              <w:jc w:val="center"/>
              <w:rPr>
                <w:rFonts w:hint="default" w:ascii="Times New Roman" w:hAnsi="Times New Roman" w:eastAsia="宋体" w:cs="Times New Roman"/>
                <w:b/>
                <w:sz w:val="24"/>
                <w:szCs w:val="20"/>
              </w:rPr>
            </w:pPr>
          </w:p>
        </w:tc>
        <w:tc>
          <w:tcPr>
            <w:tcW w:w="3449" w:type="dxa"/>
          </w:tcPr>
          <w:p w14:paraId="13DDF06A">
            <w:pPr>
              <w:jc w:val="center"/>
              <w:rPr>
                <w:rFonts w:hint="default" w:ascii="Times New Roman" w:hAnsi="Times New Roman" w:eastAsia="宋体" w:cs="Times New Roman"/>
                <w:b/>
                <w:sz w:val="24"/>
                <w:szCs w:val="20"/>
              </w:rPr>
            </w:pPr>
          </w:p>
        </w:tc>
        <w:tc>
          <w:tcPr>
            <w:tcW w:w="2414" w:type="dxa"/>
          </w:tcPr>
          <w:p w14:paraId="6AC288A7">
            <w:pPr>
              <w:jc w:val="center"/>
              <w:rPr>
                <w:rFonts w:hint="default" w:ascii="Times New Roman" w:hAnsi="Times New Roman" w:eastAsia="宋体" w:cs="Times New Roman"/>
                <w:b/>
                <w:sz w:val="24"/>
                <w:szCs w:val="20"/>
              </w:rPr>
            </w:pPr>
          </w:p>
        </w:tc>
        <w:tc>
          <w:tcPr>
            <w:tcW w:w="1608" w:type="dxa"/>
          </w:tcPr>
          <w:p w14:paraId="180C07E2">
            <w:pPr>
              <w:jc w:val="center"/>
              <w:rPr>
                <w:rFonts w:hint="default" w:ascii="Times New Roman" w:hAnsi="Times New Roman" w:eastAsia="宋体" w:cs="Times New Roman"/>
                <w:b/>
                <w:sz w:val="24"/>
                <w:szCs w:val="20"/>
              </w:rPr>
            </w:pPr>
          </w:p>
        </w:tc>
      </w:tr>
      <w:tr w14:paraId="6B26F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5CF04D9">
            <w:pPr>
              <w:jc w:val="center"/>
              <w:rPr>
                <w:rFonts w:hint="default" w:ascii="Times New Roman" w:hAnsi="Times New Roman" w:eastAsia="宋体" w:cs="Times New Roman"/>
                <w:b/>
                <w:sz w:val="24"/>
                <w:szCs w:val="20"/>
              </w:rPr>
            </w:pPr>
          </w:p>
        </w:tc>
        <w:tc>
          <w:tcPr>
            <w:tcW w:w="3449" w:type="dxa"/>
          </w:tcPr>
          <w:p w14:paraId="5DAD32DE">
            <w:pPr>
              <w:jc w:val="center"/>
              <w:rPr>
                <w:rFonts w:hint="default" w:ascii="Times New Roman" w:hAnsi="Times New Roman" w:eastAsia="宋体" w:cs="Times New Roman"/>
                <w:b/>
                <w:sz w:val="24"/>
                <w:szCs w:val="20"/>
              </w:rPr>
            </w:pPr>
          </w:p>
        </w:tc>
        <w:tc>
          <w:tcPr>
            <w:tcW w:w="2414" w:type="dxa"/>
          </w:tcPr>
          <w:p w14:paraId="04BDBA83">
            <w:pPr>
              <w:jc w:val="center"/>
              <w:rPr>
                <w:rFonts w:hint="default" w:ascii="Times New Roman" w:hAnsi="Times New Roman" w:eastAsia="宋体" w:cs="Times New Roman"/>
                <w:b/>
                <w:sz w:val="24"/>
                <w:szCs w:val="20"/>
              </w:rPr>
            </w:pPr>
          </w:p>
        </w:tc>
        <w:tc>
          <w:tcPr>
            <w:tcW w:w="1608" w:type="dxa"/>
          </w:tcPr>
          <w:p w14:paraId="3ECB400D">
            <w:pPr>
              <w:jc w:val="center"/>
              <w:rPr>
                <w:rFonts w:hint="default" w:ascii="Times New Roman" w:hAnsi="Times New Roman" w:eastAsia="宋体" w:cs="Times New Roman"/>
                <w:b/>
                <w:sz w:val="24"/>
                <w:szCs w:val="20"/>
              </w:rPr>
            </w:pPr>
          </w:p>
        </w:tc>
      </w:tr>
      <w:tr w14:paraId="24B2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10086E05">
            <w:pPr>
              <w:jc w:val="center"/>
              <w:rPr>
                <w:rFonts w:hint="default" w:ascii="Times New Roman" w:hAnsi="Times New Roman" w:eastAsia="宋体" w:cs="Times New Roman"/>
                <w:b/>
                <w:sz w:val="24"/>
                <w:szCs w:val="20"/>
              </w:rPr>
            </w:pPr>
          </w:p>
        </w:tc>
        <w:tc>
          <w:tcPr>
            <w:tcW w:w="3449" w:type="dxa"/>
          </w:tcPr>
          <w:p w14:paraId="0A86612E">
            <w:pPr>
              <w:jc w:val="center"/>
              <w:rPr>
                <w:rFonts w:hint="default" w:ascii="Times New Roman" w:hAnsi="Times New Roman" w:eastAsia="宋体" w:cs="Times New Roman"/>
                <w:b/>
                <w:sz w:val="24"/>
                <w:szCs w:val="20"/>
              </w:rPr>
            </w:pPr>
          </w:p>
        </w:tc>
        <w:tc>
          <w:tcPr>
            <w:tcW w:w="2414" w:type="dxa"/>
          </w:tcPr>
          <w:p w14:paraId="45640FEE">
            <w:pPr>
              <w:jc w:val="center"/>
              <w:rPr>
                <w:rFonts w:hint="default" w:ascii="Times New Roman" w:hAnsi="Times New Roman" w:eastAsia="宋体" w:cs="Times New Roman"/>
                <w:b/>
                <w:sz w:val="24"/>
                <w:szCs w:val="20"/>
              </w:rPr>
            </w:pPr>
          </w:p>
        </w:tc>
        <w:tc>
          <w:tcPr>
            <w:tcW w:w="1608" w:type="dxa"/>
          </w:tcPr>
          <w:p w14:paraId="5E388AFF">
            <w:pPr>
              <w:jc w:val="center"/>
              <w:rPr>
                <w:rFonts w:hint="default" w:ascii="Times New Roman" w:hAnsi="Times New Roman" w:eastAsia="宋体" w:cs="Times New Roman"/>
                <w:b/>
                <w:sz w:val="24"/>
                <w:szCs w:val="20"/>
              </w:rPr>
            </w:pPr>
          </w:p>
        </w:tc>
      </w:tr>
      <w:tr w14:paraId="77AF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58BC574F">
            <w:pPr>
              <w:jc w:val="center"/>
              <w:rPr>
                <w:rFonts w:hint="default" w:ascii="Times New Roman" w:hAnsi="Times New Roman" w:eastAsia="宋体" w:cs="Times New Roman"/>
                <w:b/>
                <w:sz w:val="24"/>
                <w:szCs w:val="20"/>
              </w:rPr>
            </w:pPr>
          </w:p>
        </w:tc>
        <w:tc>
          <w:tcPr>
            <w:tcW w:w="3449" w:type="dxa"/>
          </w:tcPr>
          <w:p w14:paraId="37AA0029">
            <w:pPr>
              <w:jc w:val="center"/>
              <w:rPr>
                <w:rFonts w:hint="default" w:ascii="Times New Roman" w:hAnsi="Times New Roman" w:eastAsia="宋体" w:cs="Times New Roman"/>
                <w:b/>
                <w:sz w:val="24"/>
                <w:szCs w:val="20"/>
              </w:rPr>
            </w:pPr>
          </w:p>
        </w:tc>
        <w:tc>
          <w:tcPr>
            <w:tcW w:w="2414" w:type="dxa"/>
          </w:tcPr>
          <w:p w14:paraId="0A21848B">
            <w:pPr>
              <w:jc w:val="center"/>
              <w:rPr>
                <w:rFonts w:hint="default" w:ascii="Times New Roman" w:hAnsi="Times New Roman" w:eastAsia="宋体" w:cs="Times New Roman"/>
                <w:b/>
                <w:sz w:val="24"/>
                <w:szCs w:val="20"/>
              </w:rPr>
            </w:pPr>
          </w:p>
        </w:tc>
        <w:tc>
          <w:tcPr>
            <w:tcW w:w="1608" w:type="dxa"/>
          </w:tcPr>
          <w:p w14:paraId="096D2C67">
            <w:pPr>
              <w:jc w:val="center"/>
              <w:rPr>
                <w:rFonts w:hint="default" w:ascii="Times New Roman" w:hAnsi="Times New Roman" w:eastAsia="宋体" w:cs="Times New Roman"/>
                <w:b/>
                <w:sz w:val="24"/>
                <w:szCs w:val="20"/>
              </w:rPr>
            </w:pPr>
          </w:p>
        </w:tc>
      </w:tr>
      <w:tr w14:paraId="5902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75CC9090">
            <w:pPr>
              <w:jc w:val="center"/>
              <w:rPr>
                <w:rFonts w:hint="default" w:ascii="Times New Roman" w:hAnsi="Times New Roman" w:eastAsia="宋体" w:cs="Times New Roman"/>
                <w:b/>
                <w:sz w:val="24"/>
                <w:szCs w:val="20"/>
              </w:rPr>
            </w:pPr>
          </w:p>
        </w:tc>
        <w:tc>
          <w:tcPr>
            <w:tcW w:w="3449" w:type="dxa"/>
          </w:tcPr>
          <w:p w14:paraId="39A4611D">
            <w:pPr>
              <w:jc w:val="center"/>
              <w:rPr>
                <w:rFonts w:hint="default" w:ascii="Times New Roman" w:hAnsi="Times New Roman" w:eastAsia="宋体" w:cs="Times New Roman"/>
                <w:b/>
                <w:sz w:val="24"/>
                <w:szCs w:val="20"/>
              </w:rPr>
            </w:pPr>
          </w:p>
        </w:tc>
        <w:tc>
          <w:tcPr>
            <w:tcW w:w="2414" w:type="dxa"/>
          </w:tcPr>
          <w:p w14:paraId="652DCC21">
            <w:pPr>
              <w:jc w:val="center"/>
              <w:rPr>
                <w:rFonts w:hint="default" w:ascii="Times New Roman" w:hAnsi="Times New Roman" w:eastAsia="宋体" w:cs="Times New Roman"/>
                <w:b/>
                <w:sz w:val="24"/>
                <w:szCs w:val="20"/>
              </w:rPr>
            </w:pPr>
          </w:p>
        </w:tc>
        <w:tc>
          <w:tcPr>
            <w:tcW w:w="1608" w:type="dxa"/>
          </w:tcPr>
          <w:p w14:paraId="3527D037">
            <w:pPr>
              <w:jc w:val="center"/>
              <w:rPr>
                <w:rFonts w:hint="default" w:ascii="Times New Roman" w:hAnsi="Times New Roman" w:eastAsia="宋体" w:cs="Times New Roman"/>
                <w:b/>
                <w:sz w:val="24"/>
                <w:szCs w:val="20"/>
              </w:rPr>
            </w:pPr>
          </w:p>
        </w:tc>
      </w:tr>
      <w:tr w14:paraId="5EC8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18B84CE">
            <w:pPr>
              <w:jc w:val="center"/>
              <w:rPr>
                <w:rFonts w:hint="default" w:ascii="Times New Roman" w:hAnsi="Times New Roman" w:eastAsia="宋体" w:cs="Times New Roman"/>
                <w:b/>
                <w:sz w:val="24"/>
                <w:szCs w:val="20"/>
              </w:rPr>
            </w:pPr>
          </w:p>
        </w:tc>
        <w:tc>
          <w:tcPr>
            <w:tcW w:w="3449" w:type="dxa"/>
          </w:tcPr>
          <w:p w14:paraId="518A86A9">
            <w:pPr>
              <w:jc w:val="center"/>
              <w:rPr>
                <w:rFonts w:hint="default" w:ascii="Times New Roman" w:hAnsi="Times New Roman" w:eastAsia="宋体" w:cs="Times New Roman"/>
                <w:b/>
                <w:sz w:val="24"/>
                <w:szCs w:val="20"/>
              </w:rPr>
            </w:pPr>
          </w:p>
        </w:tc>
        <w:tc>
          <w:tcPr>
            <w:tcW w:w="2414" w:type="dxa"/>
          </w:tcPr>
          <w:p w14:paraId="49A8A0AA">
            <w:pPr>
              <w:jc w:val="center"/>
              <w:rPr>
                <w:rFonts w:hint="default" w:ascii="Times New Roman" w:hAnsi="Times New Roman" w:eastAsia="宋体" w:cs="Times New Roman"/>
                <w:b/>
                <w:sz w:val="24"/>
                <w:szCs w:val="20"/>
              </w:rPr>
            </w:pPr>
          </w:p>
        </w:tc>
        <w:tc>
          <w:tcPr>
            <w:tcW w:w="1608" w:type="dxa"/>
          </w:tcPr>
          <w:p w14:paraId="662B9A68">
            <w:pPr>
              <w:jc w:val="center"/>
              <w:rPr>
                <w:rFonts w:hint="default" w:ascii="Times New Roman" w:hAnsi="Times New Roman" w:eastAsia="宋体" w:cs="Times New Roman"/>
                <w:b/>
                <w:sz w:val="24"/>
                <w:szCs w:val="20"/>
              </w:rPr>
            </w:pPr>
          </w:p>
        </w:tc>
      </w:tr>
      <w:tr w14:paraId="5473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452E23B7">
            <w:pPr>
              <w:jc w:val="center"/>
              <w:rPr>
                <w:rFonts w:hint="default" w:ascii="Times New Roman" w:hAnsi="Times New Roman" w:eastAsia="宋体" w:cs="Times New Roman"/>
                <w:b/>
                <w:sz w:val="24"/>
                <w:szCs w:val="20"/>
              </w:rPr>
            </w:pPr>
          </w:p>
        </w:tc>
        <w:tc>
          <w:tcPr>
            <w:tcW w:w="3449" w:type="dxa"/>
          </w:tcPr>
          <w:p w14:paraId="4389B2DD">
            <w:pPr>
              <w:jc w:val="center"/>
              <w:rPr>
                <w:rFonts w:hint="default" w:ascii="Times New Roman" w:hAnsi="Times New Roman" w:eastAsia="宋体" w:cs="Times New Roman"/>
                <w:b/>
                <w:sz w:val="24"/>
                <w:szCs w:val="20"/>
              </w:rPr>
            </w:pPr>
          </w:p>
        </w:tc>
        <w:tc>
          <w:tcPr>
            <w:tcW w:w="2414" w:type="dxa"/>
          </w:tcPr>
          <w:p w14:paraId="056FD951">
            <w:pPr>
              <w:jc w:val="center"/>
              <w:rPr>
                <w:rFonts w:hint="default" w:ascii="Times New Roman" w:hAnsi="Times New Roman" w:eastAsia="宋体" w:cs="Times New Roman"/>
                <w:b/>
                <w:sz w:val="24"/>
                <w:szCs w:val="20"/>
              </w:rPr>
            </w:pPr>
          </w:p>
        </w:tc>
        <w:tc>
          <w:tcPr>
            <w:tcW w:w="1608" w:type="dxa"/>
          </w:tcPr>
          <w:p w14:paraId="161E3492">
            <w:pPr>
              <w:jc w:val="center"/>
              <w:rPr>
                <w:rFonts w:hint="default" w:ascii="Times New Roman" w:hAnsi="Times New Roman" w:eastAsia="宋体" w:cs="Times New Roman"/>
                <w:b/>
                <w:sz w:val="24"/>
                <w:szCs w:val="20"/>
              </w:rPr>
            </w:pPr>
          </w:p>
        </w:tc>
      </w:tr>
      <w:tr w14:paraId="7F349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4DB87400">
            <w:pPr>
              <w:jc w:val="center"/>
              <w:rPr>
                <w:rFonts w:hint="default" w:ascii="Times New Roman" w:hAnsi="Times New Roman" w:eastAsia="宋体" w:cs="Times New Roman"/>
                <w:b/>
                <w:sz w:val="24"/>
                <w:szCs w:val="20"/>
              </w:rPr>
            </w:pPr>
          </w:p>
        </w:tc>
        <w:tc>
          <w:tcPr>
            <w:tcW w:w="3449" w:type="dxa"/>
          </w:tcPr>
          <w:p w14:paraId="29E010AB">
            <w:pPr>
              <w:jc w:val="center"/>
              <w:rPr>
                <w:rFonts w:hint="default" w:ascii="Times New Roman" w:hAnsi="Times New Roman" w:eastAsia="宋体" w:cs="Times New Roman"/>
                <w:b/>
                <w:sz w:val="24"/>
                <w:szCs w:val="20"/>
              </w:rPr>
            </w:pPr>
          </w:p>
        </w:tc>
        <w:tc>
          <w:tcPr>
            <w:tcW w:w="2414" w:type="dxa"/>
          </w:tcPr>
          <w:p w14:paraId="7694E54F">
            <w:pPr>
              <w:jc w:val="center"/>
              <w:rPr>
                <w:rFonts w:hint="default" w:ascii="Times New Roman" w:hAnsi="Times New Roman" w:eastAsia="宋体" w:cs="Times New Roman"/>
                <w:b/>
                <w:sz w:val="24"/>
                <w:szCs w:val="20"/>
              </w:rPr>
            </w:pPr>
          </w:p>
        </w:tc>
        <w:tc>
          <w:tcPr>
            <w:tcW w:w="1608" w:type="dxa"/>
          </w:tcPr>
          <w:p w14:paraId="7504602C">
            <w:pPr>
              <w:jc w:val="center"/>
              <w:rPr>
                <w:rFonts w:hint="default" w:ascii="Times New Roman" w:hAnsi="Times New Roman" w:eastAsia="宋体" w:cs="Times New Roman"/>
                <w:b/>
                <w:sz w:val="24"/>
                <w:szCs w:val="20"/>
              </w:rPr>
            </w:pPr>
          </w:p>
        </w:tc>
      </w:tr>
      <w:tr w14:paraId="351B0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121203C">
            <w:pPr>
              <w:jc w:val="center"/>
              <w:rPr>
                <w:rFonts w:hint="default" w:ascii="Times New Roman" w:hAnsi="Times New Roman" w:eastAsia="宋体" w:cs="Times New Roman"/>
                <w:b/>
                <w:sz w:val="24"/>
                <w:szCs w:val="20"/>
              </w:rPr>
            </w:pPr>
          </w:p>
        </w:tc>
        <w:tc>
          <w:tcPr>
            <w:tcW w:w="3449" w:type="dxa"/>
          </w:tcPr>
          <w:p w14:paraId="6247B51F">
            <w:pPr>
              <w:jc w:val="center"/>
              <w:rPr>
                <w:rFonts w:hint="default" w:ascii="Times New Roman" w:hAnsi="Times New Roman" w:eastAsia="宋体" w:cs="Times New Roman"/>
                <w:b/>
                <w:sz w:val="24"/>
                <w:szCs w:val="20"/>
              </w:rPr>
            </w:pPr>
          </w:p>
        </w:tc>
        <w:tc>
          <w:tcPr>
            <w:tcW w:w="2414" w:type="dxa"/>
          </w:tcPr>
          <w:p w14:paraId="2F5B6174">
            <w:pPr>
              <w:jc w:val="center"/>
              <w:rPr>
                <w:rFonts w:hint="default" w:ascii="Times New Roman" w:hAnsi="Times New Roman" w:eastAsia="宋体" w:cs="Times New Roman"/>
                <w:b/>
                <w:sz w:val="24"/>
                <w:szCs w:val="20"/>
              </w:rPr>
            </w:pPr>
          </w:p>
        </w:tc>
        <w:tc>
          <w:tcPr>
            <w:tcW w:w="1608" w:type="dxa"/>
          </w:tcPr>
          <w:p w14:paraId="41235D2F">
            <w:pPr>
              <w:jc w:val="center"/>
              <w:rPr>
                <w:rFonts w:hint="default" w:ascii="Times New Roman" w:hAnsi="Times New Roman" w:eastAsia="宋体" w:cs="Times New Roman"/>
                <w:b/>
                <w:sz w:val="24"/>
                <w:szCs w:val="20"/>
              </w:rPr>
            </w:pPr>
          </w:p>
        </w:tc>
      </w:tr>
    </w:tbl>
    <w:p w14:paraId="238EE586">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21287310">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280E4A8A">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2073C1B6">
      <w:pPr>
        <w:pStyle w:val="24"/>
        <w:rPr>
          <w:rFonts w:hint="default" w:ascii="Times New Roman" w:hAnsi="Times New Roman" w:cs="Times New Roman"/>
        </w:rPr>
      </w:pPr>
    </w:p>
    <w:p w14:paraId="4DF33DBF">
      <w:pPr>
        <w:pStyle w:val="24"/>
        <w:rPr>
          <w:rFonts w:hint="default" w:ascii="Times New Roman" w:hAnsi="Times New Roman" w:cs="Times New Roman"/>
        </w:rPr>
      </w:pPr>
    </w:p>
    <w:p w14:paraId="3CC2073A">
      <w:pPr>
        <w:pStyle w:val="24"/>
        <w:rPr>
          <w:rFonts w:hint="default" w:ascii="Times New Roman" w:hAnsi="Times New Roman" w:cs="Times New Roman"/>
        </w:rPr>
      </w:pPr>
    </w:p>
    <w:p w14:paraId="12962797">
      <w:pPr>
        <w:pStyle w:val="24"/>
        <w:rPr>
          <w:rFonts w:hint="default" w:ascii="Times New Roman" w:hAnsi="Times New Roman" w:cs="Times New Roman"/>
        </w:rPr>
      </w:pPr>
    </w:p>
    <w:p w14:paraId="0F2AC935">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附件6 202</w:t>
      </w:r>
      <w:r>
        <w:rPr>
          <w:rFonts w:hint="eastAsia" w:cs="Times New Roman"/>
          <w:b/>
          <w:bCs/>
          <w:color w:val="000000"/>
          <w:sz w:val="24"/>
          <w:szCs w:val="24"/>
          <w:lang w:val="en-US" w:eastAsia="zh-CN"/>
        </w:rPr>
        <w:t>3</w:t>
      </w:r>
      <w:r>
        <w:rPr>
          <w:rFonts w:hint="default" w:ascii="Times New Roman" w:hAnsi="Times New Roman" w:eastAsia="宋体" w:cs="Times New Roman"/>
          <w:b/>
          <w:bCs/>
          <w:color w:val="000000"/>
          <w:sz w:val="24"/>
          <w:szCs w:val="24"/>
        </w:rPr>
        <w:t>年1月1日以来同类项目业绩一览表</w:t>
      </w:r>
    </w:p>
    <w:p w14:paraId="1D1DFD97">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项目名称：</w:t>
      </w:r>
      <w:r>
        <w:rPr>
          <w:rFonts w:hint="eastAsia" w:cs="Times New Roman"/>
          <w:b w:val="0"/>
          <w:bCs w:val="0"/>
          <w:color w:val="000000"/>
          <w:sz w:val="24"/>
          <w:szCs w:val="24"/>
          <w:u w:val="single"/>
          <w:lang w:val="en-US" w:eastAsia="zh-CN"/>
        </w:rPr>
        <w:t>济南成型厂颗粒物在线监测设备更新技改项目</w:t>
      </w:r>
    </w:p>
    <w:tbl>
      <w:tblPr>
        <w:tblStyle w:val="48"/>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0A64F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59AF74C3">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序号</w:t>
            </w:r>
          </w:p>
        </w:tc>
        <w:tc>
          <w:tcPr>
            <w:tcW w:w="2082" w:type="dxa"/>
            <w:vAlign w:val="center"/>
          </w:tcPr>
          <w:p w14:paraId="75094350">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采购单位</w:t>
            </w:r>
          </w:p>
        </w:tc>
        <w:tc>
          <w:tcPr>
            <w:tcW w:w="1355" w:type="dxa"/>
            <w:vAlign w:val="center"/>
          </w:tcPr>
          <w:p w14:paraId="2D3968FD">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项目名称</w:t>
            </w:r>
          </w:p>
          <w:p w14:paraId="6A9DA7A2">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（万元）</w:t>
            </w:r>
          </w:p>
        </w:tc>
        <w:tc>
          <w:tcPr>
            <w:tcW w:w="826" w:type="dxa"/>
            <w:vAlign w:val="center"/>
          </w:tcPr>
          <w:p w14:paraId="2C356557">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数量</w:t>
            </w:r>
          </w:p>
        </w:tc>
        <w:tc>
          <w:tcPr>
            <w:tcW w:w="1320" w:type="dxa"/>
            <w:vAlign w:val="center"/>
          </w:tcPr>
          <w:p w14:paraId="1AC38199">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合同金额</w:t>
            </w:r>
          </w:p>
        </w:tc>
        <w:tc>
          <w:tcPr>
            <w:tcW w:w="1023" w:type="dxa"/>
            <w:vAlign w:val="center"/>
          </w:tcPr>
          <w:p w14:paraId="1EBCCD46">
            <w:pPr>
              <w:jc w:val="center"/>
              <w:rPr>
                <w:rFonts w:hint="default" w:ascii="Times New Roman" w:hAnsi="Times New Roman" w:eastAsia="宋体" w:cs="Times New Roman"/>
                <w:b/>
                <w:szCs w:val="21"/>
              </w:rPr>
            </w:pPr>
            <w:r>
              <w:rPr>
                <w:rFonts w:hint="default" w:ascii="Times New Roman" w:hAnsi="Times New Roman" w:eastAsia="宋体" w:cs="Times New Roman"/>
                <w:b/>
                <w:szCs w:val="21"/>
              </w:rPr>
              <w:t>合同签订时间</w:t>
            </w:r>
          </w:p>
        </w:tc>
        <w:tc>
          <w:tcPr>
            <w:tcW w:w="1590" w:type="dxa"/>
            <w:vAlign w:val="center"/>
          </w:tcPr>
          <w:p w14:paraId="5CC752F8">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联系人及</w:t>
            </w:r>
          </w:p>
          <w:p w14:paraId="6FD2A0D3">
            <w:pPr>
              <w:ind w:left="420" w:hanging="420"/>
              <w:jc w:val="center"/>
              <w:rPr>
                <w:rFonts w:hint="default" w:ascii="Times New Roman" w:hAnsi="Times New Roman" w:eastAsia="宋体" w:cs="Times New Roman"/>
                <w:b/>
                <w:szCs w:val="21"/>
              </w:rPr>
            </w:pPr>
            <w:r>
              <w:rPr>
                <w:rFonts w:hint="default" w:ascii="Times New Roman" w:hAnsi="Times New Roman" w:eastAsia="宋体" w:cs="Times New Roman"/>
                <w:b/>
                <w:szCs w:val="21"/>
              </w:rPr>
              <w:t>联系电话</w:t>
            </w:r>
          </w:p>
        </w:tc>
      </w:tr>
      <w:tr w14:paraId="34D8E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49619A7">
            <w:pPr>
              <w:ind w:left="420" w:hanging="420"/>
              <w:rPr>
                <w:rFonts w:hint="default" w:ascii="Times New Roman" w:hAnsi="Times New Roman" w:eastAsia="宋体" w:cs="Times New Roman"/>
                <w:b/>
                <w:szCs w:val="20"/>
              </w:rPr>
            </w:pPr>
          </w:p>
        </w:tc>
        <w:tc>
          <w:tcPr>
            <w:tcW w:w="2082" w:type="dxa"/>
          </w:tcPr>
          <w:p w14:paraId="4E6CA710">
            <w:pPr>
              <w:ind w:left="420" w:hanging="420"/>
              <w:rPr>
                <w:rFonts w:hint="default" w:ascii="Times New Roman" w:hAnsi="Times New Roman" w:eastAsia="宋体" w:cs="Times New Roman"/>
                <w:b/>
                <w:szCs w:val="20"/>
              </w:rPr>
            </w:pPr>
          </w:p>
        </w:tc>
        <w:tc>
          <w:tcPr>
            <w:tcW w:w="1355" w:type="dxa"/>
          </w:tcPr>
          <w:p w14:paraId="09812018">
            <w:pPr>
              <w:ind w:left="420" w:hanging="420"/>
              <w:rPr>
                <w:rFonts w:hint="default" w:ascii="Times New Roman" w:hAnsi="Times New Roman" w:eastAsia="宋体" w:cs="Times New Roman"/>
                <w:b/>
                <w:szCs w:val="20"/>
              </w:rPr>
            </w:pPr>
          </w:p>
        </w:tc>
        <w:tc>
          <w:tcPr>
            <w:tcW w:w="826" w:type="dxa"/>
          </w:tcPr>
          <w:p w14:paraId="3AADAAA2">
            <w:pPr>
              <w:ind w:left="420" w:hanging="420"/>
              <w:rPr>
                <w:rFonts w:hint="default" w:ascii="Times New Roman" w:hAnsi="Times New Roman" w:eastAsia="宋体" w:cs="Times New Roman"/>
                <w:b/>
                <w:szCs w:val="20"/>
              </w:rPr>
            </w:pPr>
          </w:p>
        </w:tc>
        <w:tc>
          <w:tcPr>
            <w:tcW w:w="1320" w:type="dxa"/>
          </w:tcPr>
          <w:p w14:paraId="2B651352">
            <w:pPr>
              <w:ind w:left="420" w:hanging="420"/>
              <w:rPr>
                <w:rFonts w:hint="default" w:ascii="Times New Roman" w:hAnsi="Times New Roman" w:eastAsia="宋体" w:cs="Times New Roman"/>
                <w:b/>
                <w:szCs w:val="20"/>
              </w:rPr>
            </w:pPr>
          </w:p>
        </w:tc>
        <w:tc>
          <w:tcPr>
            <w:tcW w:w="1023" w:type="dxa"/>
          </w:tcPr>
          <w:p w14:paraId="2A6DC3AC">
            <w:pPr>
              <w:ind w:left="420" w:hanging="420"/>
              <w:rPr>
                <w:rFonts w:hint="default" w:ascii="Times New Roman" w:hAnsi="Times New Roman" w:eastAsia="宋体" w:cs="Times New Roman"/>
                <w:b/>
                <w:szCs w:val="20"/>
              </w:rPr>
            </w:pPr>
          </w:p>
        </w:tc>
        <w:tc>
          <w:tcPr>
            <w:tcW w:w="1590" w:type="dxa"/>
          </w:tcPr>
          <w:p w14:paraId="45695992">
            <w:pPr>
              <w:ind w:left="420" w:hanging="420"/>
              <w:rPr>
                <w:rFonts w:hint="default" w:ascii="Times New Roman" w:hAnsi="Times New Roman" w:eastAsia="宋体" w:cs="Times New Roman"/>
                <w:b/>
                <w:szCs w:val="20"/>
              </w:rPr>
            </w:pPr>
          </w:p>
        </w:tc>
      </w:tr>
      <w:tr w14:paraId="7751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E925A3B">
            <w:pPr>
              <w:ind w:left="420" w:hanging="420"/>
              <w:rPr>
                <w:rFonts w:hint="default" w:ascii="Times New Roman" w:hAnsi="Times New Roman" w:eastAsia="宋体" w:cs="Times New Roman"/>
                <w:b/>
                <w:szCs w:val="20"/>
              </w:rPr>
            </w:pPr>
          </w:p>
        </w:tc>
        <w:tc>
          <w:tcPr>
            <w:tcW w:w="2082" w:type="dxa"/>
          </w:tcPr>
          <w:p w14:paraId="5832654B">
            <w:pPr>
              <w:ind w:left="420" w:hanging="420"/>
              <w:rPr>
                <w:rFonts w:hint="default" w:ascii="Times New Roman" w:hAnsi="Times New Roman" w:eastAsia="宋体" w:cs="Times New Roman"/>
                <w:b/>
                <w:szCs w:val="20"/>
              </w:rPr>
            </w:pPr>
          </w:p>
        </w:tc>
        <w:tc>
          <w:tcPr>
            <w:tcW w:w="1355" w:type="dxa"/>
          </w:tcPr>
          <w:p w14:paraId="4D8E5B6B">
            <w:pPr>
              <w:ind w:left="420" w:hanging="420"/>
              <w:rPr>
                <w:rFonts w:hint="default" w:ascii="Times New Roman" w:hAnsi="Times New Roman" w:eastAsia="宋体" w:cs="Times New Roman"/>
                <w:b/>
                <w:szCs w:val="20"/>
              </w:rPr>
            </w:pPr>
          </w:p>
        </w:tc>
        <w:tc>
          <w:tcPr>
            <w:tcW w:w="826" w:type="dxa"/>
          </w:tcPr>
          <w:p w14:paraId="12A17531">
            <w:pPr>
              <w:ind w:left="420" w:hanging="420"/>
              <w:rPr>
                <w:rFonts w:hint="default" w:ascii="Times New Roman" w:hAnsi="Times New Roman" w:eastAsia="宋体" w:cs="Times New Roman"/>
                <w:b/>
                <w:szCs w:val="20"/>
              </w:rPr>
            </w:pPr>
          </w:p>
        </w:tc>
        <w:tc>
          <w:tcPr>
            <w:tcW w:w="1320" w:type="dxa"/>
          </w:tcPr>
          <w:p w14:paraId="3535AF0B">
            <w:pPr>
              <w:ind w:left="420" w:hanging="420"/>
              <w:rPr>
                <w:rFonts w:hint="default" w:ascii="Times New Roman" w:hAnsi="Times New Roman" w:eastAsia="宋体" w:cs="Times New Roman"/>
                <w:b/>
                <w:szCs w:val="20"/>
              </w:rPr>
            </w:pPr>
          </w:p>
        </w:tc>
        <w:tc>
          <w:tcPr>
            <w:tcW w:w="1023" w:type="dxa"/>
          </w:tcPr>
          <w:p w14:paraId="2A74A118">
            <w:pPr>
              <w:ind w:left="420" w:hanging="420"/>
              <w:rPr>
                <w:rFonts w:hint="default" w:ascii="Times New Roman" w:hAnsi="Times New Roman" w:eastAsia="宋体" w:cs="Times New Roman"/>
                <w:b/>
                <w:szCs w:val="20"/>
              </w:rPr>
            </w:pPr>
          </w:p>
        </w:tc>
        <w:tc>
          <w:tcPr>
            <w:tcW w:w="1590" w:type="dxa"/>
          </w:tcPr>
          <w:p w14:paraId="51FD6679">
            <w:pPr>
              <w:ind w:left="420" w:hanging="420"/>
              <w:rPr>
                <w:rFonts w:hint="default" w:ascii="Times New Roman" w:hAnsi="Times New Roman" w:eastAsia="宋体" w:cs="Times New Roman"/>
                <w:b/>
                <w:szCs w:val="20"/>
              </w:rPr>
            </w:pPr>
          </w:p>
        </w:tc>
      </w:tr>
      <w:tr w14:paraId="30389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087C35F">
            <w:pPr>
              <w:ind w:left="420" w:hanging="420"/>
              <w:rPr>
                <w:rFonts w:hint="default" w:ascii="Times New Roman" w:hAnsi="Times New Roman" w:eastAsia="宋体" w:cs="Times New Roman"/>
                <w:b/>
                <w:szCs w:val="20"/>
              </w:rPr>
            </w:pPr>
          </w:p>
        </w:tc>
        <w:tc>
          <w:tcPr>
            <w:tcW w:w="2082" w:type="dxa"/>
          </w:tcPr>
          <w:p w14:paraId="65F86C31">
            <w:pPr>
              <w:ind w:left="420" w:hanging="420"/>
              <w:rPr>
                <w:rFonts w:hint="default" w:ascii="Times New Roman" w:hAnsi="Times New Roman" w:eastAsia="宋体" w:cs="Times New Roman"/>
                <w:b/>
                <w:szCs w:val="20"/>
              </w:rPr>
            </w:pPr>
          </w:p>
        </w:tc>
        <w:tc>
          <w:tcPr>
            <w:tcW w:w="1355" w:type="dxa"/>
          </w:tcPr>
          <w:p w14:paraId="14095C55">
            <w:pPr>
              <w:ind w:left="420" w:hanging="420"/>
              <w:rPr>
                <w:rFonts w:hint="default" w:ascii="Times New Roman" w:hAnsi="Times New Roman" w:eastAsia="宋体" w:cs="Times New Roman"/>
                <w:b/>
                <w:szCs w:val="20"/>
              </w:rPr>
            </w:pPr>
          </w:p>
        </w:tc>
        <w:tc>
          <w:tcPr>
            <w:tcW w:w="826" w:type="dxa"/>
          </w:tcPr>
          <w:p w14:paraId="4DE15404">
            <w:pPr>
              <w:ind w:left="420" w:hanging="420"/>
              <w:rPr>
                <w:rFonts w:hint="default" w:ascii="Times New Roman" w:hAnsi="Times New Roman" w:eastAsia="宋体" w:cs="Times New Roman"/>
                <w:b/>
                <w:szCs w:val="20"/>
              </w:rPr>
            </w:pPr>
          </w:p>
        </w:tc>
        <w:tc>
          <w:tcPr>
            <w:tcW w:w="1320" w:type="dxa"/>
          </w:tcPr>
          <w:p w14:paraId="3039A3BE">
            <w:pPr>
              <w:ind w:left="420" w:hanging="420"/>
              <w:rPr>
                <w:rFonts w:hint="default" w:ascii="Times New Roman" w:hAnsi="Times New Roman" w:eastAsia="宋体" w:cs="Times New Roman"/>
                <w:b/>
                <w:szCs w:val="20"/>
              </w:rPr>
            </w:pPr>
          </w:p>
        </w:tc>
        <w:tc>
          <w:tcPr>
            <w:tcW w:w="1023" w:type="dxa"/>
          </w:tcPr>
          <w:p w14:paraId="65B68FD7">
            <w:pPr>
              <w:ind w:left="420" w:hanging="420"/>
              <w:rPr>
                <w:rFonts w:hint="default" w:ascii="Times New Roman" w:hAnsi="Times New Roman" w:eastAsia="宋体" w:cs="Times New Roman"/>
                <w:b/>
                <w:szCs w:val="20"/>
              </w:rPr>
            </w:pPr>
          </w:p>
        </w:tc>
        <w:tc>
          <w:tcPr>
            <w:tcW w:w="1590" w:type="dxa"/>
          </w:tcPr>
          <w:p w14:paraId="06C93A22">
            <w:pPr>
              <w:ind w:left="420" w:hanging="420"/>
              <w:rPr>
                <w:rFonts w:hint="default" w:ascii="Times New Roman" w:hAnsi="Times New Roman" w:eastAsia="宋体" w:cs="Times New Roman"/>
                <w:b/>
                <w:szCs w:val="20"/>
              </w:rPr>
            </w:pPr>
          </w:p>
        </w:tc>
      </w:tr>
      <w:tr w14:paraId="662B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8AB69E7">
            <w:pPr>
              <w:ind w:left="420" w:hanging="420"/>
              <w:rPr>
                <w:rFonts w:hint="default" w:ascii="Times New Roman" w:hAnsi="Times New Roman" w:eastAsia="宋体" w:cs="Times New Roman"/>
                <w:b/>
                <w:szCs w:val="20"/>
              </w:rPr>
            </w:pPr>
          </w:p>
        </w:tc>
        <w:tc>
          <w:tcPr>
            <w:tcW w:w="2082" w:type="dxa"/>
          </w:tcPr>
          <w:p w14:paraId="587A84E1">
            <w:pPr>
              <w:ind w:left="420" w:hanging="420"/>
              <w:rPr>
                <w:rFonts w:hint="default" w:ascii="Times New Roman" w:hAnsi="Times New Roman" w:eastAsia="宋体" w:cs="Times New Roman"/>
                <w:b/>
                <w:szCs w:val="20"/>
              </w:rPr>
            </w:pPr>
          </w:p>
        </w:tc>
        <w:tc>
          <w:tcPr>
            <w:tcW w:w="1355" w:type="dxa"/>
          </w:tcPr>
          <w:p w14:paraId="6DF97D93">
            <w:pPr>
              <w:ind w:left="420" w:hanging="420"/>
              <w:rPr>
                <w:rFonts w:hint="default" w:ascii="Times New Roman" w:hAnsi="Times New Roman" w:eastAsia="宋体" w:cs="Times New Roman"/>
                <w:b/>
                <w:szCs w:val="20"/>
              </w:rPr>
            </w:pPr>
          </w:p>
        </w:tc>
        <w:tc>
          <w:tcPr>
            <w:tcW w:w="826" w:type="dxa"/>
          </w:tcPr>
          <w:p w14:paraId="3170D950">
            <w:pPr>
              <w:ind w:left="420" w:hanging="420"/>
              <w:rPr>
                <w:rFonts w:hint="default" w:ascii="Times New Roman" w:hAnsi="Times New Roman" w:eastAsia="宋体" w:cs="Times New Roman"/>
                <w:b/>
                <w:szCs w:val="20"/>
              </w:rPr>
            </w:pPr>
          </w:p>
        </w:tc>
        <w:tc>
          <w:tcPr>
            <w:tcW w:w="1320" w:type="dxa"/>
          </w:tcPr>
          <w:p w14:paraId="56297506">
            <w:pPr>
              <w:ind w:left="420" w:hanging="420"/>
              <w:rPr>
                <w:rFonts w:hint="default" w:ascii="Times New Roman" w:hAnsi="Times New Roman" w:eastAsia="宋体" w:cs="Times New Roman"/>
                <w:b/>
                <w:szCs w:val="20"/>
              </w:rPr>
            </w:pPr>
          </w:p>
        </w:tc>
        <w:tc>
          <w:tcPr>
            <w:tcW w:w="1023" w:type="dxa"/>
          </w:tcPr>
          <w:p w14:paraId="3EA5741F">
            <w:pPr>
              <w:ind w:left="420" w:hanging="420"/>
              <w:rPr>
                <w:rFonts w:hint="default" w:ascii="Times New Roman" w:hAnsi="Times New Roman" w:eastAsia="宋体" w:cs="Times New Roman"/>
                <w:b/>
                <w:szCs w:val="20"/>
              </w:rPr>
            </w:pPr>
          </w:p>
        </w:tc>
        <w:tc>
          <w:tcPr>
            <w:tcW w:w="1590" w:type="dxa"/>
          </w:tcPr>
          <w:p w14:paraId="698E88F1">
            <w:pPr>
              <w:ind w:left="420" w:hanging="420"/>
              <w:rPr>
                <w:rFonts w:hint="default" w:ascii="Times New Roman" w:hAnsi="Times New Roman" w:eastAsia="宋体" w:cs="Times New Roman"/>
                <w:b/>
                <w:szCs w:val="20"/>
              </w:rPr>
            </w:pPr>
          </w:p>
        </w:tc>
      </w:tr>
      <w:tr w14:paraId="439D7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C7F8A78">
            <w:pPr>
              <w:ind w:left="420" w:hanging="420"/>
              <w:rPr>
                <w:rFonts w:hint="default" w:ascii="Times New Roman" w:hAnsi="Times New Roman" w:eastAsia="宋体" w:cs="Times New Roman"/>
                <w:b/>
                <w:szCs w:val="20"/>
              </w:rPr>
            </w:pPr>
          </w:p>
        </w:tc>
        <w:tc>
          <w:tcPr>
            <w:tcW w:w="2082" w:type="dxa"/>
          </w:tcPr>
          <w:p w14:paraId="62A01CC0">
            <w:pPr>
              <w:ind w:left="420" w:hanging="420"/>
              <w:rPr>
                <w:rFonts w:hint="default" w:ascii="Times New Roman" w:hAnsi="Times New Roman" w:eastAsia="宋体" w:cs="Times New Roman"/>
                <w:b/>
                <w:szCs w:val="20"/>
              </w:rPr>
            </w:pPr>
          </w:p>
        </w:tc>
        <w:tc>
          <w:tcPr>
            <w:tcW w:w="1355" w:type="dxa"/>
          </w:tcPr>
          <w:p w14:paraId="4EF4A80B">
            <w:pPr>
              <w:ind w:left="420" w:hanging="420"/>
              <w:rPr>
                <w:rFonts w:hint="default" w:ascii="Times New Roman" w:hAnsi="Times New Roman" w:eastAsia="宋体" w:cs="Times New Roman"/>
                <w:b/>
                <w:szCs w:val="20"/>
              </w:rPr>
            </w:pPr>
          </w:p>
        </w:tc>
        <w:tc>
          <w:tcPr>
            <w:tcW w:w="826" w:type="dxa"/>
          </w:tcPr>
          <w:p w14:paraId="6406864A">
            <w:pPr>
              <w:ind w:left="420" w:hanging="420"/>
              <w:rPr>
                <w:rFonts w:hint="default" w:ascii="Times New Roman" w:hAnsi="Times New Roman" w:eastAsia="宋体" w:cs="Times New Roman"/>
                <w:b/>
                <w:szCs w:val="20"/>
              </w:rPr>
            </w:pPr>
          </w:p>
        </w:tc>
        <w:tc>
          <w:tcPr>
            <w:tcW w:w="1320" w:type="dxa"/>
          </w:tcPr>
          <w:p w14:paraId="57EEE262">
            <w:pPr>
              <w:ind w:left="420" w:hanging="420"/>
              <w:rPr>
                <w:rFonts w:hint="default" w:ascii="Times New Roman" w:hAnsi="Times New Roman" w:eastAsia="宋体" w:cs="Times New Roman"/>
                <w:b/>
                <w:szCs w:val="20"/>
              </w:rPr>
            </w:pPr>
          </w:p>
        </w:tc>
        <w:tc>
          <w:tcPr>
            <w:tcW w:w="1023" w:type="dxa"/>
          </w:tcPr>
          <w:p w14:paraId="4A4F2393">
            <w:pPr>
              <w:ind w:left="420" w:hanging="420"/>
              <w:rPr>
                <w:rFonts w:hint="default" w:ascii="Times New Roman" w:hAnsi="Times New Roman" w:eastAsia="宋体" w:cs="Times New Roman"/>
                <w:b/>
                <w:szCs w:val="20"/>
              </w:rPr>
            </w:pPr>
          </w:p>
        </w:tc>
        <w:tc>
          <w:tcPr>
            <w:tcW w:w="1590" w:type="dxa"/>
          </w:tcPr>
          <w:p w14:paraId="3A5D4E39">
            <w:pPr>
              <w:ind w:left="420" w:hanging="420"/>
              <w:rPr>
                <w:rFonts w:hint="default" w:ascii="Times New Roman" w:hAnsi="Times New Roman" w:eastAsia="宋体" w:cs="Times New Roman"/>
                <w:b/>
                <w:szCs w:val="20"/>
              </w:rPr>
            </w:pPr>
          </w:p>
        </w:tc>
      </w:tr>
      <w:tr w14:paraId="2612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02B5BD7">
            <w:pPr>
              <w:ind w:left="420" w:hanging="420"/>
              <w:rPr>
                <w:rFonts w:hint="default" w:ascii="Times New Roman" w:hAnsi="Times New Roman" w:eastAsia="宋体" w:cs="Times New Roman"/>
                <w:b/>
                <w:szCs w:val="20"/>
              </w:rPr>
            </w:pPr>
          </w:p>
        </w:tc>
        <w:tc>
          <w:tcPr>
            <w:tcW w:w="2082" w:type="dxa"/>
          </w:tcPr>
          <w:p w14:paraId="40D6F9F7">
            <w:pPr>
              <w:ind w:left="420" w:hanging="420"/>
              <w:rPr>
                <w:rFonts w:hint="default" w:ascii="Times New Roman" w:hAnsi="Times New Roman" w:eastAsia="宋体" w:cs="Times New Roman"/>
                <w:b/>
                <w:szCs w:val="20"/>
              </w:rPr>
            </w:pPr>
          </w:p>
        </w:tc>
        <w:tc>
          <w:tcPr>
            <w:tcW w:w="1355" w:type="dxa"/>
          </w:tcPr>
          <w:p w14:paraId="6B812B26">
            <w:pPr>
              <w:ind w:left="420" w:hanging="420"/>
              <w:rPr>
                <w:rFonts w:hint="default" w:ascii="Times New Roman" w:hAnsi="Times New Roman" w:eastAsia="宋体" w:cs="Times New Roman"/>
                <w:b/>
                <w:szCs w:val="20"/>
              </w:rPr>
            </w:pPr>
          </w:p>
        </w:tc>
        <w:tc>
          <w:tcPr>
            <w:tcW w:w="826" w:type="dxa"/>
          </w:tcPr>
          <w:p w14:paraId="5E9255B3">
            <w:pPr>
              <w:ind w:left="420" w:hanging="420"/>
              <w:rPr>
                <w:rFonts w:hint="default" w:ascii="Times New Roman" w:hAnsi="Times New Roman" w:eastAsia="宋体" w:cs="Times New Roman"/>
                <w:b/>
                <w:szCs w:val="20"/>
              </w:rPr>
            </w:pPr>
          </w:p>
        </w:tc>
        <w:tc>
          <w:tcPr>
            <w:tcW w:w="1320" w:type="dxa"/>
          </w:tcPr>
          <w:p w14:paraId="7FA32916">
            <w:pPr>
              <w:ind w:left="420" w:hanging="420"/>
              <w:rPr>
                <w:rFonts w:hint="default" w:ascii="Times New Roman" w:hAnsi="Times New Roman" w:eastAsia="宋体" w:cs="Times New Roman"/>
                <w:b/>
                <w:szCs w:val="20"/>
              </w:rPr>
            </w:pPr>
          </w:p>
        </w:tc>
        <w:tc>
          <w:tcPr>
            <w:tcW w:w="1023" w:type="dxa"/>
          </w:tcPr>
          <w:p w14:paraId="1E2CB71A">
            <w:pPr>
              <w:ind w:left="420" w:hanging="420"/>
              <w:rPr>
                <w:rFonts w:hint="default" w:ascii="Times New Roman" w:hAnsi="Times New Roman" w:eastAsia="宋体" w:cs="Times New Roman"/>
                <w:b/>
                <w:szCs w:val="20"/>
              </w:rPr>
            </w:pPr>
          </w:p>
        </w:tc>
        <w:tc>
          <w:tcPr>
            <w:tcW w:w="1590" w:type="dxa"/>
          </w:tcPr>
          <w:p w14:paraId="230AC52B">
            <w:pPr>
              <w:ind w:left="420" w:hanging="420"/>
              <w:rPr>
                <w:rFonts w:hint="default" w:ascii="Times New Roman" w:hAnsi="Times New Roman" w:eastAsia="宋体" w:cs="Times New Roman"/>
                <w:b/>
                <w:szCs w:val="20"/>
              </w:rPr>
            </w:pPr>
          </w:p>
        </w:tc>
      </w:tr>
      <w:tr w14:paraId="2C9A4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A023C27">
            <w:pPr>
              <w:ind w:left="420" w:hanging="420"/>
              <w:rPr>
                <w:rFonts w:hint="default" w:ascii="Times New Roman" w:hAnsi="Times New Roman" w:eastAsia="宋体" w:cs="Times New Roman"/>
                <w:b/>
                <w:szCs w:val="20"/>
              </w:rPr>
            </w:pPr>
          </w:p>
        </w:tc>
        <w:tc>
          <w:tcPr>
            <w:tcW w:w="2082" w:type="dxa"/>
          </w:tcPr>
          <w:p w14:paraId="43EC3A8D">
            <w:pPr>
              <w:ind w:left="420" w:hanging="420"/>
              <w:rPr>
                <w:rFonts w:hint="default" w:ascii="Times New Roman" w:hAnsi="Times New Roman" w:eastAsia="宋体" w:cs="Times New Roman"/>
                <w:b/>
                <w:szCs w:val="20"/>
              </w:rPr>
            </w:pPr>
          </w:p>
        </w:tc>
        <w:tc>
          <w:tcPr>
            <w:tcW w:w="1355" w:type="dxa"/>
          </w:tcPr>
          <w:p w14:paraId="55CF7D3B">
            <w:pPr>
              <w:ind w:left="420" w:hanging="420"/>
              <w:rPr>
                <w:rFonts w:hint="default" w:ascii="Times New Roman" w:hAnsi="Times New Roman" w:eastAsia="宋体" w:cs="Times New Roman"/>
                <w:b/>
                <w:szCs w:val="20"/>
              </w:rPr>
            </w:pPr>
          </w:p>
        </w:tc>
        <w:tc>
          <w:tcPr>
            <w:tcW w:w="826" w:type="dxa"/>
          </w:tcPr>
          <w:p w14:paraId="41A3A592">
            <w:pPr>
              <w:ind w:left="420" w:hanging="420"/>
              <w:rPr>
                <w:rFonts w:hint="default" w:ascii="Times New Roman" w:hAnsi="Times New Roman" w:eastAsia="宋体" w:cs="Times New Roman"/>
                <w:b/>
                <w:szCs w:val="20"/>
              </w:rPr>
            </w:pPr>
          </w:p>
        </w:tc>
        <w:tc>
          <w:tcPr>
            <w:tcW w:w="1320" w:type="dxa"/>
          </w:tcPr>
          <w:p w14:paraId="6D448547">
            <w:pPr>
              <w:ind w:left="420" w:hanging="420"/>
              <w:rPr>
                <w:rFonts w:hint="default" w:ascii="Times New Roman" w:hAnsi="Times New Roman" w:eastAsia="宋体" w:cs="Times New Roman"/>
                <w:b/>
                <w:szCs w:val="20"/>
              </w:rPr>
            </w:pPr>
          </w:p>
        </w:tc>
        <w:tc>
          <w:tcPr>
            <w:tcW w:w="1023" w:type="dxa"/>
          </w:tcPr>
          <w:p w14:paraId="001FF902">
            <w:pPr>
              <w:ind w:left="420" w:hanging="420"/>
              <w:rPr>
                <w:rFonts w:hint="default" w:ascii="Times New Roman" w:hAnsi="Times New Roman" w:eastAsia="宋体" w:cs="Times New Roman"/>
                <w:b/>
                <w:szCs w:val="20"/>
              </w:rPr>
            </w:pPr>
          </w:p>
        </w:tc>
        <w:tc>
          <w:tcPr>
            <w:tcW w:w="1590" w:type="dxa"/>
          </w:tcPr>
          <w:p w14:paraId="59D089E9">
            <w:pPr>
              <w:ind w:left="420" w:hanging="420"/>
              <w:rPr>
                <w:rFonts w:hint="default" w:ascii="Times New Roman" w:hAnsi="Times New Roman" w:eastAsia="宋体" w:cs="Times New Roman"/>
                <w:b/>
                <w:szCs w:val="20"/>
              </w:rPr>
            </w:pPr>
          </w:p>
        </w:tc>
      </w:tr>
      <w:tr w14:paraId="2337E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88C518A">
            <w:pPr>
              <w:ind w:left="420" w:hanging="420"/>
              <w:rPr>
                <w:rFonts w:hint="default" w:ascii="Times New Roman" w:hAnsi="Times New Roman" w:eastAsia="宋体" w:cs="Times New Roman"/>
                <w:b/>
                <w:szCs w:val="20"/>
              </w:rPr>
            </w:pPr>
          </w:p>
        </w:tc>
        <w:tc>
          <w:tcPr>
            <w:tcW w:w="2082" w:type="dxa"/>
          </w:tcPr>
          <w:p w14:paraId="438D49E3">
            <w:pPr>
              <w:ind w:left="420" w:hanging="420"/>
              <w:rPr>
                <w:rFonts w:hint="default" w:ascii="Times New Roman" w:hAnsi="Times New Roman" w:eastAsia="宋体" w:cs="Times New Roman"/>
                <w:b/>
                <w:szCs w:val="20"/>
              </w:rPr>
            </w:pPr>
          </w:p>
        </w:tc>
        <w:tc>
          <w:tcPr>
            <w:tcW w:w="1355" w:type="dxa"/>
          </w:tcPr>
          <w:p w14:paraId="4E63C8D0">
            <w:pPr>
              <w:ind w:left="420" w:hanging="420"/>
              <w:rPr>
                <w:rFonts w:hint="default" w:ascii="Times New Roman" w:hAnsi="Times New Roman" w:eastAsia="宋体" w:cs="Times New Roman"/>
                <w:b/>
                <w:szCs w:val="20"/>
              </w:rPr>
            </w:pPr>
          </w:p>
        </w:tc>
        <w:tc>
          <w:tcPr>
            <w:tcW w:w="826" w:type="dxa"/>
          </w:tcPr>
          <w:p w14:paraId="14B89A21">
            <w:pPr>
              <w:ind w:left="420" w:hanging="420"/>
              <w:rPr>
                <w:rFonts w:hint="default" w:ascii="Times New Roman" w:hAnsi="Times New Roman" w:eastAsia="宋体" w:cs="Times New Roman"/>
                <w:b/>
                <w:szCs w:val="20"/>
              </w:rPr>
            </w:pPr>
          </w:p>
        </w:tc>
        <w:tc>
          <w:tcPr>
            <w:tcW w:w="1320" w:type="dxa"/>
          </w:tcPr>
          <w:p w14:paraId="167BB493">
            <w:pPr>
              <w:ind w:left="420" w:hanging="420"/>
              <w:rPr>
                <w:rFonts w:hint="default" w:ascii="Times New Roman" w:hAnsi="Times New Roman" w:eastAsia="宋体" w:cs="Times New Roman"/>
                <w:b/>
                <w:szCs w:val="20"/>
              </w:rPr>
            </w:pPr>
          </w:p>
        </w:tc>
        <w:tc>
          <w:tcPr>
            <w:tcW w:w="1023" w:type="dxa"/>
          </w:tcPr>
          <w:p w14:paraId="37154F80">
            <w:pPr>
              <w:ind w:left="420" w:hanging="420"/>
              <w:rPr>
                <w:rFonts w:hint="default" w:ascii="Times New Roman" w:hAnsi="Times New Roman" w:eastAsia="宋体" w:cs="Times New Roman"/>
                <w:b/>
                <w:szCs w:val="20"/>
              </w:rPr>
            </w:pPr>
          </w:p>
        </w:tc>
        <w:tc>
          <w:tcPr>
            <w:tcW w:w="1590" w:type="dxa"/>
          </w:tcPr>
          <w:p w14:paraId="0F4BCF09">
            <w:pPr>
              <w:ind w:left="420" w:hanging="420"/>
              <w:rPr>
                <w:rFonts w:hint="default" w:ascii="Times New Roman" w:hAnsi="Times New Roman" w:eastAsia="宋体" w:cs="Times New Roman"/>
                <w:b/>
                <w:szCs w:val="20"/>
              </w:rPr>
            </w:pPr>
          </w:p>
        </w:tc>
      </w:tr>
      <w:tr w14:paraId="2F2A6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D295DD7">
            <w:pPr>
              <w:ind w:left="420" w:hanging="420"/>
              <w:rPr>
                <w:rFonts w:hint="default" w:ascii="Times New Roman" w:hAnsi="Times New Roman" w:eastAsia="宋体" w:cs="Times New Roman"/>
                <w:b/>
                <w:szCs w:val="20"/>
              </w:rPr>
            </w:pPr>
          </w:p>
        </w:tc>
        <w:tc>
          <w:tcPr>
            <w:tcW w:w="2082" w:type="dxa"/>
          </w:tcPr>
          <w:p w14:paraId="69FB1AE0">
            <w:pPr>
              <w:ind w:left="420" w:hanging="420"/>
              <w:rPr>
                <w:rFonts w:hint="default" w:ascii="Times New Roman" w:hAnsi="Times New Roman" w:eastAsia="宋体" w:cs="Times New Roman"/>
                <w:b/>
                <w:szCs w:val="20"/>
              </w:rPr>
            </w:pPr>
          </w:p>
        </w:tc>
        <w:tc>
          <w:tcPr>
            <w:tcW w:w="1355" w:type="dxa"/>
          </w:tcPr>
          <w:p w14:paraId="08AE2A4C">
            <w:pPr>
              <w:ind w:left="420" w:hanging="420"/>
              <w:rPr>
                <w:rFonts w:hint="default" w:ascii="Times New Roman" w:hAnsi="Times New Roman" w:eastAsia="宋体" w:cs="Times New Roman"/>
                <w:b/>
                <w:szCs w:val="20"/>
              </w:rPr>
            </w:pPr>
          </w:p>
        </w:tc>
        <w:tc>
          <w:tcPr>
            <w:tcW w:w="826" w:type="dxa"/>
          </w:tcPr>
          <w:p w14:paraId="0CE867B0">
            <w:pPr>
              <w:ind w:left="420" w:hanging="420"/>
              <w:rPr>
                <w:rFonts w:hint="default" w:ascii="Times New Roman" w:hAnsi="Times New Roman" w:eastAsia="宋体" w:cs="Times New Roman"/>
                <w:b/>
                <w:szCs w:val="20"/>
              </w:rPr>
            </w:pPr>
          </w:p>
        </w:tc>
        <w:tc>
          <w:tcPr>
            <w:tcW w:w="1320" w:type="dxa"/>
          </w:tcPr>
          <w:p w14:paraId="473E0401">
            <w:pPr>
              <w:ind w:left="420" w:hanging="420"/>
              <w:rPr>
                <w:rFonts w:hint="default" w:ascii="Times New Roman" w:hAnsi="Times New Roman" w:eastAsia="宋体" w:cs="Times New Roman"/>
                <w:b/>
                <w:szCs w:val="20"/>
              </w:rPr>
            </w:pPr>
          </w:p>
        </w:tc>
        <w:tc>
          <w:tcPr>
            <w:tcW w:w="1023" w:type="dxa"/>
          </w:tcPr>
          <w:p w14:paraId="00445EE1">
            <w:pPr>
              <w:ind w:left="420" w:hanging="420"/>
              <w:rPr>
                <w:rFonts w:hint="default" w:ascii="Times New Roman" w:hAnsi="Times New Roman" w:eastAsia="宋体" w:cs="Times New Roman"/>
                <w:b/>
                <w:szCs w:val="20"/>
              </w:rPr>
            </w:pPr>
          </w:p>
        </w:tc>
        <w:tc>
          <w:tcPr>
            <w:tcW w:w="1590" w:type="dxa"/>
          </w:tcPr>
          <w:p w14:paraId="409EC51C">
            <w:pPr>
              <w:ind w:left="420" w:hanging="420"/>
              <w:rPr>
                <w:rFonts w:hint="default" w:ascii="Times New Roman" w:hAnsi="Times New Roman" w:eastAsia="宋体" w:cs="Times New Roman"/>
                <w:b/>
                <w:szCs w:val="20"/>
              </w:rPr>
            </w:pPr>
          </w:p>
        </w:tc>
      </w:tr>
      <w:tr w14:paraId="36F18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4438D0B">
            <w:pPr>
              <w:ind w:left="420" w:hanging="420"/>
              <w:rPr>
                <w:rFonts w:hint="default" w:ascii="Times New Roman" w:hAnsi="Times New Roman" w:eastAsia="宋体" w:cs="Times New Roman"/>
                <w:b/>
                <w:szCs w:val="20"/>
              </w:rPr>
            </w:pPr>
          </w:p>
        </w:tc>
        <w:tc>
          <w:tcPr>
            <w:tcW w:w="2082" w:type="dxa"/>
          </w:tcPr>
          <w:p w14:paraId="3EC3CB1C">
            <w:pPr>
              <w:ind w:left="420" w:hanging="420"/>
              <w:rPr>
                <w:rFonts w:hint="default" w:ascii="Times New Roman" w:hAnsi="Times New Roman" w:eastAsia="宋体" w:cs="Times New Roman"/>
                <w:b/>
                <w:szCs w:val="20"/>
              </w:rPr>
            </w:pPr>
          </w:p>
        </w:tc>
        <w:tc>
          <w:tcPr>
            <w:tcW w:w="1355" w:type="dxa"/>
          </w:tcPr>
          <w:p w14:paraId="4170224D">
            <w:pPr>
              <w:ind w:left="420" w:hanging="420"/>
              <w:rPr>
                <w:rFonts w:hint="default" w:ascii="Times New Roman" w:hAnsi="Times New Roman" w:eastAsia="宋体" w:cs="Times New Roman"/>
                <w:b/>
                <w:szCs w:val="20"/>
              </w:rPr>
            </w:pPr>
          </w:p>
        </w:tc>
        <w:tc>
          <w:tcPr>
            <w:tcW w:w="826" w:type="dxa"/>
          </w:tcPr>
          <w:p w14:paraId="539BA68D">
            <w:pPr>
              <w:ind w:left="420" w:hanging="420"/>
              <w:rPr>
                <w:rFonts w:hint="default" w:ascii="Times New Roman" w:hAnsi="Times New Roman" w:eastAsia="宋体" w:cs="Times New Roman"/>
                <w:b/>
                <w:szCs w:val="20"/>
              </w:rPr>
            </w:pPr>
          </w:p>
        </w:tc>
        <w:tc>
          <w:tcPr>
            <w:tcW w:w="1320" w:type="dxa"/>
          </w:tcPr>
          <w:p w14:paraId="301557DB">
            <w:pPr>
              <w:ind w:left="420" w:hanging="420"/>
              <w:rPr>
                <w:rFonts w:hint="default" w:ascii="Times New Roman" w:hAnsi="Times New Roman" w:eastAsia="宋体" w:cs="Times New Roman"/>
                <w:b/>
                <w:szCs w:val="20"/>
              </w:rPr>
            </w:pPr>
          </w:p>
        </w:tc>
        <w:tc>
          <w:tcPr>
            <w:tcW w:w="1023" w:type="dxa"/>
          </w:tcPr>
          <w:p w14:paraId="77869795">
            <w:pPr>
              <w:ind w:left="420" w:hanging="420"/>
              <w:rPr>
                <w:rFonts w:hint="default" w:ascii="Times New Roman" w:hAnsi="Times New Roman" w:eastAsia="宋体" w:cs="Times New Roman"/>
                <w:b/>
                <w:szCs w:val="20"/>
              </w:rPr>
            </w:pPr>
          </w:p>
        </w:tc>
        <w:tc>
          <w:tcPr>
            <w:tcW w:w="1590" w:type="dxa"/>
          </w:tcPr>
          <w:p w14:paraId="30D89ED6">
            <w:pPr>
              <w:ind w:left="420" w:hanging="420"/>
              <w:rPr>
                <w:rFonts w:hint="default" w:ascii="Times New Roman" w:hAnsi="Times New Roman" w:eastAsia="宋体" w:cs="Times New Roman"/>
                <w:b/>
                <w:szCs w:val="20"/>
              </w:rPr>
            </w:pPr>
          </w:p>
        </w:tc>
      </w:tr>
      <w:tr w14:paraId="51DA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6AC55DEF">
            <w:pPr>
              <w:ind w:left="420" w:hanging="420"/>
              <w:rPr>
                <w:rFonts w:hint="default" w:ascii="Times New Roman" w:hAnsi="Times New Roman" w:eastAsia="宋体" w:cs="Times New Roman"/>
                <w:b/>
                <w:szCs w:val="20"/>
              </w:rPr>
            </w:pPr>
          </w:p>
        </w:tc>
        <w:tc>
          <w:tcPr>
            <w:tcW w:w="2082" w:type="dxa"/>
          </w:tcPr>
          <w:p w14:paraId="6233024D">
            <w:pPr>
              <w:ind w:left="420" w:hanging="420"/>
              <w:rPr>
                <w:rFonts w:hint="default" w:ascii="Times New Roman" w:hAnsi="Times New Roman" w:eastAsia="宋体" w:cs="Times New Roman"/>
                <w:b/>
                <w:szCs w:val="20"/>
              </w:rPr>
            </w:pPr>
          </w:p>
        </w:tc>
        <w:tc>
          <w:tcPr>
            <w:tcW w:w="1355" w:type="dxa"/>
          </w:tcPr>
          <w:p w14:paraId="08C08D2C">
            <w:pPr>
              <w:ind w:left="420" w:hanging="420"/>
              <w:rPr>
                <w:rFonts w:hint="default" w:ascii="Times New Roman" w:hAnsi="Times New Roman" w:eastAsia="宋体" w:cs="Times New Roman"/>
                <w:b/>
                <w:szCs w:val="20"/>
              </w:rPr>
            </w:pPr>
          </w:p>
        </w:tc>
        <w:tc>
          <w:tcPr>
            <w:tcW w:w="826" w:type="dxa"/>
          </w:tcPr>
          <w:p w14:paraId="659E7B7F">
            <w:pPr>
              <w:ind w:left="420" w:hanging="420"/>
              <w:rPr>
                <w:rFonts w:hint="default" w:ascii="Times New Roman" w:hAnsi="Times New Roman" w:eastAsia="宋体" w:cs="Times New Roman"/>
                <w:b/>
                <w:szCs w:val="20"/>
              </w:rPr>
            </w:pPr>
          </w:p>
        </w:tc>
        <w:tc>
          <w:tcPr>
            <w:tcW w:w="1320" w:type="dxa"/>
          </w:tcPr>
          <w:p w14:paraId="74B878BF">
            <w:pPr>
              <w:ind w:left="420" w:hanging="420"/>
              <w:rPr>
                <w:rFonts w:hint="default" w:ascii="Times New Roman" w:hAnsi="Times New Roman" w:eastAsia="宋体" w:cs="Times New Roman"/>
                <w:b/>
                <w:szCs w:val="20"/>
              </w:rPr>
            </w:pPr>
          </w:p>
        </w:tc>
        <w:tc>
          <w:tcPr>
            <w:tcW w:w="1023" w:type="dxa"/>
          </w:tcPr>
          <w:p w14:paraId="534C8952">
            <w:pPr>
              <w:ind w:left="420" w:hanging="420"/>
              <w:rPr>
                <w:rFonts w:hint="default" w:ascii="Times New Roman" w:hAnsi="Times New Roman" w:eastAsia="宋体" w:cs="Times New Roman"/>
                <w:b/>
                <w:szCs w:val="20"/>
              </w:rPr>
            </w:pPr>
          </w:p>
        </w:tc>
        <w:tc>
          <w:tcPr>
            <w:tcW w:w="1590" w:type="dxa"/>
          </w:tcPr>
          <w:p w14:paraId="71FDCF38">
            <w:pPr>
              <w:ind w:left="420" w:hanging="420"/>
              <w:rPr>
                <w:rFonts w:hint="default" w:ascii="Times New Roman" w:hAnsi="Times New Roman" w:eastAsia="宋体" w:cs="Times New Roman"/>
                <w:b/>
                <w:szCs w:val="20"/>
              </w:rPr>
            </w:pPr>
          </w:p>
        </w:tc>
      </w:tr>
      <w:tr w14:paraId="59969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7AEB6216">
            <w:pPr>
              <w:ind w:left="420" w:hanging="420"/>
              <w:rPr>
                <w:rFonts w:hint="default" w:ascii="Times New Roman" w:hAnsi="Times New Roman" w:eastAsia="宋体" w:cs="Times New Roman"/>
                <w:b/>
                <w:szCs w:val="20"/>
              </w:rPr>
            </w:pPr>
            <w:r>
              <w:rPr>
                <w:rFonts w:hint="default" w:ascii="Times New Roman" w:hAnsi="Times New Roman" w:eastAsia="宋体" w:cs="Times New Roman"/>
                <w:b/>
                <w:szCs w:val="20"/>
              </w:rPr>
              <w:t>202</w:t>
            </w:r>
            <w:r>
              <w:rPr>
                <w:rFonts w:hint="eastAsia" w:cs="Times New Roman"/>
                <w:b/>
                <w:szCs w:val="20"/>
                <w:lang w:val="en-US" w:eastAsia="zh-CN"/>
              </w:rPr>
              <w:t>3</w:t>
            </w:r>
            <w:r>
              <w:rPr>
                <w:rFonts w:hint="default" w:ascii="Times New Roman" w:hAnsi="Times New Roman" w:eastAsia="宋体" w:cs="Times New Roman"/>
                <w:b/>
                <w:szCs w:val="20"/>
              </w:rPr>
              <w:t>年1月1日至今所有业绩合同总额汇总（必填）</w:t>
            </w:r>
          </w:p>
        </w:tc>
        <w:tc>
          <w:tcPr>
            <w:tcW w:w="826" w:type="dxa"/>
          </w:tcPr>
          <w:p w14:paraId="6F01196E">
            <w:pPr>
              <w:ind w:left="420" w:hanging="420"/>
              <w:rPr>
                <w:rFonts w:hint="default" w:ascii="Times New Roman" w:hAnsi="Times New Roman" w:eastAsia="宋体" w:cs="Times New Roman"/>
                <w:b/>
                <w:szCs w:val="20"/>
              </w:rPr>
            </w:pPr>
          </w:p>
        </w:tc>
        <w:tc>
          <w:tcPr>
            <w:tcW w:w="1320" w:type="dxa"/>
          </w:tcPr>
          <w:p w14:paraId="17910261">
            <w:pPr>
              <w:ind w:left="420" w:hanging="420"/>
              <w:rPr>
                <w:rFonts w:hint="default" w:ascii="Times New Roman" w:hAnsi="Times New Roman" w:eastAsia="宋体" w:cs="Times New Roman"/>
                <w:b/>
                <w:szCs w:val="20"/>
              </w:rPr>
            </w:pPr>
          </w:p>
        </w:tc>
        <w:tc>
          <w:tcPr>
            <w:tcW w:w="1023" w:type="dxa"/>
          </w:tcPr>
          <w:p w14:paraId="78B61991">
            <w:pPr>
              <w:ind w:left="420" w:hanging="420"/>
              <w:rPr>
                <w:rFonts w:hint="default" w:ascii="Times New Roman" w:hAnsi="Times New Roman" w:eastAsia="宋体" w:cs="Times New Roman"/>
                <w:b/>
                <w:szCs w:val="20"/>
              </w:rPr>
            </w:pPr>
          </w:p>
        </w:tc>
        <w:tc>
          <w:tcPr>
            <w:tcW w:w="1590" w:type="dxa"/>
          </w:tcPr>
          <w:p w14:paraId="36683666">
            <w:pPr>
              <w:ind w:left="420" w:hanging="420"/>
              <w:rPr>
                <w:rFonts w:hint="default" w:ascii="Times New Roman" w:hAnsi="Times New Roman" w:eastAsia="宋体" w:cs="Times New Roman"/>
                <w:b/>
                <w:szCs w:val="20"/>
              </w:rPr>
            </w:pPr>
          </w:p>
        </w:tc>
      </w:tr>
    </w:tbl>
    <w:p w14:paraId="32C6DDCA">
      <w:pPr>
        <w:spacing w:line="240" w:lineRule="atLeas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注：</w:t>
      </w:r>
      <w:r>
        <w:rPr>
          <w:rFonts w:hint="default" w:ascii="Times New Roman" w:hAnsi="Times New Roman" w:eastAsia="宋体" w:cs="Times New Roman"/>
          <w:kern w:val="0"/>
          <w:sz w:val="24"/>
          <w:szCs w:val="20"/>
        </w:rPr>
        <w:t>提供202</w:t>
      </w:r>
      <w:r>
        <w:rPr>
          <w:rFonts w:hint="eastAsia" w:cs="Times New Roman"/>
          <w:kern w:val="0"/>
          <w:sz w:val="24"/>
          <w:szCs w:val="20"/>
          <w:lang w:val="en-US" w:eastAsia="zh-CN"/>
        </w:rPr>
        <w:t>3</w:t>
      </w:r>
      <w:r>
        <w:rPr>
          <w:rFonts w:hint="default" w:ascii="Times New Roman" w:hAnsi="Times New Roman" w:eastAsia="宋体" w:cs="Times New Roman"/>
          <w:kern w:val="0"/>
          <w:sz w:val="24"/>
          <w:szCs w:val="20"/>
        </w:rPr>
        <w:t>年1月1日以来同类产品的制造销售业绩（用户名单、联系方式）</w:t>
      </w:r>
      <w:r>
        <w:rPr>
          <w:rFonts w:hint="default" w:ascii="Times New Roman" w:hAnsi="Times New Roman" w:eastAsia="宋体" w:cs="Times New Roman"/>
          <w:sz w:val="24"/>
          <w:szCs w:val="20"/>
        </w:rPr>
        <w:t>，并附合同复印件。</w:t>
      </w:r>
      <w:r>
        <w:rPr>
          <w:rFonts w:hint="default" w:ascii="Times New Roman" w:hAnsi="Times New Roman" w:eastAsia="宋体" w:cs="Times New Roman"/>
          <w:kern w:val="0"/>
          <w:sz w:val="24"/>
          <w:szCs w:val="20"/>
        </w:rPr>
        <w:t>该同类项目业绩一览表</w:t>
      </w:r>
      <w:r>
        <w:rPr>
          <w:rFonts w:hint="default" w:ascii="Times New Roman" w:hAnsi="Times New Roman" w:eastAsia="宋体" w:cs="Times New Roman"/>
          <w:b/>
          <w:bCs/>
          <w:kern w:val="0"/>
          <w:sz w:val="24"/>
          <w:szCs w:val="20"/>
        </w:rPr>
        <w:t>必须如实填写，应全尽全</w:t>
      </w:r>
      <w:r>
        <w:rPr>
          <w:rFonts w:hint="default" w:ascii="Times New Roman" w:hAnsi="Times New Roman" w:eastAsia="宋体" w:cs="Times New Roman"/>
          <w:kern w:val="0"/>
          <w:sz w:val="24"/>
          <w:szCs w:val="20"/>
        </w:rPr>
        <w:t>；一览表最终的所有业绩</w:t>
      </w:r>
      <w:r>
        <w:rPr>
          <w:rFonts w:hint="default" w:ascii="Times New Roman" w:hAnsi="Times New Roman" w:eastAsia="宋体" w:cs="Times New Roman"/>
          <w:b/>
          <w:bCs/>
          <w:kern w:val="0"/>
          <w:sz w:val="24"/>
          <w:szCs w:val="20"/>
        </w:rPr>
        <w:t>合同总额汇总必填</w:t>
      </w:r>
      <w:r>
        <w:rPr>
          <w:rFonts w:hint="default" w:ascii="Times New Roman" w:hAnsi="Times New Roman" w:eastAsia="宋体" w:cs="Times New Roman"/>
          <w:kern w:val="0"/>
          <w:sz w:val="24"/>
          <w:szCs w:val="20"/>
        </w:rPr>
        <w:t>，此项很重要，数据将影响现场评标专家组对投标单位的业绩考评。若未提供相应业绩证明，根据技术标评分规则，将影响现场评标专家组对投标单位业绩判定打分</w:t>
      </w:r>
      <w:r>
        <w:rPr>
          <w:rFonts w:hint="default" w:ascii="Times New Roman" w:hAnsi="Times New Roman" w:eastAsia="宋体" w:cs="Times New Roman"/>
          <w:sz w:val="24"/>
          <w:szCs w:val="20"/>
        </w:rPr>
        <w:t>。</w:t>
      </w:r>
    </w:p>
    <w:p w14:paraId="6CDB0B02">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投标人：（盖章）</w:t>
      </w:r>
    </w:p>
    <w:p w14:paraId="65BC160B">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618AB9E8">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60893615">
      <w:pPr>
        <w:rPr>
          <w:rFonts w:hint="default" w:ascii="Times New Roman" w:hAnsi="Times New Roman" w:eastAsia="宋体" w:cs="Times New Roman"/>
          <w:sz w:val="24"/>
          <w:szCs w:val="20"/>
        </w:rPr>
      </w:pPr>
      <w:r>
        <w:rPr>
          <w:rFonts w:hint="default" w:ascii="Times New Roman" w:hAnsi="Times New Roman" w:eastAsia="宋体" w:cs="Times New Roman"/>
          <w:sz w:val="24"/>
          <w:szCs w:val="20"/>
        </w:rPr>
        <w:br w:type="page"/>
      </w:r>
    </w:p>
    <w:p w14:paraId="0F9E929E">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附件7 设备质量承诺函</w:t>
      </w:r>
    </w:p>
    <w:p w14:paraId="2BFFA69E">
      <w:pPr>
        <w:spacing w:line="240" w:lineRule="exact"/>
        <w:rPr>
          <w:rFonts w:hint="default" w:ascii="Times New Roman" w:hAnsi="Times New Roman" w:eastAsia="宋体" w:cs="Times New Roman"/>
          <w:szCs w:val="20"/>
        </w:rPr>
      </w:pPr>
      <w:r>
        <w:rPr>
          <w:rFonts w:hint="default" w:ascii="Times New Roman" w:hAnsi="Times New Roman" w:eastAsia="宋体" w:cs="Times New Roman"/>
          <w:szCs w:val="20"/>
        </w:rPr>
        <w:t xml:space="preserve">                                               </w:t>
      </w:r>
    </w:p>
    <w:p w14:paraId="3501A1CD">
      <w:pPr>
        <w:spacing w:line="360" w:lineRule="auto"/>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rPr>
        <w:t xml:space="preserve">项目名称: </w:t>
      </w:r>
      <w:r>
        <w:rPr>
          <w:rFonts w:hint="default" w:ascii="Times New Roman" w:hAnsi="Times New Roman" w:eastAsia="宋体" w:cs="Times New Roman"/>
          <w:b w:val="0"/>
          <w:bCs w:val="0"/>
          <w:sz w:val="24"/>
          <w:szCs w:val="20"/>
          <w:u w:val="single"/>
        </w:rPr>
        <w:t xml:space="preserve"> </w:t>
      </w:r>
      <w:r>
        <w:rPr>
          <w:rFonts w:hint="eastAsia" w:cs="Times New Roman"/>
          <w:b w:val="0"/>
          <w:bCs w:val="0"/>
          <w:color w:val="000000"/>
          <w:sz w:val="24"/>
          <w:szCs w:val="24"/>
          <w:u w:val="single"/>
          <w:lang w:val="en-US" w:eastAsia="zh-CN"/>
        </w:rPr>
        <w:t>济南成型厂颗粒物在线监测设备更新技改项目</w:t>
      </w:r>
      <w:r>
        <w:rPr>
          <w:rFonts w:hint="default" w:ascii="Times New Roman" w:hAnsi="Times New Roman" w:eastAsia="宋体" w:cs="Times New Roman"/>
          <w:b w:val="0"/>
          <w:bCs w:val="0"/>
          <w:sz w:val="24"/>
          <w:szCs w:val="20"/>
          <w:u w:val="single"/>
        </w:rPr>
        <w:t xml:space="preserve">  </w:t>
      </w:r>
      <w:r>
        <w:rPr>
          <w:rFonts w:hint="default" w:ascii="Times New Roman" w:hAnsi="Times New Roman" w:eastAsia="宋体" w:cs="Times New Roman"/>
          <w:sz w:val="24"/>
          <w:szCs w:val="20"/>
          <w:u w:val="single"/>
        </w:rPr>
        <w:t xml:space="preserve">      </w:t>
      </w:r>
    </w:p>
    <w:p w14:paraId="336553BA">
      <w:pPr>
        <w:spacing w:line="360" w:lineRule="auto"/>
        <w:rPr>
          <w:rFonts w:hint="default" w:ascii="Times New Roman" w:hAnsi="Times New Roman" w:eastAsia="宋体" w:cs="Times New Roman"/>
          <w:b/>
          <w:bCs/>
          <w:sz w:val="24"/>
          <w:szCs w:val="20"/>
        </w:rPr>
      </w:pPr>
      <w:r>
        <w:rPr>
          <w:rFonts w:hint="eastAsia" w:ascii="Times New Roman" w:hAnsi="Times New Roman" w:eastAsia="宋体" w:cs="Times New Roman"/>
          <w:b/>
          <w:bCs/>
          <w:sz w:val="24"/>
          <w:szCs w:val="20"/>
          <w:lang w:eastAsia="zh-CN"/>
        </w:rPr>
        <w:t>中国重汽集团济南动力有限公司</w:t>
      </w:r>
      <w:r>
        <w:rPr>
          <w:rFonts w:hint="default" w:ascii="Times New Roman" w:hAnsi="Times New Roman" w:eastAsia="宋体" w:cs="Times New Roman"/>
          <w:b/>
          <w:bCs/>
          <w:sz w:val="24"/>
          <w:szCs w:val="20"/>
        </w:rPr>
        <w:t>：</w:t>
      </w:r>
    </w:p>
    <w:p w14:paraId="610AF471">
      <w:pPr>
        <w:spacing w:line="360" w:lineRule="auto"/>
        <w:ind w:firstLine="480" w:firstLineChars="20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我代表(投标单位名称)为保证中标产品的质量特作如下承诺：</w:t>
      </w:r>
    </w:p>
    <w:p w14:paraId="174735A9">
      <w:pPr>
        <w:spacing w:line="360" w:lineRule="auto"/>
        <w:ind w:firstLine="480" w:firstLineChars="200"/>
        <w:rPr>
          <w:rFonts w:hint="default" w:ascii="Times New Roman" w:hAnsi="Times New Roman" w:eastAsia="宋体" w:cs="Times New Roman"/>
          <w:sz w:val="24"/>
          <w:szCs w:val="20"/>
          <w:u w:val="none"/>
        </w:rPr>
      </w:pPr>
    </w:p>
    <w:p w14:paraId="043264A8">
      <w:pPr>
        <w:spacing w:line="360" w:lineRule="auto"/>
        <w:ind w:firstLine="480" w:firstLineChars="200"/>
        <w:rPr>
          <w:rFonts w:hint="default" w:ascii="Times New Roman" w:hAnsi="Times New Roman" w:eastAsia="宋体" w:cs="Times New Roman"/>
          <w:sz w:val="24"/>
          <w:szCs w:val="20"/>
          <w:u w:val="none"/>
        </w:rPr>
      </w:pPr>
    </w:p>
    <w:p w14:paraId="23E276FD">
      <w:pPr>
        <w:spacing w:line="360" w:lineRule="auto"/>
        <w:ind w:firstLine="480" w:firstLineChars="200"/>
        <w:rPr>
          <w:rFonts w:hint="default" w:ascii="Times New Roman" w:hAnsi="Times New Roman" w:eastAsia="宋体" w:cs="Times New Roman"/>
          <w:sz w:val="24"/>
          <w:szCs w:val="20"/>
          <w:u w:val="none"/>
        </w:rPr>
      </w:pPr>
    </w:p>
    <w:p w14:paraId="73169CF0">
      <w:pPr>
        <w:spacing w:line="360" w:lineRule="auto"/>
        <w:ind w:firstLine="480" w:firstLineChars="200"/>
        <w:rPr>
          <w:rFonts w:hint="default" w:ascii="Times New Roman" w:hAnsi="Times New Roman" w:eastAsia="宋体" w:cs="Times New Roman"/>
          <w:sz w:val="24"/>
          <w:szCs w:val="20"/>
          <w:u w:val="none"/>
        </w:rPr>
      </w:pPr>
    </w:p>
    <w:p w14:paraId="18A945DF">
      <w:pPr>
        <w:spacing w:line="360" w:lineRule="auto"/>
        <w:ind w:firstLine="480" w:firstLineChars="200"/>
        <w:rPr>
          <w:rFonts w:hint="default" w:ascii="Times New Roman" w:hAnsi="Times New Roman" w:eastAsia="宋体" w:cs="Times New Roman"/>
          <w:sz w:val="24"/>
          <w:szCs w:val="20"/>
          <w:u w:val="none"/>
        </w:rPr>
      </w:pPr>
    </w:p>
    <w:p w14:paraId="72107B8F">
      <w:pPr>
        <w:spacing w:line="360" w:lineRule="auto"/>
        <w:ind w:firstLine="480" w:firstLineChars="200"/>
        <w:rPr>
          <w:rFonts w:hint="default" w:ascii="Times New Roman" w:hAnsi="Times New Roman" w:eastAsia="宋体" w:cs="Times New Roman"/>
          <w:sz w:val="24"/>
          <w:szCs w:val="20"/>
          <w:u w:val="none"/>
        </w:rPr>
      </w:pPr>
    </w:p>
    <w:p w14:paraId="09B1AA45">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法定代表人（委托代理人）：（签字）</w:t>
      </w:r>
    </w:p>
    <w:p w14:paraId="1346C3BB">
      <w:pPr>
        <w:spacing w:line="660" w:lineRule="exact"/>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日  期：</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年</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月</w:t>
      </w:r>
      <w:r>
        <w:rPr>
          <w:rFonts w:hint="default" w:ascii="Times New Roman" w:hAnsi="Times New Roman" w:eastAsia="宋体" w:cs="Times New Roman"/>
          <w:sz w:val="24"/>
          <w:szCs w:val="20"/>
          <w:u w:val="single"/>
        </w:rPr>
        <w:t xml:space="preserve">    </w:t>
      </w:r>
      <w:r>
        <w:rPr>
          <w:rFonts w:hint="default" w:ascii="Times New Roman" w:hAnsi="Times New Roman" w:eastAsia="宋体" w:cs="Times New Roman"/>
          <w:sz w:val="24"/>
          <w:szCs w:val="20"/>
        </w:rPr>
        <w:t>日</w:t>
      </w:r>
    </w:p>
    <w:p w14:paraId="752B0D39">
      <w:pPr>
        <w:rPr>
          <w:rFonts w:hint="default" w:ascii="Times New Roman" w:hAnsi="Times New Roman" w:eastAsia="宋体" w:cs="Times New Roman"/>
          <w:b/>
          <w:bCs/>
          <w:color w:val="000000"/>
          <w:sz w:val="28"/>
          <w:szCs w:val="20"/>
        </w:rPr>
      </w:pPr>
    </w:p>
    <w:p w14:paraId="3FD6D284">
      <w:pPr>
        <w:rPr>
          <w:rFonts w:hint="default" w:ascii="Times New Roman" w:hAnsi="Times New Roman" w:cs="Times New Roman"/>
        </w:rPr>
        <w:sectPr>
          <w:footerReference r:id="rId14" w:type="first"/>
          <w:footerReference r:id="rId13"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06C9A584">
      <w:pPr>
        <w:keepNext/>
        <w:keepLines/>
        <w:outlineLvl w:val="2"/>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附件8</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开标一览表</w:t>
      </w:r>
    </w:p>
    <w:p w14:paraId="384B6503">
      <w:pPr>
        <w:spacing w:line="360" w:lineRule="auto"/>
        <w:ind w:firstLine="482" w:firstLineChars="200"/>
        <w:rPr>
          <w:rFonts w:ascii="宋体" w:hAnsi="宋体" w:eastAsia="宋体" w:cs="Times New Roman"/>
          <w:b/>
          <w:color w:val="000000"/>
          <w:sz w:val="24"/>
          <w:szCs w:val="24"/>
          <w:highlight w:val="none"/>
        </w:rPr>
      </w:pPr>
      <w:r>
        <w:rPr>
          <w:rFonts w:hint="eastAsia" w:ascii="宋体" w:hAnsi="宋体" w:eastAsia="宋体" w:cs="Times New Roman"/>
          <w:b/>
          <w:color w:val="000000"/>
          <w:sz w:val="24"/>
          <w:szCs w:val="24"/>
          <w:highlight w:val="none"/>
        </w:rPr>
        <w:t>《开标一览表》单独封存，以备唱标使用</w:t>
      </w:r>
    </w:p>
    <w:p w14:paraId="0523C92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highlight w:val="none"/>
        </w:rPr>
        <w:t>项目名称：</w:t>
      </w:r>
      <w:r>
        <w:rPr>
          <w:rFonts w:hint="eastAsia" w:cs="Times New Roman"/>
          <w:b w:val="0"/>
          <w:bCs w:val="0"/>
          <w:color w:val="000000"/>
          <w:sz w:val="24"/>
          <w:szCs w:val="24"/>
          <w:u w:val="single"/>
          <w:lang w:val="en-US" w:eastAsia="zh-CN"/>
        </w:rPr>
        <w:t>济南成型厂颗粒物在线监测设备更新技改项目</w:t>
      </w:r>
      <w:r>
        <w:rPr>
          <w:rFonts w:ascii="宋体" w:hAnsi="宋体" w:eastAsia="宋体" w:cs="Times New Roman"/>
          <w:color w:val="000000"/>
          <w:sz w:val="24"/>
          <w:szCs w:val="24"/>
          <w:highlight w:val="none"/>
        </w:rPr>
        <w:t xml:space="preserve">  </w:t>
      </w:r>
      <w:r>
        <w:rPr>
          <w:rFonts w:ascii="宋体" w:hAnsi="宋体" w:eastAsia="宋体" w:cs="Times New Roman"/>
          <w:color w:val="000000"/>
          <w:sz w:val="24"/>
          <w:szCs w:val="24"/>
        </w:rPr>
        <w:t xml:space="preserve">                                                </w:t>
      </w:r>
    </w:p>
    <w:tbl>
      <w:tblPr>
        <w:tblStyle w:val="48"/>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635E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AC10DD">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583125A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11A77C9">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A435BAE">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100" w:type="dxa"/>
            <w:vAlign w:val="center"/>
          </w:tcPr>
          <w:p w14:paraId="304174B1">
            <w:pPr>
              <w:jc w:val="center"/>
              <w:rPr>
                <w:rFonts w:ascii="Times New Roman" w:hAnsi="Times New Roman" w:eastAsia="宋体" w:cs="Times New Roman"/>
                <w:b/>
                <w:szCs w:val="20"/>
              </w:rPr>
            </w:pPr>
            <w:r>
              <w:rPr>
                <w:rFonts w:hint="eastAsia" w:ascii="Times New Roman" w:hAnsi="Times New Roman" w:eastAsia="宋体" w:cs="Times New Roman"/>
                <w:b/>
                <w:szCs w:val="20"/>
              </w:rPr>
              <w:t>质保期</w:t>
            </w:r>
          </w:p>
        </w:tc>
        <w:tc>
          <w:tcPr>
            <w:tcW w:w="1243" w:type="dxa"/>
            <w:vAlign w:val="center"/>
          </w:tcPr>
          <w:p w14:paraId="667E1D83">
            <w:pPr>
              <w:jc w:val="center"/>
              <w:rPr>
                <w:rFonts w:ascii="Times New Roman" w:hAnsi="Times New Roman" w:eastAsia="宋体" w:cs="Times New Roman"/>
                <w:b/>
                <w:szCs w:val="20"/>
              </w:rPr>
            </w:pPr>
            <w:r>
              <w:rPr>
                <w:rFonts w:hint="eastAsia" w:ascii="Times New Roman" w:hAnsi="Times New Roman" w:eastAsia="宋体" w:cs="Times New Roman"/>
                <w:b/>
                <w:szCs w:val="20"/>
              </w:rPr>
              <w:t>交货及安装</w:t>
            </w:r>
          </w:p>
          <w:p w14:paraId="0B2817CD">
            <w:pPr>
              <w:jc w:val="center"/>
              <w:rPr>
                <w:rFonts w:ascii="Times New Roman" w:hAnsi="Times New Roman" w:eastAsia="宋体" w:cs="Times New Roman"/>
                <w:b/>
                <w:szCs w:val="20"/>
              </w:rPr>
            </w:pPr>
            <w:r>
              <w:rPr>
                <w:rFonts w:hint="eastAsia" w:ascii="Times New Roman" w:hAnsi="Times New Roman" w:eastAsia="宋体" w:cs="Times New Roman"/>
                <w:b/>
                <w:szCs w:val="20"/>
              </w:rPr>
              <w:t>时间</w:t>
            </w:r>
          </w:p>
        </w:tc>
        <w:tc>
          <w:tcPr>
            <w:tcW w:w="705" w:type="dxa"/>
            <w:vAlign w:val="center"/>
          </w:tcPr>
          <w:p w14:paraId="73F8CB93">
            <w:pPr>
              <w:jc w:val="center"/>
              <w:rPr>
                <w:rFonts w:ascii="Times New Roman" w:hAnsi="Times New Roman" w:eastAsia="宋体" w:cs="Times New Roman"/>
                <w:b/>
                <w:szCs w:val="20"/>
              </w:rPr>
            </w:pPr>
            <w:r>
              <w:rPr>
                <w:rFonts w:hint="eastAsia" w:ascii="等线" w:hAnsi="等线" w:eastAsia="等线" w:cs="Times New Roman"/>
                <w:b/>
                <w:szCs w:val="20"/>
              </w:rPr>
              <w:t>付款方式及比例如何响应</w:t>
            </w:r>
          </w:p>
        </w:tc>
        <w:tc>
          <w:tcPr>
            <w:tcW w:w="699" w:type="dxa"/>
            <w:vAlign w:val="center"/>
          </w:tcPr>
          <w:p w14:paraId="10322922">
            <w:pPr>
              <w:jc w:val="center"/>
              <w:rPr>
                <w:rFonts w:ascii="等线" w:hAnsi="等线" w:eastAsia="等线" w:cs="Times New Roman"/>
                <w:b/>
                <w:szCs w:val="20"/>
              </w:rPr>
            </w:pPr>
            <w:r>
              <w:rPr>
                <w:rFonts w:hint="eastAsia" w:ascii="等线" w:hAnsi="等线" w:eastAsia="等线" w:cs="Times New Roman"/>
                <w:b/>
                <w:szCs w:val="20"/>
              </w:rPr>
              <w:t>付款方式及比例是否偏离</w:t>
            </w:r>
          </w:p>
        </w:tc>
      </w:tr>
      <w:tr w14:paraId="4A734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7B8537DF">
            <w:pPr>
              <w:jc w:val="center"/>
              <w:rPr>
                <w:rFonts w:ascii="Times New Roman" w:hAnsi="Times New Roman" w:eastAsia="宋体" w:cs="Times New Roman"/>
                <w:b/>
                <w:szCs w:val="20"/>
              </w:rPr>
            </w:pPr>
            <w:r>
              <w:rPr>
                <w:rFonts w:ascii="Times New Roman" w:hAnsi="Times New Roman" w:eastAsia="宋体" w:cs="Times New Roman"/>
                <w:b/>
                <w:szCs w:val="20"/>
              </w:rPr>
              <w:t>1</w:t>
            </w:r>
          </w:p>
        </w:tc>
        <w:tc>
          <w:tcPr>
            <w:tcW w:w="1518" w:type="dxa"/>
            <w:vAlign w:val="center"/>
          </w:tcPr>
          <w:p w14:paraId="20C3B2E0">
            <w:pPr>
              <w:jc w:val="center"/>
              <w:rPr>
                <w:rFonts w:hint="default" w:ascii="Times New Roman" w:hAnsi="Times New Roman" w:eastAsia="宋体" w:cs="Times New Roman"/>
                <w:b/>
                <w:szCs w:val="20"/>
                <w:lang w:val="en-US" w:eastAsia="zh-CN"/>
              </w:rPr>
            </w:pPr>
            <w:r>
              <w:rPr>
                <w:rFonts w:hint="eastAsia" w:ascii="Times New Roman" w:hAnsi="Times New Roman" w:eastAsia="宋体" w:cs="Times New Roman"/>
                <w:b/>
                <w:szCs w:val="20"/>
                <w:lang w:eastAsia="zh-CN"/>
              </w:rPr>
              <w:t>济南成型厂颗粒物在线监测设备更新技改项目</w:t>
            </w:r>
          </w:p>
        </w:tc>
        <w:tc>
          <w:tcPr>
            <w:tcW w:w="848" w:type="dxa"/>
            <w:vAlign w:val="center"/>
          </w:tcPr>
          <w:p w14:paraId="73B557A8">
            <w:pPr>
              <w:jc w:val="center"/>
              <w:rPr>
                <w:rFonts w:hint="eastAsia" w:ascii="Times New Roman" w:hAnsi="Times New Roman" w:eastAsia="宋体" w:cs="Times New Roman"/>
                <w:b/>
                <w:szCs w:val="20"/>
                <w:highlight w:val="none"/>
                <w:lang w:eastAsia="zh-CN"/>
              </w:rPr>
            </w:pPr>
            <w:r>
              <w:rPr>
                <w:rFonts w:hint="eastAsia" w:cs="Times New Roman"/>
                <w:b/>
                <w:szCs w:val="20"/>
                <w:highlight w:val="none"/>
                <w:lang w:val="en-US" w:eastAsia="zh-CN"/>
              </w:rPr>
              <w:t>2</w:t>
            </w:r>
          </w:p>
        </w:tc>
        <w:tc>
          <w:tcPr>
            <w:tcW w:w="2270" w:type="dxa"/>
            <w:vAlign w:val="center"/>
          </w:tcPr>
          <w:p w14:paraId="2DF76E64">
            <w:pPr>
              <w:jc w:val="center"/>
              <w:rPr>
                <w:rFonts w:ascii="等线" w:hAnsi="等线" w:eastAsia="等线" w:cs="Times New Roman"/>
                <w:b/>
                <w:szCs w:val="20"/>
              </w:rPr>
            </w:pPr>
            <w:r>
              <w:rPr>
                <w:rFonts w:hint="eastAsia" w:ascii="等线" w:hAnsi="等线" w:eastAsia="等线" w:cs="Times New Roman"/>
                <w:b/>
                <w:szCs w:val="20"/>
              </w:rPr>
              <w:t>不含税价：</w:t>
            </w:r>
          </w:p>
          <w:p w14:paraId="497C7670">
            <w:pPr>
              <w:jc w:val="center"/>
              <w:rPr>
                <w:rFonts w:ascii="等线" w:hAnsi="等线" w:eastAsia="等线" w:cs="Times New Roman"/>
                <w:b/>
                <w:szCs w:val="20"/>
              </w:rPr>
            </w:pPr>
            <w:r>
              <w:rPr>
                <w:rFonts w:hint="eastAsia" w:ascii="等线" w:hAnsi="等线" w:eastAsia="等线" w:cs="Times New Roman"/>
                <w:b/>
                <w:szCs w:val="20"/>
              </w:rPr>
              <w:t>含税价格：</w:t>
            </w:r>
            <w:r>
              <w:rPr>
                <w:rFonts w:hint="eastAsia" w:ascii="等线" w:hAnsi="等线" w:eastAsia="等线" w:cs="Times New Roman"/>
                <w:b/>
                <w:szCs w:val="20"/>
                <w:u w:val="single"/>
              </w:rPr>
              <w:t xml:space="preserve">    （大写：    ）</w:t>
            </w:r>
          </w:p>
          <w:p w14:paraId="229B43BF">
            <w:pPr>
              <w:jc w:val="center"/>
              <w:rPr>
                <w:rFonts w:ascii="Times New Roman" w:hAnsi="Times New Roman" w:eastAsia="宋体" w:cs="Times New Roman"/>
                <w:b/>
                <w:szCs w:val="20"/>
              </w:rPr>
            </w:pPr>
            <w:r>
              <w:rPr>
                <w:rFonts w:hint="eastAsia" w:ascii="等线" w:hAnsi="等线" w:eastAsia="等线" w:cs="Times New Roman"/>
                <w:b/>
                <w:szCs w:val="20"/>
              </w:rPr>
              <w:t>税率：</w:t>
            </w:r>
          </w:p>
        </w:tc>
        <w:tc>
          <w:tcPr>
            <w:tcW w:w="1100" w:type="dxa"/>
            <w:vAlign w:val="center"/>
          </w:tcPr>
          <w:p w14:paraId="7FC1840E">
            <w:pPr>
              <w:jc w:val="center"/>
              <w:rPr>
                <w:rFonts w:ascii="Times New Roman" w:hAnsi="Times New Roman" w:eastAsia="宋体" w:cs="Times New Roman"/>
                <w:b/>
                <w:szCs w:val="20"/>
              </w:rPr>
            </w:pPr>
          </w:p>
        </w:tc>
        <w:tc>
          <w:tcPr>
            <w:tcW w:w="1243" w:type="dxa"/>
            <w:vAlign w:val="center"/>
          </w:tcPr>
          <w:p w14:paraId="09B0322D">
            <w:pPr>
              <w:jc w:val="center"/>
              <w:rPr>
                <w:rFonts w:ascii="Times New Roman" w:hAnsi="Times New Roman" w:eastAsia="宋体" w:cs="Times New Roman"/>
                <w:b/>
                <w:szCs w:val="20"/>
              </w:rPr>
            </w:pPr>
          </w:p>
        </w:tc>
        <w:tc>
          <w:tcPr>
            <w:tcW w:w="705" w:type="dxa"/>
            <w:vAlign w:val="center"/>
          </w:tcPr>
          <w:p w14:paraId="1BB7458D">
            <w:pPr>
              <w:jc w:val="center"/>
              <w:rPr>
                <w:rFonts w:ascii="Times New Roman" w:hAnsi="Times New Roman" w:eastAsia="宋体" w:cs="Times New Roman"/>
                <w:b/>
                <w:szCs w:val="20"/>
              </w:rPr>
            </w:pPr>
          </w:p>
        </w:tc>
        <w:tc>
          <w:tcPr>
            <w:tcW w:w="699" w:type="dxa"/>
            <w:vAlign w:val="center"/>
          </w:tcPr>
          <w:p w14:paraId="33DDFA5C">
            <w:pPr>
              <w:jc w:val="center"/>
              <w:rPr>
                <w:rFonts w:ascii="Times New Roman" w:hAnsi="Times New Roman" w:eastAsia="宋体" w:cs="Times New Roman"/>
                <w:b/>
                <w:szCs w:val="20"/>
              </w:rPr>
            </w:pPr>
          </w:p>
        </w:tc>
      </w:tr>
    </w:tbl>
    <w:p w14:paraId="6981D4FB">
      <w:pPr>
        <w:rPr>
          <w:rFonts w:ascii="宋体" w:hAnsi="Arial" w:eastAsia="宋体" w:cs="Times New Roman"/>
          <w:sz w:val="24"/>
          <w:szCs w:val="24"/>
        </w:rPr>
      </w:pPr>
    </w:p>
    <w:p w14:paraId="2FCDF5E5">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54C944DD">
      <w:pPr>
        <w:numPr>
          <w:ilvl w:val="0"/>
          <w:numId w:val="10"/>
        </w:numPr>
        <w:spacing w:line="520" w:lineRule="exact"/>
        <w:rPr>
          <w:rFonts w:hint="eastAsia" w:ascii="宋体" w:hAnsi="宋体" w:eastAsia="宋体" w:cs="Times New Roman"/>
          <w:b/>
          <w:bCs/>
          <w:szCs w:val="21"/>
        </w:rPr>
      </w:pPr>
      <w:r>
        <w:rPr>
          <w:rFonts w:hint="eastAsia" w:ascii="宋体" w:hAnsi="宋体" w:eastAsia="宋体" w:cs="Times New Roman"/>
          <w:b/>
          <w:bCs/>
          <w:szCs w:val="21"/>
        </w:rPr>
        <w:t>此表中的报价必须与相应的报价明细表中的报价一致。</w:t>
      </w:r>
    </w:p>
    <w:p w14:paraId="5065E721">
      <w:pPr>
        <w:numPr>
          <w:ilvl w:val="0"/>
          <w:numId w:val="10"/>
        </w:numPr>
        <w:spacing w:line="520" w:lineRule="exact"/>
        <w:rPr>
          <w:rFonts w:hint="eastAsia" w:ascii="宋体" w:hAnsi="宋体" w:eastAsia="宋体" w:cs="Times New Roman"/>
          <w:b/>
          <w:bCs/>
          <w:szCs w:val="21"/>
          <w:lang w:val="en-US" w:eastAsia="zh-CN"/>
        </w:rPr>
      </w:pPr>
      <w:r>
        <w:rPr>
          <w:rFonts w:hint="eastAsia" w:ascii="宋体" w:hAnsi="宋体" w:eastAsia="宋体" w:cs="Times New Roman"/>
          <w:b/>
          <w:bCs/>
          <w:szCs w:val="21"/>
        </w:rPr>
        <w:t>需写明含税价、不含税价格、税率。</w:t>
      </w:r>
    </w:p>
    <w:p w14:paraId="17C22711">
      <w:pPr>
        <w:numPr>
          <w:ilvl w:val="0"/>
          <w:numId w:val="10"/>
        </w:numPr>
        <w:spacing w:line="520" w:lineRule="exact"/>
        <w:rPr>
          <w:rFonts w:hint="eastAsia" w:ascii="宋体" w:hAnsi="宋体" w:eastAsia="宋体" w:cs="Times New Roman"/>
          <w:b/>
          <w:bCs/>
          <w:szCs w:val="21"/>
          <w:lang w:val="en-US" w:eastAsia="zh-CN"/>
        </w:rPr>
      </w:pPr>
      <w:r>
        <w:rPr>
          <w:rFonts w:hint="eastAsia" w:ascii="宋体" w:hAnsi="宋体" w:eastAsia="宋体" w:cs="Times New Roman"/>
          <w:b/>
          <w:bCs/>
          <w:szCs w:val="21"/>
          <w:lang w:val="en-US" w:eastAsia="zh-CN"/>
        </w:rPr>
        <w:t>投标总价大写为必填项，如发生大小写不一致，以大写为准。</w:t>
      </w:r>
    </w:p>
    <w:p w14:paraId="76A353FD">
      <w:pPr>
        <w:numPr>
          <w:ilvl w:val="0"/>
          <w:numId w:val="10"/>
        </w:numPr>
        <w:spacing w:line="520" w:lineRule="exact"/>
        <w:rPr>
          <w:rFonts w:hint="eastAsia" w:ascii="宋体" w:hAnsi="宋体" w:eastAsia="宋体" w:cs="Times New Roman"/>
          <w:b/>
          <w:bCs/>
          <w:szCs w:val="21"/>
          <w:highlight w:val="none"/>
          <w:lang w:val="en-US" w:eastAsia="zh-CN"/>
        </w:rPr>
      </w:pPr>
      <w:r>
        <w:rPr>
          <w:rFonts w:hint="eastAsia" w:ascii="宋体" w:hAnsi="宋体" w:eastAsia="宋体" w:cs="Times New Roman"/>
          <w:b/>
          <w:bCs/>
          <w:szCs w:val="21"/>
          <w:highlight w:val="none"/>
          <w:lang w:val="en-US" w:eastAsia="zh-CN"/>
        </w:rPr>
        <w:t>投标总价包括全部（全新）产品价、表面处理费用、运杂费（包括现场卸车费）、设计、制造、安装、调试（含现场调试）、包装运输费、验收、技术及售后服务费、技术资料费、备品备件费等所有费用的总和。</w:t>
      </w:r>
    </w:p>
    <w:p w14:paraId="224AB3C7">
      <w:pPr>
        <w:pStyle w:val="24"/>
        <w:rPr>
          <w:rFonts w:hAnsi="宋体" w:eastAsia="宋体" w:cs="Times New Roman"/>
          <w:b/>
          <w:bCs/>
          <w:szCs w:val="21"/>
        </w:rPr>
      </w:pPr>
    </w:p>
    <w:p w14:paraId="75B06B6F">
      <w:pPr>
        <w:spacing w:line="660" w:lineRule="exact"/>
        <w:rPr>
          <w:rFonts w:ascii="宋体" w:hAnsi="Calibri" w:eastAsia="宋体" w:cs="Times New Roman"/>
          <w:sz w:val="24"/>
          <w:szCs w:val="20"/>
        </w:rPr>
      </w:pPr>
      <w:r>
        <w:rPr>
          <w:rFonts w:hint="eastAsia" w:ascii="宋体" w:hAnsi="宋体" w:eastAsia="宋体" w:cs="Times New Roman"/>
          <w:sz w:val="24"/>
          <w:szCs w:val="20"/>
        </w:rPr>
        <w:t>投标人：（盖章）</w:t>
      </w:r>
    </w:p>
    <w:p w14:paraId="14E1422C">
      <w:pPr>
        <w:spacing w:line="660" w:lineRule="exac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39167BE">
      <w:pPr>
        <w:spacing w:line="660" w:lineRule="exact"/>
        <w:rPr>
          <w:rFonts w:hint="eastAsia" w:ascii="宋体" w:hAnsi="宋体" w:eastAsia="宋体" w:cs="Times New Roman"/>
          <w:sz w:val="24"/>
          <w:szCs w:val="20"/>
        </w:rPr>
      </w:pP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7036DDC8">
      <w:pPr>
        <w:pStyle w:val="24"/>
        <w:rPr>
          <w:rFonts w:hint="eastAsia" w:ascii="宋体" w:hAnsi="宋体" w:eastAsia="宋体" w:cs="Times New Roman"/>
          <w:sz w:val="24"/>
          <w:szCs w:val="20"/>
        </w:rPr>
        <w:sectPr>
          <w:pgSz w:w="11906" w:h="16838"/>
          <w:pgMar w:top="1588" w:right="1418" w:bottom="1134" w:left="1418" w:header="851" w:footer="992" w:gutter="0"/>
          <w:cols w:space="720" w:num="1"/>
          <w:titlePg/>
          <w:docGrid w:type="lines" w:linePitch="312" w:charSpace="0"/>
        </w:sectPr>
      </w:pPr>
    </w:p>
    <w:p w14:paraId="7823C364">
      <w:pPr>
        <w:pStyle w:val="4"/>
        <w:spacing w:after="0" w:line="240" w:lineRule="auto"/>
        <w:jc w:val="left"/>
        <w:rPr>
          <w:rFonts w:hint="eastAsia" w:ascii="宋体" w:hAnsi="宋体" w:eastAsia="宋体" w:cs="宋体"/>
          <w:spacing w:val="8"/>
          <w:sz w:val="24"/>
          <w:szCs w:val="24"/>
          <w:lang w:eastAsia="zh-CN"/>
          <w14:textOutline w14:w="5791" w14:cap="flat" w14:cmpd="sng" w14:algn="ctr">
            <w14:solidFill>
              <w14:srgbClr w14:val="000000"/>
            </w14:solidFill>
            <w14:prstDash w14:val="solid"/>
            <w14:miter w14:val="0"/>
          </w14:textOutline>
        </w:rPr>
      </w:pPr>
      <w:r>
        <w:rPr>
          <w:rFonts w:hint="eastAsia" w:ascii="宋体" w:hAnsi="宋体" w:cs="宋体"/>
          <w:color w:val="000000"/>
          <w:sz w:val="24"/>
          <w:szCs w:val="24"/>
        </w:rPr>
        <w:t xml:space="preserve">附件9 </w:t>
      </w:r>
      <w:r>
        <w:rPr>
          <w:rFonts w:ascii="宋体" w:hAnsi="宋体" w:cs="宋体"/>
          <w:spacing w:val="13"/>
          <w:sz w:val="24"/>
          <w:szCs w:val="24"/>
          <w14:textOutline w14:w="5791" w14:cap="flat" w14:cmpd="sng" w14:algn="ctr">
            <w14:solidFill>
              <w14:srgbClr w14:val="000000"/>
            </w14:solidFill>
            <w14:prstDash w14:val="solid"/>
            <w14:miter w14:val="0"/>
          </w14:textOutline>
        </w:rPr>
        <w:t>设</w:t>
      </w:r>
      <w:r>
        <w:rPr>
          <w:rFonts w:ascii="宋体" w:hAnsi="宋体" w:cs="宋体"/>
          <w:spacing w:val="8"/>
          <w:sz w:val="24"/>
          <w:szCs w:val="24"/>
          <w14:textOutline w14:w="5791" w14:cap="flat" w14:cmpd="sng" w14:algn="ctr">
            <w14:solidFill>
              <w14:srgbClr w14:val="000000"/>
            </w14:solidFill>
            <w14:prstDash w14:val="solid"/>
            <w14:miter w14:val="0"/>
          </w14:textOutline>
        </w:rPr>
        <w:t>备分项报价表</w:t>
      </w:r>
    </w:p>
    <w:p w14:paraId="4DD9131F">
      <w:pPr>
        <w:pStyle w:val="24"/>
        <w:jc w:val="center"/>
        <w:rPr>
          <w:rFonts w:hint="eastAsia" w:ascii="宋体" w:hAnsi="宋体" w:eastAsia="宋体" w:cs="Times New Roman"/>
          <w:sz w:val="24"/>
          <w:szCs w:val="20"/>
        </w:rPr>
      </w:pPr>
      <w:r>
        <w:rPr>
          <w:rFonts w:ascii="宋体" w:hAnsi="宋体" w:eastAsia="宋体" w:cs="宋体"/>
          <w:spacing w:val="13"/>
          <w:sz w:val="24"/>
          <w:szCs w:val="24"/>
          <w14:textOutline w14:w="5791" w14:cap="flat" w14:cmpd="sng" w14:algn="ctr">
            <w14:solidFill>
              <w14:srgbClr w14:val="000000"/>
            </w14:solidFill>
            <w14:prstDash w14:val="solid"/>
            <w14:miter w14:val="0"/>
          </w14:textOutline>
        </w:rPr>
        <w:t>设</w:t>
      </w:r>
      <w:r>
        <w:rPr>
          <w:rFonts w:ascii="宋体" w:hAnsi="宋体" w:eastAsia="宋体" w:cs="宋体"/>
          <w:spacing w:val="8"/>
          <w:sz w:val="24"/>
          <w:szCs w:val="24"/>
          <w14:textOutline w14:w="5791" w14:cap="flat" w14:cmpd="sng" w14:algn="ctr">
            <w14:solidFill>
              <w14:srgbClr w14:val="000000"/>
            </w14:solidFill>
            <w14:prstDash w14:val="solid"/>
            <w14:miter w14:val="0"/>
          </w14:textOutline>
        </w:rPr>
        <w:t>备分项报价表</w:t>
      </w:r>
    </w:p>
    <w:tbl>
      <w:tblPr>
        <w:tblStyle w:val="48"/>
        <w:tblW w:w="53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400"/>
        <w:gridCol w:w="1443"/>
        <w:gridCol w:w="823"/>
        <w:gridCol w:w="811"/>
        <w:gridCol w:w="1488"/>
        <w:gridCol w:w="1936"/>
      </w:tblGrid>
      <w:tr w14:paraId="42D6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486" w:type="pct"/>
            <w:vAlign w:val="center"/>
          </w:tcPr>
          <w:p w14:paraId="6E6BAE3F">
            <w:pPr>
              <w:pStyle w:val="19"/>
              <w:bidi w:val="0"/>
              <w:jc w:val="center"/>
              <w:rPr>
                <w:rFonts w:hint="eastAsia"/>
                <w:highlight w:val="none"/>
              </w:rPr>
            </w:pPr>
            <w:r>
              <w:rPr>
                <w:rFonts w:hint="eastAsia"/>
                <w:highlight w:val="none"/>
              </w:rPr>
              <w:t>序号</w:t>
            </w:r>
          </w:p>
        </w:tc>
        <w:tc>
          <w:tcPr>
            <w:tcW w:w="1217" w:type="pct"/>
            <w:vAlign w:val="center"/>
          </w:tcPr>
          <w:p w14:paraId="073EFC87">
            <w:pPr>
              <w:pStyle w:val="19"/>
              <w:bidi w:val="0"/>
              <w:jc w:val="center"/>
              <w:rPr>
                <w:rFonts w:hint="eastAsia"/>
                <w:highlight w:val="none"/>
              </w:rPr>
            </w:pPr>
            <w:r>
              <w:rPr>
                <w:rFonts w:hint="eastAsia"/>
                <w:highlight w:val="none"/>
              </w:rPr>
              <w:t>名称</w:t>
            </w:r>
          </w:p>
        </w:tc>
        <w:tc>
          <w:tcPr>
            <w:tcW w:w="731" w:type="pct"/>
            <w:vAlign w:val="center"/>
          </w:tcPr>
          <w:p w14:paraId="54876B8A">
            <w:pPr>
              <w:pStyle w:val="19"/>
              <w:bidi w:val="0"/>
              <w:jc w:val="center"/>
              <w:rPr>
                <w:rFonts w:hint="default"/>
                <w:highlight w:val="none"/>
                <w:lang w:val="en-US" w:eastAsia="zh-CN"/>
              </w:rPr>
            </w:pPr>
            <w:r>
              <w:rPr>
                <w:rFonts w:hint="eastAsia"/>
                <w:highlight w:val="none"/>
                <w:lang w:val="en-US" w:eastAsia="zh-CN"/>
              </w:rPr>
              <w:t>未税单价（元）</w:t>
            </w:r>
          </w:p>
        </w:tc>
        <w:tc>
          <w:tcPr>
            <w:tcW w:w="417" w:type="pct"/>
            <w:vAlign w:val="center"/>
          </w:tcPr>
          <w:p w14:paraId="1726F5DA">
            <w:pPr>
              <w:pStyle w:val="19"/>
              <w:bidi w:val="0"/>
              <w:jc w:val="center"/>
              <w:rPr>
                <w:rFonts w:hint="eastAsia"/>
                <w:highlight w:val="none"/>
              </w:rPr>
            </w:pPr>
            <w:r>
              <w:rPr>
                <w:rFonts w:hint="eastAsia"/>
                <w:highlight w:val="none"/>
              </w:rPr>
              <w:t>单位</w:t>
            </w:r>
          </w:p>
        </w:tc>
        <w:tc>
          <w:tcPr>
            <w:tcW w:w="411" w:type="pct"/>
            <w:vAlign w:val="center"/>
          </w:tcPr>
          <w:p w14:paraId="13943F65">
            <w:pPr>
              <w:pStyle w:val="19"/>
              <w:bidi w:val="0"/>
              <w:jc w:val="center"/>
              <w:rPr>
                <w:rFonts w:hint="eastAsia"/>
                <w:highlight w:val="none"/>
              </w:rPr>
            </w:pPr>
            <w:r>
              <w:rPr>
                <w:rFonts w:hint="eastAsia"/>
                <w:highlight w:val="none"/>
              </w:rPr>
              <w:t>数量</w:t>
            </w:r>
          </w:p>
        </w:tc>
        <w:tc>
          <w:tcPr>
            <w:tcW w:w="754" w:type="pct"/>
            <w:vAlign w:val="center"/>
          </w:tcPr>
          <w:p w14:paraId="79D8A4C3">
            <w:pPr>
              <w:pStyle w:val="19"/>
              <w:bidi w:val="0"/>
              <w:jc w:val="center"/>
              <w:rPr>
                <w:rFonts w:hint="eastAsia"/>
                <w:highlight w:val="none"/>
              </w:rPr>
            </w:pPr>
            <w:r>
              <w:rPr>
                <w:rFonts w:hint="eastAsia"/>
                <w:highlight w:val="none"/>
                <w:lang w:val="en-US" w:eastAsia="zh-CN"/>
              </w:rPr>
              <w:t>未税总价（元）</w:t>
            </w:r>
          </w:p>
        </w:tc>
        <w:tc>
          <w:tcPr>
            <w:tcW w:w="981" w:type="pct"/>
            <w:vAlign w:val="center"/>
          </w:tcPr>
          <w:p w14:paraId="6E2C171B">
            <w:pPr>
              <w:pStyle w:val="19"/>
              <w:bidi w:val="0"/>
              <w:jc w:val="center"/>
              <w:rPr>
                <w:rFonts w:hint="eastAsia"/>
                <w:highlight w:val="none"/>
              </w:rPr>
            </w:pPr>
            <w:r>
              <w:rPr>
                <w:rFonts w:hint="eastAsia"/>
                <w:highlight w:val="none"/>
              </w:rPr>
              <w:t>备注</w:t>
            </w:r>
          </w:p>
        </w:tc>
      </w:tr>
      <w:tr w14:paraId="18288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0C2994BC">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4369586A">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42361870">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4677E7A4">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24C101F2">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31A9BFD5">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7A88A767">
            <w:pPr>
              <w:spacing w:line="360" w:lineRule="exact"/>
              <w:jc w:val="left"/>
              <w:rPr>
                <w:rFonts w:hint="eastAsia" w:asciiTheme="minorEastAsia" w:hAnsiTheme="minorEastAsia" w:eastAsiaTheme="minorEastAsia" w:cstheme="minorEastAsia"/>
                <w:sz w:val="24"/>
                <w:szCs w:val="24"/>
                <w:highlight w:val="none"/>
              </w:rPr>
            </w:pPr>
          </w:p>
        </w:tc>
      </w:tr>
      <w:tr w14:paraId="343C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4D6967BA">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6C5A532A">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698F6770">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0FB96047">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2E83CD96">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14234385">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4C6E66CA">
            <w:pPr>
              <w:spacing w:line="360" w:lineRule="exact"/>
              <w:jc w:val="left"/>
              <w:rPr>
                <w:rFonts w:hint="eastAsia" w:asciiTheme="minorEastAsia" w:hAnsiTheme="minorEastAsia" w:eastAsiaTheme="minorEastAsia" w:cstheme="minorEastAsia"/>
                <w:sz w:val="24"/>
                <w:szCs w:val="24"/>
                <w:highlight w:val="none"/>
              </w:rPr>
            </w:pPr>
          </w:p>
        </w:tc>
      </w:tr>
      <w:tr w14:paraId="25F1C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5188C257">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6D064DC0">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38998F59">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20D1550F">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5AA6B931">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5F6FF0F1">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1881E145">
            <w:pPr>
              <w:spacing w:line="360" w:lineRule="exact"/>
              <w:jc w:val="left"/>
              <w:rPr>
                <w:rFonts w:hint="eastAsia" w:asciiTheme="minorEastAsia" w:hAnsiTheme="minorEastAsia" w:eastAsiaTheme="minorEastAsia" w:cstheme="minorEastAsia"/>
                <w:sz w:val="24"/>
                <w:szCs w:val="24"/>
                <w:highlight w:val="none"/>
                <w:lang w:val="en-US" w:eastAsia="zh-CN"/>
              </w:rPr>
            </w:pPr>
          </w:p>
        </w:tc>
      </w:tr>
      <w:tr w14:paraId="1AD73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18E4859F">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36A0C4D8">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467D6FC2">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51BEA73A">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28B5DB12">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5737E97D">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0C385F49">
            <w:pPr>
              <w:spacing w:line="360" w:lineRule="exact"/>
              <w:jc w:val="left"/>
              <w:rPr>
                <w:rFonts w:hint="eastAsia" w:asciiTheme="minorEastAsia" w:hAnsiTheme="minorEastAsia" w:eastAsiaTheme="minorEastAsia" w:cstheme="minorEastAsia"/>
                <w:sz w:val="24"/>
                <w:szCs w:val="24"/>
                <w:highlight w:val="none"/>
                <w:lang w:val="en-US" w:eastAsia="zh-CN"/>
              </w:rPr>
            </w:pPr>
          </w:p>
        </w:tc>
      </w:tr>
      <w:tr w14:paraId="30E7F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0D380C9A">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728CAF15">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6815ABBF">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1A5D1037">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1A1F274C">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1E249AF7">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0E785BA4">
            <w:pPr>
              <w:spacing w:line="360" w:lineRule="exact"/>
              <w:jc w:val="left"/>
              <w:rPr>
                <w:rFonts w:hint="eastAsia" w:asciiTheme="minorEastAsia" w:hAnsiTheme="minorEastAsia" w:eastAsiaTheme="minorEastAsia" w:cstheme="minorEastAsia"/>
                <w:sz w:val="24"/>
                <w:szCs w:val="24"/>
                <w:highlight w:val="none"/>
              </w:rPr>
            </w:pPr>
          </w:p>
        </w:tc>
      </w:tr>
      <w:tr w14:paraId="41C5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4E3AFA8F">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550F9AA7">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5CC20620">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3E287AF2">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3BF4C854">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1567F212">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497B66AB">
            <w:pPr>
              <w:spacing w:line="360" w:lineRule="exact"/>
              <w:jc w:val="left"/>
              <w:rPr>
                <w:rFonts w:hint="eastAsia" w:asciiTheme="minorEastAsia" w:hAnsiTheme="minorEastAsia" w:eastAsiaTheme="minorEastAsia" w:cstheme="minorEastAsia"/>
                <w:sz w:val="24"/>
                <w:szCs w:val="24"/>
                <w:highlight w:val="none"/>
              </w:rPr>
            </w:pPr>
          </w:p>
        </w:tc>
      </w:tr>
      <w:tr w14:paraId="5C54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6" w:type="pct"/>
            <w:vAlign w:val="center"/>
          </w:tcPr>
          <w:p w14:paraId="566BD6AE">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23D2908E">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4E3CE2E4">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29DD914E">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2BA57BE2">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5AA23E78">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2689EF9B">
            <w:pPr>
              <w:spacing w:line="360" w:lineRule="exact"/>
              <w:jc w:val="left"/>
              <w:rPr>
                <w:rFonts w:hint="eastAsia" w:asciiTheme="minorEastAsia" w:hAnsiTheme="minorEastAsia" w:eastAsiaTheme="minorEastAsia" w:cstheme="minorEastAsia"/>
                <w:sz w:val="24"/>
                <w:szCs w:val="24"/>
                <w:highlight w:val="none"/>
              </w:rPr>
            </w:pPr>
          </w:p>
        </w:tc>
      </w:tr>
      <w:tr w14:paraId="40EB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5420BE31">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7B30C537">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4C8F2DB7">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412D19F7">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6E127DCA">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412DB90F">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0F3DD507">
            <w:pPr>
              <w:spacing w:line="360" w:lineRule="exact"/>
              <w:jc w:val="left"/>
              <w:rPr>
                <w:rFonts w:hint="eastAsia" w:asciiTheme="minorEastAsia" w:hAnsiTheme="minorEastAsia" w:eastAsiaTheme="minorEastAsia" w:cstheme="minorEastAsia"/>
                <w:sz w:val="24"/>
                <w:szCs w:val="24"/>
                <w:highlight w:val="none"/>
              </w:rPr>
            </w:pPr>
          </w:p>
        </w:tc>
      </w:tr>
      <w:tr w14:paraId="2350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72E423DC">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2E5A163F">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623ABB9B">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7298B6EB">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0A6C233F">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0B7220AF">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5DCBB4F3">
            <w:pPr>
              <w:spacing w:line="360" w:lineRule="exact"/>
              <w:jc w:val="left"/>
              <w:rPr>
                <w:rFonts w:hint="eastAsia" w:asciiTheme="minorEastAsia" w:hAnsiTheme="minorEastAsia" w:eastAsiaTheme="minorEastAsia" w:cstheme="minorEastAsia"/>
                <w:sz w:val="24"/>
                <w:szCs w:val="24"/>
                <w:highlight w:val="none"/>
              </w:rPr>
            </w:pPr>
          </w:p>
        </w:tc>
      </w:tr>
      <w:tr w14:paraId="0C4D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6" w:type="pct"/>
            <w:vAlign w:val="center"/>
          </w:tcPr>
          <w:p w14:paraId="1D5FD3D3">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77878985">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748A50D7">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04174EFE">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4DF57C61">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0DD274BA">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2D43C979">
            <w:pPr>
              <w:spacing w:line="360" w:lineRule="exact"/>
              <w:jc w:val="left"/>
              <w:rPr>
                <w:rFonts w:hint="eastAsia" w:asciiTheme="minorEastAsia" w:hAnsiTheme="minorEastAsia" w:eastAsiaTheme="minorEastAsia" w:cstheme="minorEastAsia"/>
                <w:sz w:val="24"/>
                <w:szCs w:val="24"/>
                <w:highlight w:val="none"/>
              </w:rPr>
            </w:pPr>
          </w:p>
        </w:tc>
      </w:tr>
      <w:tr w14:paraId="0618A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28B199A0">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289C1641">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731" w:type="pct"/>
            <w:tcBorders>
              <w:top w:val="single" w:color="auto" w:sz="4" w:space="0"/>
              <w:bottom w:val="single" w:color="auto" w:sz="4" w:space="0"/>
            </w:tcBorders>
            <w:vAlign w:val="center"/>
          </w:tcPr>
          <w:p w14:paraId="3AF3DECF">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3CE30D85">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5E73C2FA">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2956B971">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6FE37B48">
            <w:pPr>
              <w:spacing w:line="360" w:lineRule="exact"/>
              <w:jc w:val="left"/>
              <w:rPr>
                <w:rFonts w:hint="eastAsia" w:asciiTheme="minorEastAsia" w:hAnsiTheme="minorEastAsia" w:eastAsiaTheme="minorEastAsia" w:cstheme="minorEastAsia"/>
                <w:sz w:val="24"/>
                <w:szCs w:val="24"/>
                <w:highlight w:val="none"/>
              </w:rPr>
            </w:pPr>
          </w:p>
        </w:tc>
      </w:tr>
      <w:tr w14:paraId="5F28E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6E292EA6">
            <w:pPr>
              <w:spacing w:line="360" w:lineRule="auto"/>
              <w:jc w:val="center"/>
              <w:rPr>
                <w:rFonts w:hint="eastAsia" w:asciiTheme="minorEastAsia" w:hAnsiTheme="minorEastAsia" w:eastAsiaTheme="minorEastAsia" w:cstheme="minorEastAsia"/>
                <w:sz w:val="24"/>
                <w:szCs w:val="24"/>
                <w:highlight w:val="none"/>
                <w:lang w:val="en-US" w:eastAsia="zh-CN"/>
              </w:rPr>
            </w:pPr>
          </w:p>
        </w:tc>
        <w:tc>
          <w:tcPr>
            <w:tcW w:w="1217" w:type="pct"/>
            <w:vAlign w:val="center"/>
          </w:tcPr>
          <w:p w14:paraId="6D6BC7D2">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投标方认为必须配备的其他内容</w:t>
            </w:r>
          </w:p>
        </w:tc>
        <w:tc>
          <w:tcPr>
            <w:tcW w:w="731" w:type="pct"/>
            <w:tcBorders>
              <w:top w:val="single" w:color="auto" w:sz="4" w:space="0"/>
              <w:bottom w:val="single" w:color="auto" w:sz="4" w:space="0"/>
            </w:tcBorders>
            <w:vAlign w:val="center"/>
          </w:tcPr>
          <w:p w14:paraId="08934C48">
            <w:pPr>
              <w:widowControl/>
              <w:spacing w:line="0" w:lineRule="atLeast"/>
              <w:jc w:val="left"/>
              <w:textAlignment w:val="center"/>
              <w:rPr>
                <w:rFonts w:hint="eastAsia" w:asciiTheme="minorEastAsia" w:hAnsiTheme="minorEastAsia" w:eastAsiaTheme="minorEastAsia" w:cstheme="minorEastAsia"/>
                <w:sz w:val="24"/>
                <w:szCs w:val="24"/>
                <w:highlight w:val="none"/>
                <w:lang w:val="en-US" w:eastAsia="zh-CN"/>
              </w:rPr>
            </w:pPr>
          </w:p>
        </w:tc>
        <w:tc>
          <w:tcPr>
            <w:tcW w:w="417" w:type="pct"/>
            <w:tcBorders>
              <w:top w:val="single" w:color="auto" w:sz="4" w:space="0"/>
              <w:bottom w:val="single" w:color="auto" w:sz="4" w:space="0"/>
            </w:tcBorders>
            <w:vAlign w:val="center"/>
          </w:tcPr>
          <w:p w14:paraId="233DE447">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411" w:type="pct"/>
            <w:vAlign w:val="center"/>
          </w:tcPr>
          <w:p w14:paraId="19228086">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754" w:type="pct"/>
            <w:vAlign w:val="center"/>
          </w:tcPr>
          <w:p w14:paraId="2C8B277C">
            <w:pPr>
              <w:widowControl/>
              <w:spacing w:line="0" w:lineRule="atLeast"/>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p>
        </w:tc>
        <w:tc>
          <w:tcPr>
            <w:tcW w:w="981" w:type="pct"/>
            <w:vAlign w:val="center"/>
          </w:tcPr>
          <w:p w14:paraId="435A309E">
            <w:pPr>
              <w:spacing w:line="360" w:lineRule="exact"/>
              <w:jc w:val="left"/>
              <w:rPr>
                <w:rFonts w:hint="eastAsia" w:asciiTheme="minorEastAsia" w:hAnsiTheme="minorEastAsia" w:eastAsiaTheme="minorEastAsia" w:cstheme="minorEastAsia"/>
                <w:sz w:val="24"/>
                <w:szCs w:val="24"/>
                <w:highlight w:val="none"/>
              </w:rPr>
            </w:pPr>
          </w:p>
        </w:tc>
      </w:tr>
      <w:tr w14:paraId="3969B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435" w:type="pct"/>
            <w:gridSpan w:val="3"/>
            <w:vAlign w:val="center"/>
          </w:tcPr>
          <w:p w14:paraId="471CD6DD">
            <w:pPr>
              <w:widowControl/>
              <w:spacing w:line="0" w:lineRule="atLeast"/>
              <w:jc w:val="center"/>
              <w:textAlignment w:val="center"/>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未税合计</w:t>
            </w:r>
          </w:p>
        </w:tc>
        <w:tc>
          <w:tcPr>
            <w:tcW w:w="2564" w:type="pct"/>
            <w:gridSpan w:val="4"/>
            <w:tcBorders>
              <w:top w:val="single" w:color="auto" w:sz="4" w:space="0"/>
            </w:tcBorders>
            <w:vAlign w:val="center"/>
          </w:tcPr>
          <w:p w14:paraId="78838036">
            <w:pPr>
              <w:spacing w:line="360" w:lineRule="exact"/>
              <w:jc w:val="center"/>
              <w:rPr>
                <w:rFonts w:hint="eastAsia" w:asciiTheme="minorEastAsia" w:hAnsiTheme="minorEastAsia" w:eastAsiaTheme="minorEastAsia" w:cstheme="minorEastAsia"/>
                <w:sz w:val="24"/>
                <w:szCs w:val="24"/>
                <w:highlight w:val="none"/>
              </w:rPr>
            </w:pPr>
          </w:p>
        </w:tc>
      </w:tr>
      <w:tr w14:paraId="2C5D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2435" w:type="pct"/>
            <w:gridSpan w:val="3"/>
            <w:vAlign w:val="center"/>
          </w:tcPr>
          <w:p w14:paraId="38ACB10A">
            <w:pPr>
              <w:widowControl/>
              <w:spacing w:line="0" w:lineRule="atLeast"/>
              <w:jc w:val="center"/>
              <w:textAlignment w:val="center"/>
              <w:rPr>
                <w:rFonts w:hint="default"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含税合计（税率</w:t>
            </w:r>
            <w:r>
              <w:rPr>
                <w:rFonts w:hint="eastAsia" w:asciiTheme="minorEastAsia" w:hAnsiTheme="minorEastAsia" w:eastAsiaTheme="minorEastAsia" w:cstheme="minorEastAsia"/>
                <w:sz w:val="24"/>
                <w:szCs w:val="24"/>
                <w:highlight w:val="none"/>
                <w:u w:val="single"/>
                <w:lang w:val="en-US" w:eastAsia="zh-CN"/>
              </w:rPr>
              <w:t xml:space="preserve">  </w:t>
            </w:r>
            <w:r>
              <w:rPr>
                <w:rFonts w:hint="eastAsia" w:asciiTheme="minorEastAsia" w:hAnsiTheme="minorEastAsia" w:eastAsiaTheme="minorEastAsia" w:cstheme="minorEastAsia"/>
                <w:sz w:val="24"/>
                <w:szCs w:val="24"/>
                <w:highlight w:val="none"/>
                <w:lang w:val="en-US" w:eastAsia="zh-CN"/>
              </w:rPr>
              <w:t>%）</w:t>
            </w:r>
          </w:p>
        </w:tc>
        <w:tc>
          <w:tcPr>
            <w:tcW w:w="2564" w:type="pct"/>
            <w:gridSpan w:val="4"/>
            <w:tcBorders>
              <w:top w:val="single" w:color="auto" w:sz="4" w:space="0"/>
            </w:tcBorders>
            <w:vAlign w:val="center"/>
          </w:tcPr>
          <w:p w14:paraId="459AE4DF">
            <w:pPr>
              <w:spacing w:line="360" w:lineRule="exact"/>
              <w:jc w:val="center"/>
              <w:rPr>
                <w:rFonts w:hint="eastAsia" w:asciiTheme="minorEastAsia" w:hAnsiTheme="minorEastAsia" w:eastAsiaTheme="minorEastAsia" w:cstheme="minorEastAsia"/>
                <w:sz w:val="24"/>
                <w:szCs w:val="24"/>
                <w:highlight w:val="none"/>
              </w:rPr>
            </w:pPr>
          </w:p>
        </w:tc>
      </w:tr>
    </w:tbl>
    <w:p w14:paraId="29BF92C6">
      <w:pPr>
        <w:spacing w:before="58" w:line="219" w:lineRule="auto"/>
        <w:ind w:left="8"/>
        <w:rPr>
          <w:rFonts w:ascii="宋体" w:hAnsi="宋体" w:eastAsia="宋体" w:cs="宋体"/>
          <w:spacing w:val="-8"/>
          <w:szCs w:val="21"/>
        </w:rPr>
      </w:pPr>
      <w:r>
        <w:rPr>
          <w:rFonts w:ascii="宋体" w:hAnsi="宋体" w:eastAsia="宋体" w:cs="宋体"/>
          <w:spacing w:val="-8"/>
          <w:szCs w:val="21"/>
        </w:rPr>
        <w:t>注：</w:t>
      </w:r>
      <w:r>
        <w:rPr>
          <w:rFonts w:hint="eastAsia" w:ascii="宋体" w:hAnsi="宋体" w:eastAsia="宋体" w:cs="宋体"/>
          <w:spacing w:val="-8"/>
          <w:szCs w:val="21"/>
        </w:rPr>
        <w:t xml:space="preserve"> </w:t>
      </w:r>
      <w:r>
        <w:rPr>
          <w:rFonts w:ascii="宋体" w:hAnsi="宋体" w:eastAsia="宋体" w:cs="宋体"/>
          <w:spacing w:val="-8"/>
          <w:szCs w:val="21"/>
        </w:rPr>
        <w:t>1.以上是各单体设备分项报价应包括的内容， 但不限于此，表中“总价合计”构成主机价格的一部分。</w:t>
      </w:r>
    </w:p>
    <w:p w14:paraId="28D269DA">
      <w:pPr>
        <w:spacing w:before="58" w:line="219" w:lineRule="auto"/>
        <w:ind w:left="8"/>
        <w:rPr>
          <w:rFonts w:ascii="宋体" w:hAnsi="宋体" w:eastAsia="宋体" w:cs="宋体"/>
          <w:spacing w:val="-8"/>
          <w:szCs w:val="21"/>
        </w:rPr>
      </w:pPr>
      <w:r>
        <w:rPr>
          <w:rFonts w:ascii="宋体" w:hAnsi="宋体" w:eastAsia="宋体" w:cs="宋体"/>
          <w:spacing w:val="-8"/>
          <w:szCs w:val="21"/>
        </w:rPr>
        <w:t>2.如果按单价计算的结果与总价不一致，以单价为准修正总价。</w:t>
      </w:r>
    </w:p>
    <w:p w14:paraId="104BAB75">
      <w:pPr>
        <w:spacing w:before="58" w:line="219" w:lineRule="auto"/>
        <w:ind w:left="8"/>
        <w:rPr>
          <w:rFonts w:ascii="宋体" w:hAnsi="宋体" w:eastAsia="宋体" w:cs="宋体"/>
          <w:spacing w:val="-8"/>
          <w:szCs w:val="21"/>
        </w:rPr>
      </w:pPr>
      <w:r>
        <w:rPr>
          <w:rFonts w:ascii="宋体" w:hAnsi="宋体" w:eastAsia="宋体" w:cs="宋体"/>
          <w:spacing w:val="-8"/>
          <w:szCs w:val="21"/>
        </w:rPr>
        <w:t>3.此分项报价，仅是为了方便招标人对投标文件进行分析比较，不作为限制订立合同的条件。</w:t>
      </w:r>
    </w:p>
    <w:p w14:paraId="58DA9124">
      <w:pPr>
        <w:spacing w:before="58" w:line="219" w:lineRule="auto"/>
        <w:ind w:left="8"/>
        <w:rPr>
          <w:rFonts w:ascii="宋体" w:hAnsi="宋体" w:eastAsia="宋体" w:cs="宋体"/>
          <w:spacing w:val="-8"/>
          <w:szCs w:val="21"/>
        </w:rPr>
      </w:pPr>
      <w:r>
        <w:rPr>
          <w:rFonts w:hint="eastAsia" w:ascii="宋体" w:hAnsi="宋体" w:eastAsia="宋体" w:cs="宋体"/>
          <w:spacing w:val="-8"/>
          <w:szCs w:val="21"/>
        </w:rPr>
        <w:t>4.如上表中的有关费用投标人免费提供，请注明“免费”字样。</w:t>
      </w:r>
    </w:p>
    <w:p w14:paraId="240D8EB0">
      <w:pPr>
        <w:spacing w:before="58" w:line="219" w:lineRule="auto"/>
        <w:ind w:left="8"/>
        <w:rPr>
          <w:rFonts w:ascii="宋体" w:hAnsi="宋体" w:eastAsia="宋体" w:cs="宋体"/>
          <w:spacing w:val="-8"/>
          <w:szCs w:val="21"/>
        </w:rPr>
      </w:pPr>
      <w:r>
        <w:rPr>
          <w:rFonts w:hint="eastAsia" w:ascii="宋体" w:hAnsi="宋体" w:eastAsia="宋体" w:cs="宋体"/>
          <w:spacing w:val="-8"/>
          <w:szCs w:val="21"/>
        </w:rPr>
        <w:t>5.该明细表所有信息均为必填项，不得删减，价格部分不得合并，可细化可增加。</w:t>
      </w:r>
    </w:p>
    <w:p w14:paraId="2F7C4B17">
      <w:pPr>
        <w:spacing w:before="58" w:line="219" w:lineRule="auto"/>
        <w:ind w:left="8"/>
        <w:rPr>
          <w:rFonts w:hint="eastAsia" w:ascii="宋体" w:hAnsi="宋体" w:eastAsia="宋体" w:cs="宋体"/>
          <w:spacing w:val="-8"/>
          <w:szCs w:val="21"/>
        </w:rPr>
      </w:pPr>
      <w:r>
        <w:rPr>
          <w:rFonts w:hint="eastAsia" w:ascii="宋体" w:hAnsi="宋体" w:eastAsia="宋体" w:cs="宋体"/>
          <w:spacing w:val="-8"/>
          <w:szCs w:val="21"/>
        </w:rPr>
        <w:t>6.因填写不规范造成废标及终止招标的，责任由投标人自负。</w:t>
      </w:r>
    </w:p>
    <w:p w14:paraId="0420016C">
      <w:pPr>
        <w:pStyle w:val="24"/>
        <w:rPr>
          <w:rFonts w:hint="eastAsia" w:ascii="宋体" w:hAnsi="宋体" w:eastAsia="宋体" w:cs="宋体"/>
          <w:spacing w:val="-6"/>
          <w:szCs w:val="21"/>
        </w:rPr>
      </w:pPr>
    </w:p>
    <w:p w14:paraId="29DFC832">
      <w:pPr>
        <w:pStyle w:val="24"/>
        <w:rPr>
          <w:rFonts w:hint="eastAsia" w:ascii="宋体" w:hAnsi="宋体" w:eastAsia="宋体" w:cs="宋体"/>
          <w:spacing w:val="-6"/>
          <w:szCs w:val="21"/>
        </w:rPr>
      </w:pPr>
    </w:p>
    <w:p w14:paraId="70327352">
      <w:pPr>
        <w:pStyle w:val="24"/>
        <w:sectPr>
          <w:pgSz w:w="11906" w:h="16838"/>
          <w:pgMar w:top="1588" w:right="1418" w:bottom="1134" w:left="1418" w:header="851" w:footer="992" w:gutter="0"/>
          <w:cols w:space="720" w:num="1"/>
          <w:titlePg/>
          <w:docGrid w:type="lines" w:linePitch="312" w:charSpace="0"/>
        </w:sectPr>
      </w:pPr>
      <w:r>
        <w:rPr>
          <w:rFonts w:hint="eastAsia" w:ascii="宋体" w:hAnsi="宋体" w:eastAsia="宋体" w:cs="宋体"/>
          <w:spacing w:val="-4"/>
          <w:sz w:val="24"/>
          <w:szCs w:val="24"/>
        </w:rPr>
        <w:t xml:space="preserve">投标人(章)：         </w:t>
      </w:r>
      <w:r>
        <w:rPr>
          <w:rFonts w:hint="eastAsia" w:ascii="宋体" w:hAnsi="宋体" w:eastAsia="宋体" w:cs="宋体"/>
          <w:spacing w:val="-4"/>
          <w:sz w:val="24"/>
          <w:szCs w:val="24"/>
          <w:lang w:val="en-US" w:eastAsia="zh-CN"/>
        </w:rPr>
        <w:t xml:space="preserve">     </w:t>
      </w:r>
      <w:r>
        <w:rPr>
          <w:rFonts w:hint="eastAsia" w:ascii="宋体" w:hAnsi="宋体" w:eastAsia="宋体" w:cs="宋体"/>
          <w:spacing w:val="-4"/>
          <w:sz w:val="24"/>
          <w:szCs w:val="24"/>
        </w:rPr>
        <w:t xml:space="preserve">   </w:t>
      </w:r>
      <w:r>
        <w:rPr>
          <w:rFonts w:hint="eastAsia" w:ascii="宋体" w:hAnsi="宋体" w:eastAsia="宋体" w:cs="宋体"/>
          <w:spacing w:val="-2"/>
          <w:sz w:val="24"/>
          <w:szCs w:val="24"/>
        </w:rPr>
        <w:t>授权代表(签字)：</w:t>
      </w:r>
      <w:r>
        <w:rPr>
          <w:rFonts w:hint="eastAsia" w:ascii="宋体" w:hAnsi="宋体" w:eastAsia="宋体" w:cs="宋体"/>
          <w:spacing w:val="4"/>
          <w:sz w:val="24"/>
          <w:szCs w:val="24"/>
        </w:rPr>
        <w:t xml:space="preserve"> </w:t>
      </w:r>
      <w:r>
        <w:rPr>
          <w:rFonts w:hint="eastAsia" w:ascii="宋体" w:hAnsi="宋体" w:eastAsia="宋体" w:cs="宋体"/>
          <w:spacing w:val="3"/>
          <w:sz w:val="24"/>
          <w:szCs w:val="24"/>
        </w:rPr>
        <w:t xml:space="preserve">        </w:t>
      </w:r>
      <w:r>
        <w:rPr>
          <w:rFonts w:hint="eastAsia" w:ascii="宋体" w:hAnsi="宋体" w:eastAsia="宋体" w:cs="宋体"/>
          <w:spacing w:val="3"/>
          <w:sz w:val="24"/>
          <w:szCs w:val="24"/>
          <w:lang w:val="en-US" w:eastAsia="zh-CN"/>
        </w:rPr>
        <w:t xml:space="preserve">       </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 xml:space="preserve">年   </w:t>
      </w:r>
      <w:r>
        <w:rPr>
          <w:rFonts w:hint="eastAsia" w:ascii="宋体" w:hAnsi="宋体" w:eastAsia="宋体" w:cs="宋体"/>
          <w:spacing w:val="-2"/>
          <w:sz w:val="24"/>
          <w:szCs w:val="24"/>
          <w:lang w:val="en-US" w:eastAsia="zh-CN"/>
        </w:rPr>
        <w:t>月   日</w:t>
      </w:r>
      <w:r>
        <w:rPr>
          <w:rFonts w:hint="eastAsia" w:ascii="宋体" w:hAnsi="宋体" w:eastAsia="宋体" w:cs="宋体"/>
          <w:spacing w:val="-2"/>
          <w:sz w:val="24"/>
          <w:szCs w:val="24"/>
        </w:rPr>
        <w:t xml:space="preserve"> </w:t>
      </w:r>
    </w:p>
    <w:p w14:paraId="00511A10">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附件10 商务条款偏离表</w:t>
      </w:r>
    </w:p>
    <w:p w14:paraId="73DAACAA">
      <w:pPr>
        <w:rPr>
          <w:rFonts w:hint="default" w:ascii="Times New Roman" w:hAnsi="Times New Roman" w:eastAsia="宋体" w:cs="Times New Roman"/>
          <w:szCs w:val="20"/>
        </w:rPr>
      </w:pPr>
    </w:p>
    <w:tbl>
      <w:tblPr>
        <w:tblStyle w:val="48"/>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2B02D8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07E8F16">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62EA8497">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4B8AC8A9">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响应规格</w:t>
            </w:r>
          </w:p>
        </w:tc>
        <w:tc>
          <w:tcPr>
            <w:tcW w:w="1645" w:type="dxa"/>
            <w:tcBorders>
              <w:top w:val="single" w:color="auto" w:sz="4" w:space="0"/>
              <w:left w:val="single" w:color="auto" w:sz="4" w:space="0"/>
              <w:bottom w:val="single" w:color="auto" w:sz="4" w:space="0"/>
            </w:tcBorders>
            <w:vAlign w:val="center"/>
          </w:tcPr>
          <w:p w14:paraId="4D0F3A1E">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是否偏离</w:t>
            </w:r>
          </w:p>
          <w:p w14:paraId="1C69FC03">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（提供说明）</w:t>
            </w:r>
          </w:p>
        </w:tc>
      </w:tr>
      <w:tr w14:paraId="5919D0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037B9E5">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62AFBC9A">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79436A43">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5EFA62E9">
            <w:pPr>
              <w:jc w:val="center"/>
              <w:rPr>
                <w:rFonts w:hint="default" w:ascii="Times New Roman" w:hAnsi="Times New Roman" w:eastAsia="宋体" w:cs="Times New Roman"/>
                <w:b/>
                <w:szCs w:val="20"/>
              </w:rPr>
            </w:pPr>
          </w:p>
        </w:tc>
      </w:tr>
      <w:tr w14:paraId="1DBDE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5534B57">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588154ED">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0CCE84E7">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2EC52036">
            <w:pPr>
              <w:jc w:val="center"/>
              <w:rPr>
                <w:rFonts w:hint="default" w:ascii="Times New Roman" w:hAnsi="Times New Roman" w:eastAsia="宋体" w:cs="Times New Roman"/>
                <w:b/>
                <w:szCs w:val="21"/>
              </w:rPr>
            </w:pPr>
          </w:p>
        </w:tc>
      </w:tr>
      <w:tr w14:paraId="0AE4E91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3371D61C">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付款条件</w:t>
            </w:r>
          </w:p>
        </w:tc>
        <w:tc>
          <w:tcPr>
            <w:tcW w:w="2875" w:type="dxa"/>
            <w:tcBorders>
              <w:top w:val="single" w:color="auto" w:sz="4" w:space="0"/>
              <w:left w:val="single" w:color="auto" w:sz="4" w:space="0"/>
              <w:bottom w:val="single" w:color="auto" w:sz="4" w:space="0"/>
              <w:right w:val="single" w:color="auto" w:sz="4" w:space="0"/>
            </w:tcBorders>
          </w:tcPr>
          <w:p w14:paraId="26C08242">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tcPr>
          <w:p w14:paraId="07D5FD5E">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3B899C45">
            <w:pPr>
              <w:jc w:val="center"/>
              <w:rPr>
                <w:rFonts w:hint="default" w:ascii="Times New Roman" w:hAnsi="Times New Roman" w:eastAsia="宋体" w:cs="Times New Roman"/>
                <w:b/>
                <w:szCs w:val="20"/>
              </w:rPr>
            </w:pPr>
          </w:p>
        </w:tc>
      </w:tr>
      <w:tr w14:paraId="7A9E50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07DAB77">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65A930E2">
            <w:pPr>
              <w:jc w:val="center"/>
              <w:rPr>
                <w:rFonts w:hint="default" w:ascii="Times New Roman" w:hAnsi="Times New Roman" w:eastAsia="宋体" w:cs="Times New Roman"/>
                <w:b/>
                <w:szCs w:val="21"/>
              </w:rPr>
            </w:pPr>
          </w:p>
        </w:tc>
        <w:tc>
          <w:tcPr>
            <w:tcW w:w="2885" w:type="dxa"/>
            <w:tcBorders>
              <w:top w:val="single" w:color="auto" w:sz="4" w:space="0"/>
              <w:left w:val="single" w:color="auto" w:sz="4" w:space="0"/>
              <w:bottom w:val="single" w:color="auto" w:sz="4" w:space="0"/>
              <w:right w:val="single" w:color="auto" w:sz="4" w:space="0"/>
            </w:tcBorders>
            <w:vAlign w:val="center"/>
          </w:tcPr>
          <w:p w14:paraId="7EE332CE">
            <w:pPr>
              <w:jc w:val="center"/>
              <w:rPr>
                <w:rFonts w:hint="default" w:ascii="Times New Roman" w:hAnsi="Times New Roman" w:eastAsia="宋体" w:cs="Times New Roman"/>
                <w:b/>
                <w:szCs w:val="21"/>
              </w:rPr>
            </w:pPr>
          </w:p>
        </w:tc>
        <w:tc>
          <w:tcPr>
            <w:tcW w:w="1645" w:type="dxa"/>
            <w:tcBorders>
              <w:top w:val="single" w:color="auto" w:sz="4" w:space="0"/>
              <w:left w:val="single" w:color="auto" w:sz="4" w:space="0"/>
              <w:bottom w:val="single" w:color="auto" w:sz="4" w:space="0"/>
            </w:tcBorders>
            <w:vAlign w:val="center"/>
          </w:tcPr>
          <w:p w14:paraId="1590B78D">
            <w:pPr>
              <w:jc w:val="center"/>
              <w:rPr>
                <w:rFonts w:hint="default" w:ascii="Times New Roman" w:hAnsi="Times New Roman" w:eastAsia="宋体" w:cs="Times New Roman"/>
                <w:b/>
                <w:szCs w:val="21"/>
              </w:rPr>
            </w:pPr>
          </w:p>
          <w:p w14:paraId="08283A06">
            <w:pPr>
              <w:jc w:val="center"/>
              <w:rPr>
                <w:rFonts w:hint="default" w:ascii="Times New Roman" w:hAnsi="Times New Roman" w:eastAsia="宋体" w:cs="Times New Roman"/>
                <w:b/>
                <w:szCs w:val="21"/>
              </w:rPr>
            </w:pPr>
          </w:p>
          <w:p w14:paraId="5342A488">
            <w:pPr>
              <w:jc w:val="center"/>
              <w:rPr>
                <w:rFonts w:hint="default" w:ascii="Times New Roman" w:hAnsi="Times New Roman" w:eastAsia="宋体" w:cs="Times New Roman"/>
                <w:b/>
                <w:szCs w:val="21"/>
              </w:rPr>
            </w:pPr>
          </w:p>
          <w:p w14:paraId="281D2331">
            <w:pPr>
              <w:jc w:val="center"/>
              <w:rPr>
                <w:rFonts w:hint="default" w:ascii="Times New Roman" w:hAnsi="Times New Roman" w:eastAsia="宋体" w:cs="Times New Roman"/>
                <w:b/>
                <w:szCs w:val="21"/>
              </w:rPr>
            </w:pPr>
          </w:p>
          <w:p w14:paraId="46375FF8">
            <w:pPr>
              <w:jc w:val="center"/>
              <w:rPr>
                <w:rFonts w:hint="default" w:ascii="Times New Roman" w:hAnsi="Times New Roman" w:eastAsia="宋体" w:cs="Times New Roman"/>
                <w:b/>
                <w:szCs w:val="21"/>
              </w:rPr>
            </w:pPr>
          </w:p>
          <w:p w14:paraId="50D1E5E0">
            <w:pPr>
              <w:jc w:val="center"/>
              <w:rPr>
                <w:rFonts w:hint="default" w:ascii="Times New Roman" w:hAnsi="Times New Roman" w:eastAsia="宋体" w:cs="Times New Roman"/>
                <w:b/>
                <w:szCs w:val="21"/>
              </w:rPr>
            </w:pPr>
          </w:p>
          <w:p w14:paraId="4A71473E">
            <w:pPr>
              <w:jc w:val="center"/>
              <w:rPr>
                <w:rFonts w:hint="default" w:ascii="Times New Roman" w:hAnsi="Times New Roman" w:eastAsia="宋体" w:cs="Times New Roman"/>
                <w:b/>
                <w:szCs w:val="21"/>
              </w:rPr>
            </w:pPr>
          </w:p>
          <w:p w14:paraId="45B1E147">
            <w:pPr>
              <w:jc w:val="center"/>
              <w:rPr>
                <w:rFonts w:hint="default" w:ascii="Times New Roman" w:hAnsi="Times New Roman" w:eastAsia="宋体" w:cs="Times New Roman"/>
                <w:b/>
                <w:szCs w:val="21"/>
              </w:rPr>
            </w:pPr>
          </w:p>
          <w:p w14:paraId="25895171">
            <w:pPr>
              <w:jc w:val="center"/>
              <w:rPr>
                <w:rFonts w:hint="default" w:ascii="Times New Roman" w:hAnsi="Times New Roman" w:eastAsia="宋体" w:cs="Times New Roman"/>
                <w:b/>
                <w:szCs w:val="21"/>
              </w:rPr>
            </w:pPr>
          </w:p>
          <w:p w14:paraId="5568D721">
            <w:pPr>
              <w:jc w:val="center"/>
              <w:rPr>
                <w:rFonts w:hint="default" w:ascii="Times New Roman" w:hAnsi="Times New Roman" w:eastAsia="宋体" w:cs="Times New Roman"/>
                <w:b/>
                <w:szCs w:val="21"/>
              </w:rPr>
            </w:pPr>
          </w:p>
          <w:p w14:paraId="08C635C2">
            <w:pPr>
              <w:jc w:val="center"/>
              <w:rPr>
                <w:rFonts w:hint="default" w:ascii="Times New Roman" w:hAnsi="Times New Roman" w:eastAsia="宋体" w:cs="Times New Roman"/>
                <w:b/>
                <w:szCs w:val="21"/>
              </w:rPr>
            </w:pPr>
          </w:p>
          <w:p w14:paraId="5FCECE06">
            <w:pPr>
              <w:jc w:val="center"/>
              <w:rPr>
                <w:rFonts w:hint="default" w:ascii="Times New Roman" w:hAnsi="Times New Roman" w:eastAsia="宋体" w:cs="Times New Roman"/>
                <w:b/>
                <w:szCs w:val="21"/>
              </w:rPr>
            </w:pPr>
          </w:p>
          <w:p w14:paraId="1987AA87">
            <w:pPr>
              <w:jc w:val="center"/>
              <w:rPr>
                <w:rFonts w:hint="default" w:ascii="Times New Roman" w:hAnsi="Times New Roman" w:eastAsia="宋体" w:cs="Times New Roman"/>
                <w:b/>
                <w:szCs w:val="21"/>
              </w:rPr>
            </w:pPr>
          </w:p>
          <w:p w14:paraId="755A2C90">
            <w:pPr>
              <w:jc w:val="center"/>
              <w:rPr>
                <w:rFonts w:hint="default" w:ascii="Times New Roman" w:hAnsi="Times New Roman" w:eastAsia="宋体" w:cs="Times New Roman"/>
                <w:b/>
                <w:szCs w:val="21"/>
              </w:rPr>
            </w:pPr>
          </w:p>
          <w:p w14:paraId="2CFB7890">
            <w:pPr>
              <w:jc w:val="center"/>
              <w:rPr>
                <w:rFonts w:hint="default" w:ascii="Times New Roman" w:hAnsi="Times New Roman" w:eastAsia="宋体" w:cs="Times New Roman"/>
                <w:b/>
                <w:szCs w:val="21"/>
              </w:rPr>
            </w:pPr>
          </w:p>
          <w:p w14:paraId="15EB2B19">
            <w:pPr>
              <w:jc w:val="center"/>
              <w:rPr>
                <w:rFonts w:hint="default" w:ascii="Times New Roman" w:hAnsi="Times New Roman" w:eastAsia="宋体" w:cs="Times New Roman"/>
                <w:b/>
                <w:szCs w:val="21"/>
              </w:rPr>
            </w:pPr>
          </w:p>
          <w:p w14:paraId="222393FD">
            <w:pPr>
              <w:jc w:val="center"/>
              <w:rPr>
                <w:rFonts w:hint="default" w:ascii="Times New Roman" w:hAnsi="Times New Roman" w:eastAsia="宋体" w:cs="Times New Roman"/>
                <w:b/>
                <w:szCs w:val="20"/>
              </w:rPr>
            </w:pPr>
          </w:p>
        </w:tc>
      </w:tr>
      <w:tr w14:paraId="630783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16C77E98">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7FD9D7EB">
            <w:pPr>
              <w:jc w:val="center"/>
              <w:rPr>
                <w:rFonts w:hint="default" w:ascii="Times New Roman" w:hAnsi="Times New Roman" w:eastAsia="宋体" w:cs="Times New Roman"/>
                <w:b/>
                <w:szCs w:val="20"/>
              </w:rPr>
            </w:pPr>
          </w:p>
        </w:tc>
        <w:tc>
          <w:tcPr>
            <w:tcW w:w="2885" w:type="dxa"/>
            <w:tcBorders>
              <w:top w:val="single" w:color="auto" w:sz="4" w:space="0"/>
              <w:left w:val="single" w:color="auto" w:sz="4" w:space="0"/>
              <w:bottom w:val="single" w:color="auto" w:sz="4" w:space="0"/>
              <w:right w:val="single" w:color="auto" w:sz="4" w:space="0"/>
            </w:tcBorders>
            <w:vAlign w:val="center"/>
          </w:tcPr>
          <w:p w14:paraId="70CD2919">
            <w:pPr>
              <w:jc w:val="center"/>
              <w:rPr>
                <w:rFonts w:hint="default" w:ascii="Times New Roman" w:hAnsi="Times New Roman" w:eastAsia="宋体" w:cs="Times New Roman"/>
                <w:b/>
                <w:szCs w:val="20"/>
              </w:rPr>
            </w:pPr>
          </w:p>
        </w:tc>
        <w:tc>
          <w:tcPr>
            <w:tcW w:w="1645" w:type="dxa"/>
            <w:tcBorders>
              <w:top w:val="single" w:color="auto" w:sz="4" w:space="0"/>
              <w:left w:val="single" w:color="auto" w:sz="4" w:space="0"/>
              <w:bottom w:val="single" w:color="auto" w:sz="4" w:space="0"/>
            </w:tcBorders>
            <w:vAlign w:val="center"/>
          </w:tcPr>
          <w:p w14:paraId="46F1896C">
            <w:pPr>
              <w:jc w:val="center"/>
              <w:rPr>
                <w:rFonts w:hint="default" w:ascii="Times New Roman" w:hAnsi="Times New Roman" w:eastAsia="宋体" w:cs="Times New Roman"/>
                <w:b/>
                <w:szCs w:val="20"/>
              </w:rPr>
            </w:pPr>
          </w:p>
        </w:tc>
      </w:tr>
    </w:tbl>
    <w:p w14:paraId="512D0899">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投标人名称：                   授权代表签字：            日期：</w:t>
      </w:r>
    </w:p>
    <w:p w14:paraId="0A54986D">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注：为避免歧义，无偏离也应要提报该表，并注明“无”字。如无该表则即使在其它部分已反映，将也被视为“无偏离”。</w:t>
      </w:r>
    </w:p>
    <w:p w14:paraId="7308C01C">
      <w:pPr>
        <w:rPr>
          <w:rFonts w:hint="default" w:ascii="Times New Roman" w:hAnsi="Times New Roman" w:eastAsia="宋体" w:cs="Times New Roman"/>
          <w:szCs w:val="20"/>
        </w:rPr>
      </w:pPr>
    </w:p>
    <w:p w14:paraId="09568302">
      <w:pPr>
        <w:rPr>
          <w:rFonts w:hint="default" w:ascii="Times New Roman" w:hAnsi="Times New Roman" w:eastAsia="宋体" w:cs="Times New Roman"/>
          <w:b/>
          <w:bCs/>
          <w:color w:val="000000"/>
          <w:sz w:val="28"/>
          <w:szCs w:val="20"/>
        </w:rPr>
      </w:pPr>
    </w:p>
    <w:p w14:paraId="03FE498B">
      <w:pPr>
        <w:rPr>
          <w:rFonts w:hint="default" w:ascii="Times New Roman" w:hAnsi="Times New Roman" w:cs="Times New Roman"/>
        </w:rPr>
        <w:sectPr>
          <w:headerReference r:id="rId15" w:type="default"/>
          <w:footerReference r:id="rId16" w:type="default"/>
          <w:pgSz w:w="11906" w:h="16838"/>
          <w:pgMar w:top="1588" w:right="1418" w:bottom="1134" w:left="1418" w:header="851" w:footer="992" w:gutter="0"/>
          <w:pgBorders>
            <w:top w:val="none" w:sz="0" w:space="0"/>
            <w:left w:val="none" w:sz="0" w:space="0"/>
            <w:bottom w:val="none" w:sz="0" w:space="0"/>
            <w:right w:val="none" w:sz="0" w:space="0"/>
          </w:pgBorders>
          <w:cols w:space="720" w:num="1"/>
          <w:titlePg/>
          <w:docGrid w:type="lines" w:linePitch="312" w:charSpace="0"/>
        </w:sectPr>
      </w:pPr>
    </w:p>
    <w:p w14:paraId="342F53EB">
      <w:pPr>
        <w:spacing w:before="110" w:line="227" w:lineRule="auto"/>
        <w:ind w:left="29"/>
        <w:outlineLvl w:val="1"/>
        <w:rPr>
          <w:rFonts w:hint="default" w:ascii="Times New Roman" w:hAnsi="Times New Roman" w:eastAsia="宋体" w:cs="Times New Roman"/>
          <w:sz w:val="24"/>
          <w:szCs w:val="24"/>
        </w:rPr>
      </w:pPr>
      <w:r>
        <w:rPr>
          <w:rFonts w:hint="default" w:ascii="Times New Roman" w:hAnsi="Times New Roman" w:eastAsia="宋体" w:cs="Times New Roman"/>
          <w:b/>
          <w:bCs/>
          <w:color w:val="000000"/>
          <w:sz w:val="24"/>
          <w:szCs w:val="24"/>
        </w:rPr>
        <w:t>附件11 投标人承诺</w:t>
      </w:r>
    </w:p>
    <w:p w14:paraId="5EB54C23">
      <w:pPr>
        <w:spacing w:line="272" w:lineRule="auto"/>
        <w:rPr>
          <w:rFonts w:hint="default" w:ascii="Times New Roman" w:hAnsi="Times New Roman" w:cs="Times New Roman"/>
        </w:rPr>
      </w:pPr>
    </w:p>
    <w:p w14:paraId="74703FD2">
      <w:pPr>
        <w:spacing w:before="75" w:line="228" w:lineRule="auto"/>
        <w:ind w:left="134"/>
        <w:rPr>
          <w:rFonts w:hint="default" w:ascii="Times New Roman" w:hAnsi="Times New Roman" w:eastAsia="宋体" w:cs="Times New Roman"/>
          <w:sz w:val="24"/>
          <w:szCs w:val="24"/>
        </w:rPr>
      </w:pPr>
      <w:r>
        <w:rPr>
          <w:rFonts w:hint="default" w:ascii="Times New Roman" w:hAnsi="Times New Roman" w:eastAsia="宋体" w:cs="Times New Roman"/>
          <w:spacing w:val="-10"/>
          <w:sz w:val="24"/>
          <w:szCs w:val="24"/>
        </w:rPr>
        <w:t>项</w:t>
      </w:r>
      <w:r>
        <w:rPr>
          <w:rFonts w:hint="default" w:ascii="Times New Roman" w:hAnsi="Times New Roman" w:eastAsia="宋体" w:cs="Times New Roman"/>
          <w:spacing w:val="-9"/>
          <w:sz w:val="24"/>
          <w:szCs w:val="24"/>
        </w:rPr>
        <w:t>目</w:t>
      </w:r>
      <w:r>
        <w:rPr>
          <w:rFonts w:hint="default" w:ascii="Times New Roman" w:hAnsi="Times New Roman" w:eastAsia="宋体" w:cs="Times New Roman"/>
          <w:spacing w:val="-5"/>
          <w:sz w:val="24"/>
          <w:szCs w:val="24"/>
        </w:rPr>
        <w:t>名称：</w:t>
      </w:r>
      <w:r>
        <w:rPr>
          <w:rFonts w:hint="default" w:ascii="Times New Roman" w:hAnsi="Times New Roman" w:eastAsia="宋体" w:cs="Times New Roman"/>
          <w:spacing w:val="-5"/>
          <w:sz w:val="24"/>
          <w:szCs w:val="24"/>
          <w:u w:val="single"/>
        </w:rPr>
        <w:t xml:space="preserve"> </w:t>
      </w:r>
      <w:r>
        <w:rPr>
          <w:rFonts w:hint="eastAsia" w:cs="Times New Roman"/>
          <w:b w:val="0"/>
          <w:bCs w:val="0"/>
          <w:color w:val="000000"/>
          <w:sz w:val="24"/>
          <w:szCs w:val="24"/>
          <w:u w:val="single"/>
          <w:lang w:val="en-US" w:eastAsia="zh-CN"/>
        </w:rPr>
        <w:t>济南成型厂颗粒物在线监测设备更新技改项目</w:t>
      </w:r>
      <w:r>
        <w:rPr>
          <w:rFonts w:hint="default" w:ascii="Times New Roman" w:hAnsi="Times New Roman" w:eastAsia="宋体" w:cs="Times New Roman"/>
          <w:b w:val="0"/>
          <w:bCs w:val="0"/>
          <w:spacing w:val="-5"/>
          <w:sz w:val="24"/>
          <w:szCs w:val="24"/>
          <w:u w:val="single"/>
        </w:rPr>
        <w:t xml:space="preserve">  </w:t>
      </w:r>
    </w:p>
    <w:p w14:paraId="646C06C0">
      <w:pPr>
        <w:spacing w:before="306" w:line="227" w:lineRule="auto"/>
        <w:ind w:left="205"/>
        <w:rPr>
          <w:rFonts w:hint="default" w:ascii="Times New Roman" w:hAnsi="Times New Roman" w:eastAsia="宋体" w:cs="Times New Roman"/>
          <w:sz w:val="24"/>
          <w:szCs w:val="24"/>
        </w:rPr>
      </w:pPr>
      <w:r>
        <w:rPr>
          <w:rFonts w:hint="default" w:ascii="Times New Roman" w:hAnsi="Times New Roman" w:eastAsia="宋体" w:cs="Times New Roman"/>
          <w:spacing w:val="-4"/>
          <w:sz w:val="24"/>
          <w:szCs w:val="24"/>
        </w:rPr>
        <w:t xml:space="preserve">日期： </w:t>
      </w:r>
      <w:r>
        <w:rPr>
          <w:rFonts w:hint="default" w:ascii="Times New Roman" w:hAnsi="Times New Roman" w:eastAsia="宋体" w:cs="Times New Roman"/>
          <w:spacing w:val="-2"/>
          <w:sz w:val="24"/>
          <w:szCs w:val="24"/>
        </w:rPr>
        <w:t xml:space="preserve">   年   月   日</w:t>
      </w:r>
    </w:p>
    <w:p w14:paraId="662F72D3">
      <w:pPr>
        <w:rPr>
          <w:rFonts w:hint="default" w:ascii="Times New Roman" w:hAnsi="Times New Roman" w:cs="Times New Roman"/>
        </w:rPr>
      </w:pPr>
    </w:p>
    <w:p w14:paraId="0D89522E">
      <w:pPr>
        <w:spacing w:line="109" w:lineRule="exact"/>
        <w:rPr>
          <w:rFonts w:hint="default" w:ascii="Times New Roman" w:hAnsi="Times New Roman" w:cs="Times New Roman"/>
        </w:rPr>
      </w:pPr>
    </w:p>
    <w:tbl>
      <w:tblPr>
        <w:tblStyle w:val="232"/>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4B4F9C51">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5DC5E8B5">
            <w:pPr>
              <w:spacing w:before="52" w:line="227" w:lineRule="auto"/>
              <w:ind w:left="128"/>
              <w:rPr>
                <w:rFonts w:hint="default" w:ascii="Times New Roman" w:hAnsi="Times New Roman" w:eastAsia="宋体" w:cs="Times New Roman"/>
                <w:sz w:val="24"/>
                <w:szCs w:val="24"/>
              </w:rPr>
            </w:pPr>
            <w:r>
              <w:rPr>
                <w:rFonts w:hint="default" w:ascii="Times New Roman" w:hAnsi="Times New Roman" w:eastAsia="宋体" w:cs="Times New Roman"/>
                <w:spacing w:val="5"/>
                <w:sz w:val="24"/>
                <w:szCs w:val="24"/>
              </w:rPr>
              <w:t>投</w:t>
            </w:r>
            <w:r>
              <w:rPr>
                <w:rFonts w:hint="default" w:ascii="Times New Roman" w:hAnsi="Times New Roman" w:eastAsia="宋体" w:cs="Times New Roman"/>
                <w:spacing w:val="3"/>
                <w:sz w:val="24"/>
                <w:szCs w:val="24"/>
              </w:rPr>
              <w:t>标人承诺：</w:t>
            </w:r>
          </w:p>
          <w:p w14:paraId="4E13FB30">
            <w:pPr>
              <w:spacing w:before="48" w:line="391" w:lineRule="auto"/>
              <w:ind w:left="125" w:right="115" w:firstLine="491"/>
              <w:rPr>
                <w:rFonts w:hint="default" w:ascii="Times New Roman" w:hAnsi="Times New Roman" w:eastAsia="宋体" w:cs="Times New Roman"/>
                <w:sz w:val="23"/>
                <w:szCs w:val="23"/>
              </w:rPr>
            </w:pPr>
            <w:r>
              <w:rPr>
                <w:rFonts w:hint="default" w:ascii="Times New Roman" w:hAnsi="Times New Roman" w:eastAsia="宋体" w:cs="Times New Roman"/>
                <w:spacing w:val="38"/>
                <w:sz w:val="24"/>
                <w:szCs w:val="24"/>
              </w:rPr>
              <w:t>我</w:t>
            </w:r>
            <w:r>
              <w:rPr>
                <w:rFonts w:hint="default" w:ascii="Times New Roman" w:hAnsi="Times New Roman" w:eastAsia="宋体" w:cs="Times New Roman"/>
                <w:spacing w:val="21"/>
                <w:sz w:val="24"/>
                <w:szCs w:val="24"/>
              </w:rPr>
              <w:t>公司承诺遵守贵公司由于招标人公司政策变化引起的随时终止项目的要求并</w:t>
            </w:r>
            <w:r>
              <w:rPr>
                <w:rFonts w:hint="default" w:ascii="Times New Roman" w:hAnsi="Times New Roman" w:eastAsia="宋体" w:cs="Times New Roman"/>
                <w:spacing w:val="12"/>
                <w:sz w:val="24"/>
                <w:szCs w:val="24"/>
              </w:rPr>
              <w:t>承</w:t>
            </w:r>
            <w:r>
              <w:rPr>
                <w:rFonts w:hint="default" w:ascii="Times New Roman" w:hAnsi="Times New Roman" w:eastAsia="宋体" w:cs="Times New Roman"/>
                <w:spacing w:val="6"/>
                <w:sz w:val="24"/>
                <w:szCs w:val="24"/>
              </w:rPr>
              <w:t>担由此带来的一切损失</w:t>
            </w:r>
            <w:r>
              <w:rPr>
                <w:rFonts w:hint="default" w:ascii="Times New Roman" w:hAnsi="Times New Roman" w:eastAsia="宋体" w:cs="Times New Roman"/>
                <w:spacing w:val="6"/>
                <w:sz w:val="23"/>
                <w:szCs w:val="23"/>
              </w:rPr>
              <w:t>。</w:t>
            </w:r>
          </w:p>
        </w:tc>
      </w:tr>
    </w:tbl>
    <w:p w14:paraId="62B5C0B1">
      <w:pPr>
        <w:keepNext/>
        <w:keepLines/>
        <w:rPr>
          <w:rFonts w:hint="default" w:ascii="Times New Roman" w:hAnsi="Times New Roman" w:eastAsia="宋体" w:cs="Times New Roman"/>
          <w:b/>
          <w:bCs/>
          <w:color w:val="000000"/>
          <w:sz w:val="24"/>
          <w:szCs w:val="24"/>
        </w:rPr>
      </w:pPr>
    </w:p>
    <w:p w14:paraId="73B3743E">
      <w:pPr>
        <w:spacing w:before="75" w:line="227" w:lineRule="auto"/>
        <w:ind w:left="135"/>
        <w:rPr>
          <w:rFonts w:hint="default" w:ascii="Times New Roman" w:hAnsi="Times New Roman" w:eastAsia="宋体" w:cs="Times New Roman"/>
          <w:spacing w:val="-2"/>
          <w:sz w:val="24"/>
          <w:szCs w:val="24"/>
        </w:rPr>
      </w:pPr>
    </w:p>
    <w:p w14:paraId="334574C3">
      <w:pPr>
        <w:spacing w:before="75" w:line="227" w:lineRule="auto"/>
        <w:ind w:left="135"/>
        <w:rPr>
          <w:rFonts w:hint="default" w:ascii="Times New Roman" w:hAnsi="Times New Roman" w:eastAsia="宋体" w:cs="Times New Roman"/>
          <w:spacing w:val="-2"/>
          <w:sz w:val="24"/>
          <w:szCs w:val="24"/>
        </w:rPr>
      </w:pPr>
    </w:p>
    <w:p w14:paraId="5EF28436">
      <w:pPr>
        <w:spacing w:before="75" w:line="227" w:lineRule="auto"/>
        <w:ind w:left="135"/>
        <w:rPr>
          <w:rFonts w:hint="default" w:ascii="Times New Roman" w:hAnsi="Times New Roman" w:eastAsia="宋体" w:cs="Times New Roman"/>
          <w:sz w:val="24"/>
          <w:szCs w:val="24"/>
        </w:rPr>
      </w:pPr>
      <w:r>
        <w:rPr>
          <w:rFonts w:hint="default" w:ascii="Times New Roman" w:hAnsi="Times New Roman" w:eastAsia="宋体" w:cs="Times New Roman"/>
          <w:spacing w:val="-2"/>
          <w:sz w:val="24"/>
          <w:szCs w:val="24"/>
        </w:rPr>
        <w:t>投标人名称 (盖章)：                法定代表人或授权代表(签字</w:t>
      </w:r>
      <w:r>
        <w:rPr>
          <w:rFonts w:hint="default" w:ascii="Times New Roman" w:hAnsi="Times New Roman" w:eastAsia="宋体" w:cs="Times New Roman"/>
          <w:sz w:val="24"/>
          <w:szCs w:val="24"/>
        </w:rPr>
        <w:t>)：</w:t>
      </w:r>
    </w:p>
    <w:p w14:paraId="44F37C9A">
      <w:pPr>
        <w:rPr>
          <w:rFonts w:hint="default" w:ascii="Times New Roman" w:hAnsi="Times New Roman" w:cs="Times New Roman"/>
        </w:rPr>
        <w:sectPr>
          <w:footerReference r:id="rId17" w:type="default"/>
          <w:pgSz w:w="11906" w:h="16839"/>
          <w:pgMar w:top="1431" w:right="1417" w:bottom="1179" w:left="1304" w:header="850" w:footer="992" w:gutter="0"/>
          <w:pgBorders>
            <w:top w:val="none" w:sz="0" w:space="0"/>
            <w:left w:val="none" w:sz="0" w:space="0"/>
            <w:bottom w:val="none" w:sz="0" w:space="0"/>
            <w:right w:val="none" w:sz="0" w:space="0"/>
          </w:pgBorders>
          <w:cols w:space="720" w:num="1"/>
        </w:sectPr>
      </w:pPr>
    </w:p>
    <w:p w14:paraId="06946303">
      <w:pPr>
        <w:keepNext/>
        <w:keepLines/>
        <w:outlineLvl w:val="1"/>
        <w:rPr>
          <w:rFonts w:hint="default" w:ascii="Times New Roman" w:hAnsi="Times New Roman" w:eastAsia="宋体" w:cs="Times New Roman"/>
          <w:b/>
          <w:bCs/>
          <w:color w:val="000000"/>
          <w:sz w:val="24"/>
          <w:szCs w:val="24"/>
        </w:rPr>
      </w:pPr>
      <w:r>
        <w:rPr>
          <w:rFonts w:hint="default" w:ascii="Times New Roman" w:hAnsi="Times New Roman" w:eastAsia="宋体" w:cs="Times New Roman"/>
          <w:b/>
          <w:bCs/>
          <w:color w:val="000000"/>
          <w:sz w:val="24"/>
          <w:szCs w:val="24"/>
        </w:rPr>
        <w:t>附件12 服务承诺函</w:t>
      </w:r>
    </w:p>
    <w:p w14:paraId="01E8B21C">
      <w:pPr>
        <w:spacing w:line="240" w:lineRule="exact"/>
        <w:jc w:val="center"/>
        <w:rPr>
          <w:rFonts w:hint="default" w:ascii="Times New Roman" w:hAnsi="Times New Roman" w:eastAsia="宋体" w:cs="Times New Roman"/>
          <w:b/>
          <w:bCs/>
          <w:sz w:val="36"/>
          <w:szCs w:val="20"/>
        </w:rPr>
      </w:pPr>
    </w:p>
    <w:p w14:paraId="169C5D7B">
      <w:pPr>
        <w:spacing w:line="360" w:lineRule="auto"/>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rPr>
        <w:t>项目名称：</w:t>
      </w:r>
      <w:r>
        <w:rPr>
          <w:rFonts w:hint="eastAsia" w:cs="Times New Roman"/>
          <w:b w:val="0"/>
          <w:bCs w:val="0"/>
          <w:color w:val="000000"/>
          <w:sz w:val="24"/>
          <w:szCs w:val="24"/>
          <w:u w:val="single"/>
          <w:lang w:val="en-US" w:eastAsia="zh-CN"/>
        </w:rPr>
        <w:t>济南成型厂颗粒物在线监测设备更新技改项目</w:t>
      </w:r>
      <w:r>
        <w:rPr>
          <w:rFonts w:hint="default" w:ascii="Times New Roman" w:hAnsi="Times New Roman" w:eastAsia="宋体" w:cs="Times New Roman"/>
          <w:b w:val="0"/>
          <w:bCs w:val="0"/>
          <w:sz w:val="24"/>
          <w:szCs w:val="20"/>
          <w:u w:val="single"/>
        </w:rPr>
        <w:t xml:space="preserve"> </w:t>
      </w:r>
      <w:r>
        <w:rPr>
          <w:rFonts w:hint="default" w:ascii="Times New Roman" w:hAnsi="Times New Roman" w:eastAsia="宋体" w:cs="Times New Roman"/>
          <w:sz w:val="24"/>
          <w:szCs w:val="20"/>
          <w:u w:val="single"/>
        </w:rPr>
        <w:t xml:space="preserve"> </w:t>
      </w:r>
    </w:p>
    <w:p w14:paraId="43CAA125">
      <w:pPr>
        <w:spacing w:line="360" w:lineRule="auto"/>
        <w:rPr>
          <w:rFonts w:hint="default" w:ascii="Times New Roman" w:hAnsi="Times New Roman" w:eastAsia="宋体" w:cs="Times New Roman"/>
          <w:b/>
          <w:bCs/>
          <w:sz w:val="24"/>
          <w:szCs w:val="20"/>
        </w:rPr>
      </w:pPr>
      <w:r>
        <w:rPr>
          <w:rFonts w:hint="eastAsia" w:ascii="Times New Roman" w:hAnsi="Times New Roman" w:eastAsia="宋体" w:cs="Times New Roman"/>
          <w:b/>
          <w:bCs/>
          <w:sz w:val="24"/>
          <w:szCs w:val="20"/>
          <w:lang w:eastAsia="zh-CN"/>
        </w:rPr>
        <w:t>中国重汽集团济南动力有限公司</w:t>
      </w:r>
      <w:r>
        <w:rPr>
          <w:rFonts w:hint="default" w:ascii="Times New Roman" w:hAnsi="Times New Roman" w:eastAsia="宋体" w:cs="Times New Roman"/>
          <w:b/>
          <w:bCs/>
          <w:sz w:val="24"/>
          <w:szCs w:val="20"/>
        </w:rPr>
        <w:t>：</w:t>
      </w:r>
    </w:p>
    <w:p w14:paraId="67B88DA6">
      <w:pPr>
        <w:spacing w:line="360" w:lineRule="auto"/>
        <w:ind w:firstLine="480"/>
        <w:rPr>
          <w:rFonts w:hint="default" w:ascii="Times New Roman" w:hAnsi="Times New Roman" w:eastAsia="宋体" w:cs="Times New Roman"/>
          <w:sz w:val="24"/>
          <w:szCs w:val="20"/>
        </w:rPr>
      </w:pPr>
      <w:r>
        <w:rPr>
          <w:rFonts w:hint="default" w:ascii="Times New Roman" w:hAnsi="Times New Roman" w:eastAsia="宋体" w:cs="Times New Roman"/>
          <w:sz w:val="24"/>
          <w:szCs w:val="20"/>
        </w:rPr>
        <w:t>我代表（投标单位名称）对中标合同产品的服务作如下承诺：</w:t>
      </w:r>
    </w:p>
    <w:p w14:paraId="1A954257">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68912D1A">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5439A5E5">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02331BF0">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64B37F4D">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78CF4A05">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21D4D544">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08E08A41">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56908BDD">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55C77CAB">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48B7DF16">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1EC43483">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156C82F6">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22DBB8B5">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32DFADE1">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060DA524">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2C68B5B1">
      <w:pPr>
        <w:spacing w:line="360" w:lineRule="auto"/>
        <w:ind w:firstLine="480" w:firstLineChars="200"/>
        <w:rPr>
          <w:rFonts w:hint="default" w:ascii="Times New Roman" w:hAnsi="Times New Roman" w:eastAsia="宋体" w:cs="Times New Roman"/>
          <w:sz w:val="24"/>
          <w:szCs w:val="20"/>
          <w:u w:val="single"/>
        </w:rPr>
      </w:pPr>
      <w:r>
        <w:rPr>
          <w:rFonts w:hint="default" w:ascii="Times New Roman" w:hAnsi="Times New Roman" w:eastAsia="宋体" w:cs="Times New Roman"/>
          <w:sz w:val="24"/>
          <w:szCs w:val="20"/>
          <w:u w:val="single"/>
        </w:rPr>
        <w:t xml:space="preserve">                                                                       </w:t>
      </w:r>
    </w:p>
    <w:p w14:paraId="4001F2FC">
      <w:pPr>
        <w:spacing w:line="360" w:lineRule="auto"/>
        <w:ind w:firstLine="480" w:firstLineChars="200"/>
        <w:rPr>
          <w:rFonts w:hint="default" w:ascii="Times New Roman" w:hAnsi="Times New Roman" w:eastAsia="宋体" w:cs="Times New Roman"/>
          <w:sz w:val="24"/>
          <w:szCs w:val="20"/>
          <w:u w:val="single"/>
        </w:rPr>
      </w:pPr>
    </w:p>
    <w:p w14:paraId="6F721061">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投标人：（盖章）</w:t>
      </w:r>
    </w:p>
    <w:p w14:paraId="6B43ED9F">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法定代表人（委托代理人）：（签字）</w:t>
      </w:r>
    </w:p>
    <w:p w14:paraId="4B49FC3C">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日  期：       年    月    日</w:t>
      </w:r>
    </w:p>
    <w:p w14:paraId="757FE3A0">
      <w:pPr>
        <w:rPr>
          <w:rFonts w:hint="default" w:ascii="Times New Roman" w:hAnsi="Times New Roman" w:eastAsia="宋体" w:cs="Times New Roman"/>
          <w:b/>
          <w:bCs/>
          <w:color w:val="000000"/>
          <w:sz w:val="28"/>
          <w:szCs w:val="20"/>
        </w:rPr>
      </w:pPr>
    </w:p>
    <w:p w14:paraId="587DAE93">
      <w:pPr>
        <w:pStyle w:val="24"/>
        <w:rPr>
          <w:rFonts w:hint="default" w:ascii="Times New Roman" w:hAnsi="Times New Roman" w:eastAsia="宋体" w:cs="Times New Roman"/>
          <w:b/>
          <w:bCs/>
          <w:color w:val="000000"/>
          <w:sz w:val="28"/>
          <w:szCs w:val="20"/>
        </w:rPr>
      </w:pPr>
    </w:p>
    <w:p w14:paraId="4295C694">
      <w:pPr>
        <w:rPr>
          <w:rFonts w:hint="default" w:ascii="Times New Roman" w:hAnsi="Times New Roman" w:eastAsia="宋体" w:cs="Times New Roman"/>
          <w:b/>
          <w:bCs/>
          <w:color w:val="000000"/>
          <w:sz w:val="28"/>
          <w:szCs w:val="20"/>
        </w:rPr>
      </w:pPr>
    </w:p>
    <w:p w14:paraId="36236AC6">
      <w:pPr>
        <w:outlineLvl w:val="1"/>
        <w:rPr>
          <w:rFonts w:hint="default" w:ascii="Times New Roman" w:hAnsi="Times New Roman" w:eastAsia="宋体" w:cs="Times New Roman"/>
          <w:szCs w:val="20"/>
        </w:rPr>
      </w:pPr>
      <w:r>
        <w:rPr>
          <w:rFonts w:hint="default" w:ascii="Times New Roman" w:hAnsi="Times New Roman" w:eastAsia="宋体" w:cs="Times New Roman"/>
          <w:szCs w:val="20"/>
        </w:rPr>
        <w:br w:type="page"/>
      </w:r>
      <w:r>
        <w:rPr>
          <w:rFonts w:hint="default" w:ascii="Times New Roman" w:hAnsi="Times New Roman" w:eastAsia="宋体" w:cs="Times New Roman"/>
          <w:b/>
          <w:bCs/>
          <w:color w:val="000000"/>
          <w:sz w:val="24"/>
          <w:szCs w:val="24"/>
        </w:rPr>
        <w:t>附件13 投标文件封面及封口格式</w:t>
      </w:r>
    </w:p>
    <w:p w14:paraId="15BB2E1A">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封面格式：</w:t>
      </w:r>
    </w:p>
    <w:tbl>
      <w:tblPr>
        <w:tblStyle w:val="4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351B2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5A2A7FEB">
            <w:pPr>
              <w:jc w:val="center"/>
              <w:rPr>
                <w:rFonts w:hint="default" w:ascii="Times New Roman" w:hAnsi="Times New Roman" w:eastAsia="宋体" w:cs="Times New Roman"/>
                <w:b/>
                <w:szCs w:val="20"/>
              </w:rPr>
            </w:pPr>
          </w:p>
          <w:p w14:paraId="25634B2C">
            <w:pPr>
              <w:jc w:val="center"/>
              <w:rPr>
                <w:rFonts w:hint="default" w:ascii="Times New Roman" w:hAnsi="Times New Roman" w:eastAsia="宋体" w:cs="Times New Roman"/>
                <w:b/>
                <w:sz w:val="30"/>
                <w:szCs w:val="30"/>
              </w:rPr>
            </w:pPr>
            <w:r>
              <w:rPr>
                <w:rFonts w:hint="default" w:ascii="Times New Roman" w:hAnsi="Times New Roman" w:eastAsia="宋体" w:cs="Times New Roman"/>
                <w:b/>
                <w:sz w:val="30"/>
                <w:szCs w:val="30"/>
              </w:rPr>
              <w:t>技术/资质/商务文件</w:t>
            </w:r>
          </w:p>
          <w:p w14:paraId="6403B715">
            <w:pPr>
              <w:rPr>
                <w:rFonts w:hint="default" w:ascii="Times New Roman" w:hAnsi="Times New Roman" w:eastAsia="等线" w:cs="Times New Roman"/>
                <w:b/>
                <w:sz w:val="30"/>
                <w:szCs w:val="30"/>
              </w:rPr>
            </w:pPr>
          </w:p>
          <w:p w14:paraId="0080F965">
            <w:pPr>
              <w:jc w:val="center"/>
              <w:rPr>
                <w:rFonts w:hint="default" w:ascii="Times New Roman" w:hAnsi="Times New Roman" w:eastAsia="宋体" w:cs="Times New Roman"/>
                <w:b/>
                <w:sz w:val="30"/>
                <w:szCs w:val="30"/>
              </w:rPr>
            </w:pPr>
            <w:r>
              <w:rPr>
                <w:rFonts w:hint="default" w:ascii="Times New Roman" w:hAnsi="Times New Roman" w:eastAsia="宋体" w:cs="Times New Roman"/>
                <w:b/>
                <w:sz w:val="30"/>
                <w:szCs w:val="30"/>
              </w:rPr>
              <w:t>（</w:t>
            </w:r>
            <w:r>
              <w:rPr>
                <w:rFonts w:hint="default" w:ascii="Times New Roman" w:hAnsi="Times New Roman" w:eastAsia="等线" w:cs="Times New Roman"/>
                <w:b/>
                <w:sz w:val="30"/>
                <w:szCs w:val="30"/>
              </w:rPr>
              <w:t>1</w:t>
            </w:r>
            <w:r>
              <w:rPr>
                <w:rFonts w:hint="default" w:ascii="Times New Roman" w:hAnsi="Times New Roman" w:eastAsia="宋体" w:cs="Times New Roman"/>
                <w:b/>
                <w:sz w:val="30"/>
                <w:szCs w:val="30"/>
              </w:rPr>
              <w:t>正本）</w:t>
            </w:r>
          </w:p>
          <w:p w14:paraId="676B0574">
            <w:pPr>
              <w:jc w:val="center"/>
              <w:rPr>
                <w:rFonts w:hint="default" w:ascii="Times New Roman" w:hAnsi="Times New Roman" w:eastAsia="宋体" w:cs="Times New Roman"/>
                <w:b/>
                <w:szCs w:val="20"/>
              </w:rPr>
            </w:pPr>
          </w:p>
          <w:p w14:paraId="304404A0">
            <w:pPr>
              <w:jc w:val="center"/>
              <w:rPr>
                <w:rFonts w:hint="default" w:ascii="Times New Roman" w:hAnsi="Times New Roman" w:eastAsia="宋体" w:cs="Times New Roman"/>
                <w:b/>
                <w:szCs w:val="20"/>
              </w:rPr>
            </w:pPr>
          </w:p>
          <w:p w14:paraId="465B6EA1">
            <w:pPr>
              <w:jc w:val="center"/>
              <w:rPr>
                <w:rFonts w:hint="eastAsia" w:ascii="Times New Roman" w:hAnsi="Times New Roman" w:eastAsia="宋体" w:cs="Times New Roman"/>
                <w:b/>
                <w:szCs w:val="20"/>
                <w:lang w:eastAsia="zh-CN"/>
              </w:rPr>
            </w:pPr>
            <w:r>
              <w:rPr>
                <w:rFonts w:hint="default" w:ascii="Times New Roman" w:hAnsi="Times New Roman" w:eastAsia="宋体" w:cs="Times New Roman"/>
                <w:b/>
                <w:szCs w:val="20"/>
              </w:rPr>
              <w:t>项目名称：济南成型厂</w:t>
            </w:r>
            <w:r>
              <w:rPr>
                <w:rFonts w:hint="eastAsia" w:cs="Times New Roman"/>
                <w:b/>
                <w:szCs w:val="20"/>
                <w:lang w:eastAsia="zh-CN"/>
              </w:rPr>
              <w:t>颗粒物在线监测设备更新技改项目</w:t>
            </w:r>
          </w:p>
          <w:p w14:paraId="5470FF0D">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投标人名称（公章）：</w:t>
            </w:r>
          </w:p>
          <w:p w14:paraId="04D2B1F0">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地址：</w:t>
            </w:r>
          </w:p>
          <w:p w14:paraId="3E2192EE">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授权代表电话：</w:t>
            </w:r>
          </w:p>
          <w:p w14:paraId="6700AB6B">
            <w:pPr>
              <w:jc w:val="center"/>
              <w:rPr>
                <w:rFonts w:hint="default" w:ascii="Times New Roman" w:hAnsi="Times New Roman" w:eastAsia="宋体" w:cs="Times New Roman"/>
                <w:b/>
                <w:szCs w:val="20"/>
              </w:rPr>
            </w:pPr>
            <w:r>
              <w:rPr>
                <w:rFonts w:hint="default" w:ascii="Times New Roman" w:hAnsi="Times New Roman" w:eastAsia="宋体" w:cs="Times New Roman"/>
                <w:b/>
                <w:szCs w:val="20"/>
              </w:rPr>
              <w:t>传真：</w:t>
            </w:r>
          </w:p>
          <w:p w14:paraId="40BB1D96">
            <w:pPr>
              <w:jc w:val="center"/>
              <w:rPr>
                <w:rFonts w:hint="default" w:ascii="Times New Roman" w:hAnsi="Times New Roman" w:eastAsia="宋体" w:cs="Times New Roman"/>
                <w:b/>
                <w:szCs w:val="20"/>
              </w:rPr>
            </w:pPr>
          </w:p>
          <w:p w14:paraId="0E44FA4D">
            <w:pPr>
              <w:jc w:val="center"/>
              <w:rPr>
                <w:rFonts w:hint="default" w:ascii="Times New Roman" w:hAnsi="Times New Roman" w:eastAsia="宋体" w:cs="Times New Roman"/>
                <w:b/>
                <w:szCs w:val="20"/>
              </w:rPr>
            </w:pPr>
          </w:p>
        </w:tc>
      </w:tr>
    </w:tbl>
    <w:p w14:paraId="5BFAE6F7">
      <w:pPr>
        <w:spacing w:line="360" w:lineRule="auto"/>
        <w:ind w:firstLine="480" w:firstLineChars="200"/>
        <w:rPr>
          <w:rFonts w:hint="default" w:ascii="Times New Roman" w:hAnsi="Times New Roman" w:eastAsia="宋体" w:cs="Times New Roman"/>
          <w:color w:val="000000"/>
          <w:sz w:val="24"/>
          <w:szCs w:val="24"/>
        </w:rPr>
      </w:pPr>
      <w:r>
        <w:rPr>
          <w:rFonts w:hint="default" w:ascii="Times New Roman" w:hAnsi="Times New Roman" w:eastAsia="宋体" w:cs="Times New Roman"/>
          <w:color w:val="000000"/>
          <w:sz w:val="24"/>
          <w:szCs w:val="24"/>
        </w:rPr>
        <w:t>投标人名称：                   授权代表签字：                  日期：</w:t>
      </w:r>
    </w:p>
    <w:p w14:paraId="373D8577">
      <w:pPr>
        <w:rPr>
          <w:rFonts w:hint="default" w:ascii="Times New Roman" w:hAnsi="Times New Roman" w:cs="Times New Roman"/>
          <w:sz w:val="20"/>
          <w:szCs w:val="20"/>
        </w:rPr>
      </w:pPr>
      <w:r>
        <w:rPr>
          <w:rFonts w:hint="default" w:ascii="Times New Roman" w:hAnsi="Times New Roman" w:eastAsia="宋体" w:cs="Times New Roman"/>
          <w:color w:val="000000"/>
          <w:sz w:val="24"/>
          <w:szCs w:val="24"/>
        </w:rPr>
        <w:br w:type="page"/>
      </w:r>
    </w:p>
    <w:p w14:paraId="1DD7E1B8">
      <w:pPr>
        <w:outlineLvl w:val="2"/>
        <w:rPr>
          <w:rFonts w:ascii="Times New Roman" w:hAnsi="Times New Roman" w:eastAsia="宋体" w:cs="Times New Roman"/>
          <w:b/>
          <w:bCs/>
          <w:color w:val="000000"/>
          <w:sz w:val="24"/>
          <w:highlight w:val="none"/>
        </w:rPr>
      </w:pPr>
      <w:r>
        <w:rPr>
          <w:rFonts w:hint="eastAsia" w:ascii="Times New Roman" w:hAnsi="Times New Roman" w:eastAsia="宋体" w:cs="Times New Roman"/>
          <w:b/>
          <w:bCs/>
          <w:color w:val="000000"/>
          <w:sz w:val="24"/>
          <w:highlight w:val="none"/>
        </w:rPr>
        <w:t>附件14技术标评分标准</w:t>
      </w:r>
    </w:p>
    <w:tbl>
      <w:tblPr>
        <w:tblStyle w:val="48"/>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1"/>
        <w:gridCol w:w="546"/>
        <w:gridCol w:w="548"/>
        <w:gridCol w:w="2516"/>
        <w:gridCol w:w="526"/>
        <w:gridCol w:w="4492"/>
      </w:tblGrid>
      <w:tr w14:paraId="29938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351" w:type="pct"/>
            <w:vAlign w:val="center"/>
          </w:tcPr>
          <w:p w14:paraId="07E838D5">
            <w:pPr>
              <w:tabs>
                <w:tab w:val="left" w:pos="13965"/>
              </w:tabs>
              <w:jc w:val="center"/>
              <w:rPr>
                <w:rFonts w:ascii="宋体" w:hAnsi="宋体"/>
                <w:b/>
                <w:sz w:val="18"/>
                <w:szCs w:val="18"/>
              </w:rPr>
            </w:pPr>
            <w:r>
              <w:rPr>
                <w:rFonts w:hint="eastAsia" w:ascii="宋体" w:hAnsi="宋体"/>
                <w:b/>
                <w:sz w:val="18"/>
                <w:szCs w:val="18"/>
              </w:rPr>
              <w:t>评价类型</w:t>
            </w:r>
          </w:p>
        </w:tc>
        <w:tc>
          <w:tcPr>
            <w:tcW w:w="294" w:type="pct"/>
            <w:vAlign w:val="center"/>
          </w:tcPr>
          <w:p w14:paraId="7AA10631">
            <w:pPr>
              <w:tabs>
                <w:tab w:val="left" w:pos="13965"/>
              </w:tabs>
              <w:jc w:val="center"/>
              <w:rPr>
                <w:rFonts w:ascii="宋体" w:hAnsi="宋体"/>
                <w:b/>
                <w:sz w:val="18"/>
                <w:szCs w:val="18"/>
              </w:rPr>
            </w:pPr>
            <w:r>
              <w:rPr>
                <w:rFonts w:hint="eastAsia" w:ascii="宋体" w:hAnsi="宋体"/>
                <w:b/>
                <w:sz w:val="18"/>
                <w:szCs w:val="18"/>
              </w:rPr>
              <w:t>评审内容</w:t>
            </w:r>
          </w:p>
        </w:tc>
        <w:tc>
          <w:tcPr>
            <w:tcW w:w="295" w:type="pct"/>
            <w:vAlign w:val="center"/>
          </w:tcPr>
          <w:p w14:paraId="01831E0B">
            <w:pPr>
              <w:tabs>
                <w:tab w:val="left" w:pos="13965"/>
              </w:tabs>
              <w:jc w:val="center"/>
              <w:rPr>
                <w:rFonts w:ascii="宋体" w:hAnsi="宋体"/>
                <w:b/>
                <w:sz w:val="18"/>
                <w:szCs w:val="18"/>
              </w:rPr>
            </w:pPr>
            <w:r>
              <w:rPr>
                <w:rFonts w:hint="eastAsia" w:ascii="宋体" w:hAnsi="宋体"/>
                <w:b/>
                <w:sz w:val="18"/>
                <w:szCs w:val="18"/>
              </w:rPr>
              <w:t>序号</w:t>
            </w:r>
          </w:p>
        </w:tc>
        <w:tc>
          <w:tcPr>
            <w:tcW w:w="1355" w:type="pct"/>
            <w:vAlign w:val="center"/>
          </w:tcPr>
          <w:p w14:paraId="2C754910">
            <w:pPr>
              <w:tabs>
                <w:tab w:val="left" w:pos="13965"/>
              </w:tabs>
              <w:jc w:val="center"/>
              <w:rPr>
                <w:rFonts w:ascii="宋体" w:hAnsi="宋体"/>
                <w:b/>
                <w:sz w:val="18"/>
                <w:szCs w:val="18"/>
              </w:rPr>
            </w:pPr>
            <w:r>
              <w:rPr>
                <w:rFonts w:hint="eastAsia" w:ascii="宋体" w:hAnsi="宋体"/>
                <w:b/>
                <w:sz w:val="18"/>
                <w:szCs w:val="18"/>
              </w:rPr>
              <w:t>内</w:t>
            </w:r>
            <w:r>
              <w:rPr>
                <w:rFonts w:ascii="宋体" w:hAnsi="宋体"/>
                <w:b/>
                <w:sz w:val="18"/>
                <w:szCs w:val="18"/>
              </w:rPr>
              <w:t xml:space="preserve">   </w:t>
            </w:r>
            <w:r>
              <w:rPr>
                <w:rFonts w:hint="eastAsia" w:ascii="宋体" w:hAnsi="宋体"/>
                <w:b/>
                <w:sz w:val="18"/>
                <w:szCs w:val="18"/>
              </w:rPr>
              <w:t>容</w:t>
            </w:r>
          </w:p>
        </w:tc>
        <w:tc>
          <w:tcPr>
            <w:tcW w:w="283" w:type="pct"/>
            <w:vAlign w:val="center"/>
          </w:tcPr>
          <w:p w14:paraId="30154F10">
            <w:pPr>
              <w:tabs>
                <w:tab w:val="left" w:pos="13965"/>
              </w:tabs>
              <w:jc w:val="center"/>
              <w:rPr>
                <w:rFonts w:ascii="宋体" w:hAnsi="宋体"/>
                <w:b/>
                <w:sz w:val="18"/>
                <w:szCs w:val="18"/>
              </w:rPr>
            </w:pPr>
            <w:r>
              <w:rPr>
                <w:rFonts w:hint="eastAsia" w:ascii="宋体" w:hAnsi="宋体"/>
                <w:b/>
                <w:sz w:val="18"/>
                <w:szCs w:val="18"/>
              </w:rPr>
              <w:t>标准分</w:t>
            </w:r>
          </w:p>
        </w:tc>
        <w:tc>
          <w:tcPr>
            <w:tcW w:w="2419" w:type="pct"/>
            <w:vAlign w:val="center"/>
          </w:tcPr>
          <w:p w14:paraId="449BD2BB">
            <w:pPr>
              <w:tabs>
                <w:tab w:val="left" w:pos="13965"/>
              </w:tabs>
              <w:jc w:val="center"/>
              <w:rPr>
                <w:rFonts w:ascii="宋体" w:hAnsi="宋体"/>
                <w:b/>
                <w:sz w:val="18"/>
                <w:szCs w:val="18"/>
              </w:rPr>
            </w:pPr>
            <w:r>
              <w:rPr>
                <w:rFonts w:hint="eastAsia" w:ascii="宋体" w:hAnsi="宋体"/>
                <w:b/>
                <w:sz w:val="18"/>
                <w:szCs w:val="18"/>
              </w:rPr>
              <w:t>评分标准</w:t>
            </w:r>
          </w:p>
        </w:tc>
      </w:tr>
      <w:tr w14:paraId="7E7FF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51" w:type="pct"/>
            <w:vMerge w:val="restart"/>
            <w:vAlign w:val="center"/>
          </w:tcPr>
          <w:p w14:paraId="6B4BB51A">
            <w:pPr>
              <w:tabs>
                <w:tab w:val="left" w:pos="13965"/>
              </w:tabs>
              <w:jc w:val="center"/>
              <w:rPr>
                <w:rFonts w:ascii="宋体" w:hAnsi="宋体" w:eastAsia="等线"/>
                <w:b/>
                <w:bCs/>
                <w:sz w:val="18"/>
                <w:szCs w:val="18"/>
              </w:rPr>
            </w:pPr>
            <w:r>
              <w:rPr>
                <w:rFonts w:hint="eastAsia" w:ascii="宋体" w:hAnsi="宋体"/>
                <w:b/>
                <w:bCs/>
                <w:sz w:val="18"/>
                <w:szCs w:val="18"/>
              </w:rPr>
              <w:t>技术标</w:t>
            </w:r>
          </w:p>
          <w:p w14:paraId="6EF03BD9">
            <w:pPr>
              <w:tabs>
                <w:tab w:val="left" w:pos="13965"/>
              </w:tabs>
              <w:rPr>
                <w:rFonts w:hint="eastAsia" w:ascii="宋体" w:hAnsi="宋体"/>
                <w:sz w:val="18"/>
                <w:szCs w:val="18"/>
              </w:rPr>
            </w:pPr>
            <w:r>
              <w:rPr>
                <w:rFonts w:ascii="宋体" w:hAnsi="宋体"/>
                <w:sz w:val="18"/>
                <w:szCs w:val="18"/>
              </w:rPr>
              <w:t>100</w:t>
            </w:r>
            <w:r>
              <w:rPr>
                <w:rFonts w:hint="eastAsia" w:ascii="宋体" w:hAnsi="宋体"/>
                <w:sz w:val="18"/>
                <w:szCs w:val="18"/>
              </w:rPr>
              <w:t>分</w:t>
            </w:r>
          </w:p>
          <w:p w14:paraId="0352031A">
            <w:pPr>
              <w:tabs>
                <w:tab w:val="left" w:pos="13965"/>
              </w:tabs>
              <w:rPr>
                <w:rFonts w:hint="eastAsia" w:ascii="宋体" w:hAnsi="宋体" w:eastAsia="宋体"/>
                <w:sz w:val="18"/>
                <w:szCs w:val="18"/>
                <w:lang w:eastAsia="zh-CN"/>
              </w:rPr>
            </w:pPr>
            <w:r>
              <w:rPr>
                <w:rFonts w:hint="eastAsia" w:ascii="宋体" w:hAnsi="宋体"/>
                <w:sz w:val="18"/>
                <w:szCs w:val="18"/>
                <w:lang w:eastAsia="zh-CN"/>
              </w:rPr>
              <w:t>（</w:t>
            </w:r>
            <w:r>
              <w:rPr>
                <w:rFonts w:hint="eastAsia" w:ascii="宋体" w:hAnsi="宋体"/>
                <w:sz w:val="18"/>
                <w:szCs w:val="18"/>
                <w:lang w:val="en-US" w:eastAsia="zh-CN"/>
              </w:rPr>
              <w:t>技术标低于70分淘汰</w:t>
            </w:r>
            <w:r>
              <w:rPr>
                <w:rFonts w:hint="eastAsia" w:ascii="宋体" w:hAnsi="宋体"/>
                <w:sz w:val="18"/>
                <w:szCs w:val="18"/>
                <w:lang w:eastAsia="zh-CN"/>
              </w:rPr>
              <w:t>）</w:t>
            </w:r>
          </w:p>
        </w:tc>
        <w:tc>
          <w:tcPr>
            <w:tcW w:w="294" w:type="pct"/>
            <w:vAlign w:val="center"/>
          </w:tcPr>
          <w:p w14:paraId="69A079DF">
            <w:pPr>
              <w:tabs>
                <w:tab w:val="left" w:pos="13965"/>
              </w:tabs>
              <w:jc w:val="center"/>
              <w:rPr>
                <w:rFonts w:ascii="宋体" w:hAnsi="宋体"/>
                <w:sz w:val="18"/>
                <w:szCs w:val="18"/>
              </w:rPr>
            </w:pPr>
            <w:r>
              <w:rPr>
                <w:rFonts w:hint="eastAsia" w:ascii="宋体" w:hAnsi="宋体"/>
                <w:sz w:val="18"/>
                <w:szCs w:val="18"/>
              </w:rPr>
              <w:t>业绩</w:t>
            </w:r>
          </w:p>
        </w:tc>
        <w:tc>
          <w:tcPr>
            <w:tcW w:w="295" w:type="pct"/>
            <w:vAlign w:val="center"/>
          </w:tcPr>
          <w:p w14:paraId="1199DC19">
            <w:pPr>
              <w:tabs>
                <w:tab w:val="left" w:pos="13965"/>
              </w:tabs>
              <w:jc w:val="center"/>
              <w:rPr>
                <w:rFonts w:ascii="宋体" w:hAnsi="宋体"/>
                <w:sz w:val="18"/>
                <w:szCs w:val="18"/>
              </w:rPr>
            </w:pPr>
            <w:r>
              <w:rPr>
                <w:rFonts w:ascii="宋体" w:hAnsi="宋体"/>
                <w:sz w:val="18"/>
                <w:szCs w:val="18"/>
              </w:rPr>
              <w:t>1</w:t>
            </w:r>
          </w:p>
        </w:tc>
        <w:tc>
          <w:tcPr>
            <w:tcW w:w="1355" w:type="pct"/>
            <w:vAlign w:val="center"/>
          </w:tcPr>
          <w:p w14:paraId="1990EB96">
            <w:pPr>
              <w:rPr>
                <w:rFonts w:ascii="宋体" w:hAnsi="宋体"/>
                <w:sz w:val="18"/>
                <w:szCs w:val="18"/>
              </w:rPr>
            </w:pPr>
            <w:r>
              <w:rPr>
                <w:rFonts w:hint="eastAsia" w:ascii="宋体" w:hAnsi="宋体"/>
                <w:sz w:val="18"/>
                <w:szCs w:val="18"/>
              </w:rPr>
              <w:t>设备制造商同类型项目业绩</w:t>
            </w:r>
          </w:p>
        </w:tc>
        <w:tc>
          <w:tcPr>
            <w:tcW w:w="283" w:type="pct"/>
            <w:vAlign w:val="center"/>
          </w:tcPr>
          <w:p w14:paraId="2BDFCCA4">
            <w:pPr>
              <w:tabs>
                <w:tab w:val="left" w:pos="13965"/>
              </w:tabs>
              <w:jc w:val="center"/>
              <w:rPr>
                <w:rFonts w:ascii="宋体" w:hAnsi="宋体"/>
                <w:sz w:val="18"/>
                <w:szCs w:val="18"/>
              </w:rPr>
            </w:pPr>
            <w:r>
              <w:rPr>
                <w:rFonts w:ascii="宋体" w:hAnsi="宋体"/>
                <w:sz w:val="18"/>
                <w:szCs w:val="18"/>
              </w:rPr>
              <w:t>10</w:t>
            </w:r>
          </w:p>
        </w:tc>
        <w:tc>
          <w:tcPr>
            <w:tcW w:w="2419" w:type="pct"/>
            <w:vAlign w:val="center"/>
          </w:tcPr>
          <w:p w14:paraId="3DD8370C">
            <w:pPr>
              <w:rPr>
                <w:rFonts w:ascii="宋体" w:hAnsi="宋体"/>
                <w:bCs/>
                <w:sz w:val="18"/>
                <w:szCs w:val="18"/>
              </w:rPr>
            </w:pPr>
            <w:r>
              <w:rPr>
                <w:rFonts w:hint="eastAsia" w:ascii="宋体" w:hAnsi="宋体"/>
                <w:bCs/>
                <w:sz w:val="18"/>
                <w:szCs w:val="18"/>
              </w:rPr>
              <w:t>由评标委员会成员独立进行客观、公正的评价，按照优、良、一般进行赋分，最高</w:t>
            </w:r>
            <w:r>
              <w:rPr>
                <w:rFonts w:ascii="宋体" w:hAnsi="宋体"/>
                <w:bCs/>
                <w:sz w:val="18"/>
                <w:szCs w:val="18"/>
              </w:rPr>
              <w:t>10</w:t>
            </w:r>
            <w:r>
              <w:rPr>
                <w:rFonts w:hint="eastAsia" w:ascii="宋体" w:hAnsi="宋体"/>
                <w:bCs/>
                <w:sz w:val="18"/>
                <w:szCs w:val="18"/>
              </w:rPr>
              <w:t>分（时间以签订日期为准）。</w:t>
            </w:r>
          </w:p>
          <w:p w14:paraId="79F8486F">
            <w:pPr>
              <w:rPr>
                <w:rFonts w:ascii="宋体" w:hAnsi="宋体"/>
                <w:sz w:val="18"/>
                <w:szCs w:val="18"/>
              </w:rPr>
            </w:pPr>
            <w:r>
              <w:rPr>
                <w:rFonts w:hint="eastAsia" w:ascii="宋体" w:hAnsi="宋体"/>
                <w:bCs/>
                <w:sz w:val="18"/>
                <w:szCs w:val="18"/>
              </w:rPr>
              <w:t>投标人在20</w:t>
            </w:r>
            <w:r>
              <w:rPr>
                <w:rFonts w:ascii="宋体" w:hAnsi="宋体"/>
                <w:bCs/>
                <w:sz w:val="18"/>
                <w:szCs w:val="18"/>
              </w:rPr>
              <w:t>2</w:t>
            </w:r>
            <w:r>
              <w:rPr>
                <w:rFonts w:hint="eastAsia" w:ascii="宋体" w:hAnsi="宋体"/>
                <w:bCs/>
                <w:sz w:val="18"/>
                <w:szCs w:val="18"/>
              </w:rPr>
              <w:t>3年1月1日以来在中国与本标同类规格产品的业绩，以合同复印件加盖公章为准（须有客户联系方式及联系人以供招标人核实确认）。</w:t>
            </w:r>
          </w:p>
        </w:tc>
      </w:tr>
      <w:tr w14:paraId="2416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351" w:type="pct"/>
            <w:vMerge w:val="continue"/>
            <w:vAlign w:val="center"/>
          </w:tcPr>
          <w:p w14:paraId="56159508">
            <w:pPr>
              <w:jc w:val="center"/>
              <w:rPr>
                <w:rFonts w:ascii="宋体" w:hAnsi="宋体"/>
                <w:sz w:val="18"/>
                <w:szCs w:val="18"/>
              </w:rPr>
            </w:pPr>
          </w:p>
        </w:tc>
        <w:tc>
          <w:tcPr>
            <w:tcW w:w="294" w:type="pct"/>
            <w:vMerge w:val="restart"/>
            <w:vAlign w:val="center"/>
          </w:tcPr>
          <w:p w14:paraId="527E21AA">
            <w:pPr>
              <w:jc w:val="center"/>
              <w:rPr>
                <w:rFonts w:ascii="宋体" w:hAnsi="宋体"/>
                <w:sz w:val="18"/>
                <w:szCs w:val="18"/>
              </w:rPr>
            </w:pPr>
            <w:r>
              <w:rPr>
                <w:rFonts w:hint="eastAsia" w:ascii="宋体" w:hAnsi="宋体"/>
                <w:sz w:val="18"/>
                <w:szCs w:val="18"/>
              </w:rPr>
              <w:t>产品技术</w:t>
            </w:r>
          </w:p>
        </w:tc>
        <w:tc>
          <w:tcPr>
            <w:tcW w:w="295" w:type="pct"/>
            <w:vAlign w:val="center"/>
          </w:tcPr>
          <w:p w14:paraId="27AE5660">
            <w:pPr>
              <w:jc w:val="center"/>
              <w:rPr>
                <w:rFonts w:ascii="宋体" w:hAnsi="宋体"/>
                <w:sz w:val="18"/>
                <w:szCs w:val="18"/>
              </w:rPr>
            </w:pPr>
            <w:r>
              <w:rPr>
                <w:rFonts w:ascii="宋体" w:hAnsi="宋体"/>
                <w:sz w:val="18"/>
                <w:szCs w:val="18"/>
              </w:rPr>
              <w:t>2</w:t>
            </w:r>
          </w:p>
        </w:tc>
        <w:tc>
          <w:tcPr>
            <w:tcW w:w="1355" w:type="pct"/>
            <w:vAlign w:val="center"/>
          </w:tcPr>
          <w:p w14:paraId="611A60B5">
            <w:pPr>
              <w:rPr>
                <w:rFonts w:ascii="宋体" w:hAnsi="宋体"/>
                <w:bCs/>
                <w:sz w:val="18"/>
                <w:szCs w:val="18"/>
              </w:rPr>
            </w:pPr>
            <w:r>
              <w:rPr>
                <w:rFonts w:hint="eastAsia" w:ascii="宋体" w:hAnsi="宋体"/>
                <w:bCs/>
                <w:sz w:val="18"/>
                <w:szCs w:val="18"/>
              </w:rPr>
              <w:t>设备制造商装备制造能力、生产设备、加工工艺、完善程度</w:t>
            </w:r>
          </w:p>
        </w:tc>
        <w:tc>
          <w:tcPr>
            <w:tcW w:w="283" w:type="pct"/>
            <w:vAlign w:val="center"/>
          </w:tcPr>
          <w:p w14:paraId="0F1A34C9">
            <w:pPr>
              <w:jc w:val="center"/>
              <w:rPr>
                <w:rFonts w:ascii="宋体" w:hAnsi="宋体"/>
                <w:sz w:val="18"/>
                <w:szCs w:val="18"/>
              </w:rPr>
            </w:pPr>
            <w:r>
              <w:rPr>
                <w:rFonts w:ascii="宋体" w:hAnsi="宋体"/>
                <w:sz w:val="18"/>
                <w:szCs w:val="18"/>
              </w:rPr>
              <w:t>15</w:t>
            </w:r>
          </w:p>
        </w:tc>
        <w:tc>
          <w:tcPr>
            <w:tcW w:w="2419" w:type="pct"/>
            <w:vAlign w:val="center"/>
          </w:tcPr>
          <w:p w14:paraId="19056B68">
            <w:pPr>
              <w:rPr>
                <w:rFonts w:ascii="宋体" w:hAnsi="宋体"/>
                <w:sz w:val="18"/>
                <w:szCs w:val="18"/>
              </w:rPr>
            </w:pPr>
            <w:r>
              <w:rPr>
                <w:rFonts w:hint="eastAsia" w:ascii="宋体" w:hAnsi="宋体"/>
                <w:bCs/>
                <w:sz w:val="18"/>
                <w:szCs w:val="18"/>
              </w:rPr>
              <w:t>由评标委员会成员独立进行客观、公正的评价，按照优、良、一般进行赋分，最高1</w:t>
            </w:r>
            <w:r>
              <w:rPr>
                <w:rFonts w:ascii="宋体" w:hAnsi="宋体"/>
                <w:bCs/>
                <w:sz w:val="18"/>
                <w:szCs w:val="18"/>
              </w:rPr>
              <w:t>5</w:t>
            </w:r>
            <w:r>
              <w:rPr>
                <w:rFonts w:hint="eastAsia" w:ascii="宋体" w:hAnsi="宋体"/>
                <w:bCs/>
                <w:sz w:val="18"/>
                <w:szCs w:val="18"/>
              </w:rPr>
              <w:t>分。</w:t>
            </w:r>
          </w:p>
        </w:tc>
      </w:tr>
      <w:tr w14:paraId="5B9D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2" w:hRule="atLeast"/>
          <w:jc w:val="center"/>
        </w:trPr>
        <w:tc>
          <w:tcPr>
            <w:tcW w:w="351" w:type="pct"/>
            <w:vMerge w:val="continue"/>
            <w:vAlign w:val="center"/>
          </w:tcPr>
          <w:p w14:paraId="297D9663">
            <w:pPr>
              <w:jc w:val="center"/>
              <w:rPr>
                <w:rFonts w:ascii="宋体" w:hAnsi="宋体"/>
                <w:sz w:val="18"/>
                <w:szCs w:val="18"/>
              </w:rPr>
            </w:pPr>
          </w:p>
        </w:tc>
        <w:tc>
          <w:tcPr>
            <w:tcW w:w="294" w:type="pct"/>
            <w:vMerge w:val="continue"/>
            <w:vAlign w:val="center"/>
          </w:tcPr>
          <w:p w14:paraId="3D0DC081">
            <w:pPr>
              <w:jc w:val="center"/>
              <w:rPr>
                <w:rFonts w:ascii="宋体" w:hAnsi="宋体"/>
                <w:sz w:val="18"/>
                <w:szCs w:val="18"/>
              </w:rPr>
            </w:pPr>
          </w:p>
        </w:tc>
        <w:tc>
          <w:tcPr>
            <w:tcW w:w="295" w:type="pct"/>
            <w:vAlign w:val="center"/>
          </w:tcPr>
          <w:p w14:paraId="3A0720D4">
            <w:pPr>
              <w:jc w:val="center"/>
              <w:rPr>
                <w:rFonts w:ascii="宋体" w:hAnsi="宋体"/>
                <w:sz w:val="18"/>
                <w:szCs w:val="18"/>
              </w:rPr>
            </w:pPr>
            <w:r>
              <w:rPr>
                <w:rFonts w:hint="eastAsia" w:ascii="宋体" w:hAnsi="宋体"/>
                <w:sz w:val="18"/>
                <w:szCs w:val="18"/>
              </w:rPr>
              <w:t>3</w:t>
            </w:r>
          </w:p>
        </w:tc>
        <w:tc>
          <w:tcPr>
            <w:tcW w:w="1355" w:type="pct"/>
            <w:vAlign w:val="center"/>
          </w:tcPr>
          <w:p w14:paraId="0EFBB08F">
            <w:pPr>
              <w:rPr>
                <w:rFonts w:ascii="宋体" w:hAnsi="宋体"/>
                <w:bCs/>
                <w:sz w:val="18"/>
                <w:szCs w:val="18"/>
              </w:rPr>
            </w:pPr>
            <w:r>
              <w:rPr>
                <w:rFonts w:hint="eastAsia" w:ascii="宋体" w:hAnsi="宋体"/>
                <w:bCs/>
                <w:sz w:val="18"/>
                <w:szCs w:val="18"/>
              </w:rPr>
              <w:t>产品方案技术先进、各系统完善、性能可靠，设备主要核心部件，具备自身技术优势</w:t>
            </w:r>
          </w:p>
        </w:tc>
        <w:tc>
          <w:tcPr>
            <w:tcW w:w="283" w:type="pct"/>
            <w:vAlign w:val="center"/>
          </w:tcPr>
          <w:p w14:paraId="6F0589DF">
            <w:pPr>
              <w:jc w:val="center"/>
              <w:rPr>
                <w:rFonts w:ascii="宋体" w:hAnsi="宋体"/>
                <w:sz w:val="18"/>
                <w:szCs w:val="18"/>
              </w:rPr>
            </w:pPr>
            <w:r>
              <w:rPr>
                <w:rFonts w:ascii="宋体" w:hAnsi="宋体"/>
                <w:sz w:val="18"/>
                <w:szCs w:val="18"/>
              </w:rPr>
              <w:t>40</w:t>
            </w:r>
          </w:p>
        </w:tc>
        <w:tc>
          <w:tcPr>
            <w:tcW w:w="2419" w:type="pct"/>
            <w:vAlign w:val="center"/>
          </w:tcPr>
          <w:p w14:paraId="7E39DBC8">
            <w:pPr>
              <w:rPr>
                <w:rFonts w:ascii="宋体" w:hAnsi="宋体"/>
                <w:bCs/>
                <w:sz w:val="18"/>
                <w:szCs w:val="18"/>
              </w:rPr>
            </w:pPr>
            <w:r>
              <w:rPr>
                <w:rFonts w:hint="eastAsia" w:ascii="宋体" w:hAnsi="宋体"/>
                <w:sz w:val="18"/>
                <w:szCs w:val="18"/>
              </w:rPr>
              <w:t>以下各项由评标委员会成员独立进行客观、公正的评价打分。</w:t>
            </w:r>
          </w:p>
          <w:p w14:paraId="3D432FD0">
            <w:pPr>
              <w:rPr>
                <w:rFonts w:ascii="宋体" w:hAnsi="宋体"/>
                <w:sz w:val="18"/>
                <w:szCs w:val="18"/>
              </w:rPr>
            </w:pPr>
            <w:r>
              <w:rPr>
                <w:rFonts w:hint="eastAsia" w:ascii="宋体" w:hAnsi="宋体"/>
                <w:bCs/>
                <w:sz w:val="18"/>
                <w:szCs w:val="18"/>
              </w:rPr>
              <w:t>投标文件中技术方案、软硬件配置、处理工艺、设施明细、技术参数、综合性能、控制方案等的先进性、符合性、适用性进行分析比较、评议、综合打分，按照优、良、一般进行赋分，最高40分。</w:t>
            </w:r>
          </w:p>
        </w:tc>
      </w:tr>
      <w:tr w14:paraId="1BE56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 w:hRule="atLeast"/>
          <w:jc w:val="center"/>
        </w:trPr>
        <w:tc>
          <w:tcPr>
            <w:tcW w:w="351" w:type="pct"/>
            <w:vMerge w:val="continue"/>
            <w:vAlign w:val="center"/>
          </w:tcPr>
          <w:p w14:paraId="5A7E1C92">
            <w:pPr>
              <w:jc w:val="center"/>
              <w:rPr>
                <w:rFonts w:ascii="宋体" w:hAnsi="宋体"/>
                <w:sz w:val="18"/>
                <w:szCs w:val="18"/>
              </w:rPr>
            </w:pPr>
          </w:p>
        </w:tc>
        <w:tc>
          <w:tcPr>
            <w:tcW w:w="294" w:type="pct"/>
            <w:vAlign w:val="center"/>
          </w:tcPr>
          <w:p w14:paraId="31AC34C3">
            <w:pPr>
              <w:jc w:val="center"/>
              <w:rPr>
                <w:rFonts w:ascii="宋体" w:hAnsi="宋体"/>
                <w:sz w:val="18"/>
                <w:szCs w:val="18"/>
              </w:rPr>
            </w:pPr>
            <w:r>
              <w:rPr>
                <w:rFonts w:hint="eastAsia" w:ascii="宋体" w:hAnsi="宋体"/>
                <w:sz w:val="18"/>
                <w:szCs w:val="18"/>
              </w:rPr>
              <w:t>答疑</w:t>
            </w:r>
          </w:p>
        </w:tc>
        <w:tc>
          <w:tcPr>
            <w:tcW w:w="295" w:type="pct"/>
            <w:vAlign w:val="center"/>
          </w:tcPr>
          <w:p w14:paraId="6AD72B08">
            <w:pPr>
              <w:jc w:val="center"/>
              <w:rPr>
                <w:rFonts w:ascii="宋体" w:hAnsi="宋体"/>
                <w:sz w:val="18"/>
                <w:szCs w:val="18"/>
              </w:rPr>
            </w:pPr>
            <w:r>
              <w:rPr>
                <w:rFonts w:hint="eastAsia" w:ascii="宋体" w:hAnsi="宋体"/>
                <w:sz w:val="18"/>
                <w:szCs w:val="18"/>
              </w:rPr>
              <w:t>4</w:t>
            </w:r>
          </w:p>
        </w:tc>
        <w:tc>
          <w:tcPr>
            <w:tcW w:w="1355" w:type="pct"/>
            <w:vAlign w:val="center"/>
          </w:tcPr>
          <w:p w14:paraId="2AC1E2D6">
            <w:pPr>
              <w:rPr>
                <w:rFonts w:ascii="宋体" w:hAnsi="宋体"/>
                <w:bCs/>
                <w:sz w:val="18"/>
                <w:szCs w:val="18"/>
              </w:rPr>
            </w:pPr>
            <w:r>
              <w:rPr>
                <w:rFonts w:hint="eastAsia" w:ascii="宋体" w:hAnsi="宋体"/>
                <w:bCs/>
                <w:sz w:val="18"/>
                <w:szCs w:val="18"/>
              </w:rPr>
              <w:t>现场答疑</w:t>
            </w:r>
          </w:p>
        </w:tc>
        <w:tc>
          <w:tcPr>
            <w:tcW w:w="283" w:type="pct"/>
            <w:vAlign w:val="center"/>
          </w:tcPr>
          <w:p w14:paraId="73938A35">
            <w:pPr>
              <w:jc w:val="center"/>
              <w:rPr>
                <w:rFonts w:ascii="宋体" w:hAnsi="宋体"/>
                <w:sz w:val="18"/>
                <w:szCs w:val="18"/>
              </w:rPr>
            </w:pPr>
            <w:r>
              <w:rPr>
                <w:rFonts w:ascii="宋体" w:hAnsi="宋体"/>
                <w:sz w:val="18"/>
                <w:szCs w:val="18"/>
              </w:rPr>
              <w:t>5</w:t>
            </w:r>
          </w:p>
        </w:tc>
        <w:tc>
          <w:tcPr>
            <w:tcW w:w="2419" w:type="pct"/>
            <w:vAlign w:val="center"/>
          </w:tcPr>
          <w:p w14:paraId="2630036F">
            <w:pPr>
              <w:rPr>
                <w:rFonts w:ascii="宋体" w:hAnsi="宋体"/>
                <w:bCs/>
                <w:sz w:val="18"/>
                <w:szCs w:val="18"/>
              </w:rPr>
            </w:pPr>
            <w:r>
              <w:rPr>
                <w:rFonts w:hint="eastAsia" w:ascii="宋体" w:hAnsi="宋体"/>
                <w:sz w:val="18"/>
                <w:szCs w:val="18"/>
              </w:rPr>
              <w:t>投标人代表对方案、技术优势的讲解，以及就该项目难点回答评标专家现场提问，打分0-5分。</w:t>
            </w:r>
          </w:p>
        </w:tc>
      </w:tr>
      <w:tr w14:paraId="6F45E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51" w:type="pct"/>
            <w:vMerge w:val="continue"/>
            <w:vAlign w:val="center"/>
          </w:tcPr>
          <w:p w14:paraId="31992D1C">
            <w:pPr>
              <w:jc w:val="center"/>
              <w:rPr>
                <w:rFonts w:ascii="宋体" w:hAnsi="宋体"/>
                <w:sz w:val="18"/>
                <w:szCs w:val="18"/>
              </w:rPr>
            </w:pPr>
          </w:p>
        </w:tc>
        <w:tc>
          <w:tcPr>
            <w:tcW w:w="294" w:type="pct"/>
            <w:vAlign w:val="center"/>
          </w:tcPr>
          <w:p w14:paraId="243F7B18">
            <w:pPr>
              <w:jc w:val="center"/>
              <w:rPr>
                <w:rFonts w:ascii="宋体" w:hAnsi="宋体"/>
                <w:sz w:val="18"/>
                <w:szCs w:val="18"/>
              </w:rPr>
            </w:pPr>
            <w:r>
              <w:rPr>
                <w:rFonts w:hint="eastAsia" w:ascii="宋体" w:hAnsi="宋体"/>
                <w:sz w:val="18"/>
                <w:szCs w:val="18"/>
              </w:rPr>
              <w:t>技术偏离</w:t>
            </w:r>
          </w:p>
        </w:tc>
        <w:tc>
          <w:tcPr>
            <w:tcW w:w="295" w:type="pct"/>
            <w:vAlign w:val="center"/>
          </w:tcPr>
          <w:p w14:paraId="7D7D9B04">
            <w:pPr>
              <w:jc w:val="center"/>
              <w:rPr>
                <w:rFonts w:ascii="宋体" w:hAnsi="宋体"/>
                <w:sz w:val="18"/>
                <w:szCs w:val="18"/>
              </w:rPr>
            </w:pPr>
            <w:r>
              <w:rPr>
                <w:rFonts w:ascii="宋体" w:hAnsi="宋体"/>
                <w:sz w:val="18"/>
                <w:szCs w:val="18"/>
              </w:rPr>
              <w:t>5</w:t>
            </w:r>
          </w:p>
        </w:tc>
        <w:tc>
          <w:tcPr>
            <w:tcW w:w="1355" w:type="pct"/>
            <w:vAlign w:val="center"/>
          </w:tcPr>
          <w:p w14:paraId="62445BF7">
            <w:pPr>
              <w:rPr>
                <w:rFonts w:ascii="宋体" w:hAnsi="宋体"/>
                <w:sz w:val="18"/>
                <w:szCs w:val="18"/>
              </w:rPr>
            </w:pPr>
            <w:r>
              <w:rPr>
                <w:rFonts w:hint="eastAsia" w:ascii="宋体" w:hAnsi="宋体"/>
                <w:bCs/>
                <w:sz w:val="18"/>
                <w:szCs w:val="18"/>
              </w:rPr>
              <w:t>技术偏离</w:t>
            </w:r>
          </w:p>
        </w:tc>
        <w:tc>
          <w:tcPr>
            <w:tcW w:w="283" w:type="pct"/>
            <w:vAlign w:val="center"/>
          </w:tcPr>
          <w:p w14:paraId="58F36262">
            <w:pPr>
              <w:jc w:val="center"/>
              <w:rPr>
                <w:rFonts w:ascii="宋体" w:hAnsi="宋体"/>
                <w:sz w:val="18"/>
                <w:szCs w:val="18"/>
              </w:rPr>
            </w:pPr>
            <w:r>
              <w:rPr>
                <w:rFonts w:ascii="宋体" w:hAnsi="宋体"/>
                <w:sz w:val="18"/>
                <w:szCs w:val="18"/>
              </w:rPr>
              <w:t>15</w:t>
            </w:r>
          </w:p>
        </w:tc>
        <w:tc>
          <w:tcPr>
            <w:tcW w:w="2419" w:type="pct"/>
            <w:vAlign w:val="center"/>
          </w:tcPr>
          <w:p w14:paraId="56EAAE3A">
            <w:pPr>
              <w:jc w:val="left"/>
              <w:rPr>
                <w:rFonts w:ascii="宋体" w:hAnsi="宋体"/>
                <w:bCs/>
                <w:sz w:val="18"/>
                <w:szCs w:val="18"/>
              </w:rPr>
            </w:pPr>
            <w:r>
              <w:rPr>
                <w:rFonts w:hint="eastAsia" w:ascii="宋体" w:hAnsi="宋体"/>
                <w:bCs/>
                <w:sz w:val="18"/>
                <w:szCs w:val="18"/>
              </w:rPr>
              <w:t>由评标委员会成员独立进行客观、公正的评价，根据各投标单位的核心产品的配置参数、技术偏离情况，在满足我司技术基本要求的前提下偏离，无偏离得满分</w:t>
            </w:r>
            <w:r>
              <w:rPr>
                <w:rFonts w:ascii="宋体" w:hAnsi="宋体"/>
                <w:bCs/>
                <w:sz w:val="18"/>
                <w:szCs w:val="18"/>
              </w:rPr>
              <w:t>15</w:t>
            </w:r>
            <w:r>
              <w:rPr>
                <w:rFonts w:hint="eastAsia" w:ascii="宋体" w:hAnsi="宋体"/>
                <w:bCs/>
                <w:sz w:val="18"/>
                <w:szCs w:val="18"/>
              </w:rPr>
              <w:t>分，较大偏离每一项扣</w:t>
            </w:r>
            <w:r>
              <w:rPr>
                <w:rFonts w:ascii="宋体" w:hAnsi="宋体"/>
                <w:bCs/>
                <w:sz w:val="18"/>
                <w:szCs w:val="18"/>
              </w:rPr>
              <w:t>3</w:t>
            </w:r>
            <w:r>
              <w:rPr>
                <w:rFonts w:hint="eastAsia" w:ascii="宋体" w:hAnsi="宋体"/>
                <w:bCs/>
                <w:sz w:val="18"/>
                <w:szCs w:val="18"/>
              </w:rPr>
              <w:t>分，一般偏离每一项扣</w:t>
            </w:r>
            <w:r>
              <w:rPr>
                <w:rFonts w:ascii="宋体" w:hAnsi="宋体"/>
                <w:bCs/>
                <w:sz w:val="18"/>
                <w:szCs w:val="18"/>
              </w:rPr>
              <w:t>2</w:t>
            </w:r>
            <w:r>
              <w:rPr>
                <w:rFonts w:hint="eastAsia" w:ascii="宋体" w:hAnsi="宋体"/>
                <w:bCs/>
                <w:sz w:val="18"/>
                <w:szCs w:val="18"/>
              </w:rPr>
              <w:t>分，最低得分</w:t>
            </w:r>
            <w:r>
              <w:rPr>
                <w:rFonts w:ascii="宋体" w:hAnsi="宋体"/>
                <w:bCs/>
                <w:sz w:val="18"/>
                <w:szCs w:val="18"/>
              </w:rPr>
              <w:t>0</w:t>
            </w:r>
            <w:r>
              <w:rPr>
                <w:rFonts w:hint="eastAsia" w:ascii="宋体" w:hAnsi="宋体"/>
                <w:bCs/>
                <w:sz w:val="18"/>
                <w:szCs w:val="18"/>
              </w:rPr>
              <w:t>分。</w:t>
            </w:r>
          </w:p>
        </w:tc>
      </w:tr>
      <w:tr w14:paraId="6011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51" w:type="pct"/>
            <w:vMerge w:val="continue"/>
            <w:vAlign w:val="center"/>
          </w:tcPr>
          <w:p w14:paraId="69B3FEC4">
            <w:pPr>
              <w:jc w:val="center"/>
              <w:rPr>
                <w:rFonts w:ascii="宋体" w:hAnsi="宋体"/>
                <w:sz w:val="18"/>
                <w:szCs w:val="18"/>
              </w:rPr>
            </w:pPr>
          </w:p>
        </w:tc>
        <w:tc>
          <w:tcPr>
            <w:tcW w:w="294" w:type="pct"/>
            <w:vMerge w:val="restart"/>
            <w:vAlign w:val="center"/>
          </w:tcPr>
          <w:p w14:paraId="29DA7E9F">
            <w:pPr>
              <w:jc w:val="center"/>
              <w:rPr>
                <w:rFonts w:ascii="宋体" w:hAnsi="宋体"/>
                <w:sz w:val="18"/>
                <w:szCs w:val="18"/>
              </w:rPr>
            </w:pPr>
            <w:r>
              <w:rPr>
                <w:rFonts w:hint="eastAsia" w:ascii="宋体" w:hAnsi="宋体"/>
                <w:sz w:val="18"/>
                <w:szCs w:val="18"/>
              </w:rPr>
              <w:t>售后服务</w:t>
            </w:r>
          </w:p>
        </w:tc>
        <w:tc>
          <w:tcPr>
            <w:tcW w:w="295" w:type="pct"/>
            <w:vAlign w:val="center"/>
          </w:tcPr>
          <w:p w14:paraId="1B884B21">
            <w:pPr>
              <w:jc w:val="center"/>
              <w:rPr>
                <w:rFonts w:ascii="宋体" w:hAnsi="宋体"/>
                <w:sz w:val="18"/>
                <w:szCs w:val="18"/>
              </w:rPr>
            </w:pPr>
            <w:r>
              <w:rPr>
                <w:rFonts w:ascii="宋体" w:hAnsi="宋体"/>
                <w:sz w:val="18"/>
                <w:szCs w:val="18"/>
              </w:rPr>
              <w:t>6</w:t>
            </w:r>
          </w:p>
        </w:tc>
        <w:tc>
          <w:tcPr>
            <w:tcW w:w="1355" w:type="pct"/>
            <w:vAlign w:val="center"/>
          </w:tcPr>
          <w:p w14:paraId="0FD75622">
            <w:pPr>
              <w:rPr>
                <w:rFonts w:ascii="宋体" w:hAnsi="宋体"/>
                <w:sz w:val="18"/>
                <w:szCs w:val="18"/>
              </w:rPr>
            </w:pPr>
            <w:r>
              <w:rPr>
                <w:rFonts w:hint="eastAsia" w:ascii="宋体" w:hAnsi="宋体"/>
                <w:sz w:val="18"/>
                <w:szCs w:val="18"/>
              </w:rPr>
              <w:t>技术培训方案：对采购方人员的技术培训方案安排科学、合理、可行</w:t>
            </w:r>
          </w:p>
        </w:tc>
        <w:tc>
          <w:tcPr>
            <w:tcW w:w="283" w:type="pct"/>
            <w:vAlign w:val="center"/>
          </w:tcPr>
          <w:p w14:paraId="66FB0050">
            <w:pPr>
              <w:jc w:val="center"/>
              <w:rPr>
                <w:rFonts w:ascii="宋体" w:hAnsi="宋体"/>
                <w:sz w:val="18"/>
                <w:szCs w:val="18"/>
              </w:rPr>
            </w:pPr>
            <w:r>
              <w:rPr>
                <w:rFonts w:ascii="宋体" w:hAnsi="宋体"/>
                <w:sz w:val="18"/>
                <w:szCs w:val="18"/>
              </w:rPr>
              <w:t>5</w:t>
            </w:r>
          </w:p>
        </w:tc>
        <w:tc>
          <w:tcPr>
            <w:tcW w:w="2419" w:type="pct"/>
            <w:vAlign w:val="center"/>
          </w:tcPr>
          <w:p w14:paraId="77E4067C">
            <w:pPr>
              <w:rPr>
                <w:rFonts w:ascii="宋体" w:hAnsi="宋体"/>
                <w:bCs/>
                <w:sz w:val="18"/>
                <w:szCs w:val="18"/>
              </w:rPr>
            </w:pPr>
            <w:r>
              <w:rPr>
                <w:rFonts w:hint="eastAsia" w:ascii="宋体" w:hAnsi="宋体"/>
                <w:bCs/>
                <w:sz w:val="18"/>
                <w:szCs w:val="18"/>
              </w:rPr>
              <w:t>由评标委员会成员独立进行客观、公正的评价，按照优、良、一般进行赋分，最高5分。</w:t>
            </w:r>
          </w:p>
        </w:tc>
      </w:tr>
      <w:tr w14:paraId="3AE5E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51" w:type="pct"/>
            <w:vMerge w:val="continue"/>
            <w:vAlign w:val="center"/>
          </w:tcPr>
          <w:p w14:paraId="3DBC8194">
            <w:pPr>
              <w:jc w:val="center"/>
              <w:rPr>
                <w:rFonts w:ascii="宋体" w:hAnsi="宋体"/>
                <w:sz w:val="18"/>
                <w:szCs w:val="18"/>
              </w:rPr>
            </w:pPr>
          </w:p>
        </w:tc>
        <w:tc>
          <w:tcPr>
            <w:tcW w:w="294" w:type="pct"/>
            <w:vMerge w:val="continue"/>
            <w:vAlign w:val="center"/>
          </w:tcPr>
          <w:p w14:paraId="413D7339">
            <w:pPr>
              <w:jc w:val="center"/>
              <w:rPr>
                <w:rFonts w:ascii="宋体" w:hAnsi="宋体"/>
                <w:sz w:val="18"/>
                <w:szCs w:val="18"/>
              </w:rPr>
            </w:pPr>
          </w:p>
        </w:tc>
        <w:tc>
          <w:tcPr>
            <w:tcW w:w="295" w:type="pct"/>
            <w:vAlign w:val="center"/>
          </w:tcPr>
          <w:p w14:paraId="10DCF950">
            <w:pPr>
              <w:jc w:val="center"/>
              <w:rPr>
                <w:rFonts w:ascii="宋体" w:hAnsi="宋体"/>
                <w:sz w:val="18"/>
                <w:szCs w:val="18"/>
              </w:rPr>
            </w:pPr>
            <w:r>
              <w:rPr>
                <w:rFonts w:ascii="宋体" w:hAnsi="宋体"/>
                <w:sz w:val="18"/>
                <w:szCs w:val="18"/>
              </w:rPr>
              <w:t>7</w:t>
            </w:r>
          </w:p>
        </w:tc>
        <w:tc>
          <w:tcPr>
            <w:tcW w:w="1355" w:type="pct"/>
            <w:vAlign w:val="center"/>
          </w:tcPr>
          <w:p w14:paraId="6EA1ED92">
            <w:pPr>
              <w:rPr>
                <w:rFonts w:ascii="宋体" w:hAnsi="宋体"/>
                <w:sz w:val="18"/>
                <w:szCs w:val="18"/>
              </w:rPr>
            </w:pPr>
            <w:r>
              <w:rPr>
                <w:rFonts w:hint="eastAsia" w:ascii="宋体" w:hAnsi="宋体"/>
                <w:bCs/>
                <w:sz w:val="18"/>
                <w:szCs w:val="18"/>
              </w:rPr>
              <w:t>投标人在中国有常驻的专业技术力量的维保机构并具有实施本项目维保的专业技术人员：</w:t>
            </w:r>
          </w:p>
        </w:tc>
        <w:tc>
          <w:tcPr>
            <w:tcW w:w="283" w:type="pct"/>
            <w:vAlign w:val="center"/>
          </w:tcPr>
          <w:p w14:paraId="0F13ECA8">
            <w:pPr>
              <w:jc w:val="center"/>
              <w:rPr>
                <w:rFonts w:ascii="宋体" w:hAnsi="宋体"/>
                <w:sz w:val="18"/>
                <w:szCs w:val="18"/>
              </w:rPr>
            </w:pPr>
            <w:r>
              <w:rPr>
                <w:rFonts w:ascii="宋体" w:hAnsi="宋体"/>
                <w:bCs/>
                <w:sz w:val="18"/>
                <w:szCs w:val="18"/>
              </w:rPr>
              <w:t>5</w:t>
            </w:r>
          </w:p>
        </w:tc>
        <w:tc>
          <w:tcPr>
            <w:tcW w:w="2419" w:type="pct"/>
            <w:vAlign w:val="center"/>
          </w:tcPr>
          <w:p w14:paraId="49E5677B">
            <w:pPr>
              <w:rPr>
                <w:rFonts w:ascii="宋体" w:hAnsi="宋体"/>
                <w:bCs/>
                <w:sz w:val="18"/>
                <w:szCs w:val="18"/>
              </w:rPr>
            </w:pPr>
            <w:r>
              <w:rPr>
                <w:rFonts w:hint="eastAsia" w:ascii="宋体" w:hAnsi="宋体"/>
                <w:bCs/>
                <w:sz w:val="18"/>
                <w:szCs w:val="18"/>
              </w:rPr>
              <w:t>由评标委员会成员独立进行客观、公正的评价，按照优、良、一般进行赋分，最高5分。</w:t>
            </w:r>
          </w:p>
        </w:tc>
      </w:tr>
      <w:tr w14:paraId="33F95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4" w:hRule="atLeast"/>
          <w:jc w:val="center"/>
        </w:trPr>
        <w:tc>
          <w:tcPr>
            <w:tcW w:w="351" w:type="pct"/>
            <w:vMerge w:val="continue"/>
            <w:vAlign w:val="center"/>
          </w:tcPr>
          <w:p w14:paraId="4CC93777">
            <w:pPr>
              <w:jc w:val="center"/>
              <w:rPr>
                <w:rFonts w:ascii="宋体" w:hAnsi="宋体"/>
                <w:sz w:val="18"/>
                <w:szCs w:val="18"/>
              </w:rPr>
            </w:pPr>
          </w:p>
        </w:tc>
        <w:tc>
          <w:tcPr>
            <w:tcW w:w="294" w:type="pct"/>
            <w:vMerge w:val="continue"/>
            <w:vAlign w:val="center"/>
          </w:tcPr>
          <w:p w14:paraId="2AC2E78C">
            <w:pPr>
              <w:jc w:val="center"/>
              <w:rPr>
                <w:rFonts w:ascii="宋体" w:hAnsi="宋体"/>
                <w:sz w:val="18"/>
                <w:szCs w:val="18"/>
              </w:rPr>
            </w:pPr>
          </w:p>
        </w:tc>
        <w:tc>
          <w:tcPr>
            <w:tcW w:w="295" w:type="pct"/>
            <w:vAlign w:val="center"/>
          </w:tcPr>
          <w:p w14:paraId="10DEF70E">
            <w:pPr>
              <w:jc w:val="center"/>
              <w:rPr>
                <w:rFonts w:ascii="宋体" w:hAnsi="宋体"/>
                <w:sz w:val="18"/>
                <w:szCs w:val="18"/>
              </w:rPr>
            </w:pPr>
            <w:r>
              <w:rPr>
                <w:rFonts w:ascii="宋体" w:hAnsi="宋体"/>
                <w:sz w:val="18"/>
                <w:szCs w:val="18"/>
              </w:rPr>
              <w:t>8</w:t>
            </w:r>
          </w:p>
        </w:tc>
        <w:tc>
          <w:tcPr>
            <w:tcW w:w="1355" w:type="pct"/>
            <w:vAlign w:val="center"/>
          </w:tcPr>
          <w:p w14:paraId="268AD73B">
            <w:pPr>
              <w:rPr>
                <w:rFonts w:ascii="宋体" w:hAnsi="宋体"/>
                <w:sz w:val="18"/>
                <w:szCs w:val="18"/>
              </w:rPr>
            </w:pPr>
            <w:r>
              <w:rPr>
                <w:rFonts w:hint="eastAsia" w:ascii="宋体" w:hAnsi="宋体"/>
                <w:sz w:val="18"/>
                <w:szCs w:val="18"/>
              </w:rPr>
              <w:t>售后服务及时周到，有相应的服务承诺和具体的保证措施</w:t>
            </w:r>
          </w:p>
        </w:tc>
        <w:tc>
          <w:tcPr>
            <w:tcW w:w="283" w:type="pct"/>
            <w:vAlign w:val="center"/>
          </w:tcPr>
          <w:p w14:paraId="28C67540">
            <w:pPr>
              <w:jc w:val="center"/>
              <w:rPr>
                <w:rFonts w:ascii="宋体" w:hAnsi="宋体"/>
                <w:sz w:val="18"/>
                <w:szCs w:val="18"/>
              </w:rPr>
            </w:pPr>
            <w:r>
              <w:rPr>
                <w:rFonts w:hint="eastAsia" w:ascii="宋体" w:hAnsi="宋体"/>
                <w:sz w:val="18"/>
                <w:szCs w:val="18"/>
              </w:rPr>
              <w:t>5</w:t>
            </w:r>
          </w:p>
        </w:tc>
        <w:tc>
          <w:tcPr>
            <w:tcW w:w="2419" w:type="pct"/>
            <w:vAlign w:val="center"/>
          </w:tcPr>
          <w:p w14:paraId="65BB9834">
            <w:pPr>
              <w:rPr>
                <w:rFonts w:ascii="宋体" w:hAnsi="宋体"/>
                <w:bCs/>
                <w:sz w:val="18"/>
                <w:szCs w:val="18"/>
              </w:rPr>
            </w:pPr>
            <w:r>
              <w:rPr>
                <w:rFonts w:hint="eastAsia" w:ascii="宋体" w:hAnsi="宋体"/>
                <w:bCs/>
                <w:sz w:val="18"/>
                <w:szCs w:val="18"/>
              </w:rPr>
              <w:t>由评标委员会成员独立进行客观、公正的评价，按照优、良、一般进行赋分，最高</w:t>
            </w:r>
            <w:r>
              <w:rPr>
                <w:rFonts w:ascii="宋体" w:hAnsi="宋体"/>
                <w:bCs/>
                <w:sz w:val="18"/>
                <w:szCs w:val="18"/>
              </w:rPr>
              <w:t>5</w:t>
            </w:r>
            <w:r>
              <w:rPr>
                <w:rFonts w:hint="eastAsia" w:ascii="宋体" w:hAnsi="宋体"/>
                <w:bCs/>
                <w:sz w:val="18"/>
                <w:szCs w:val="18"/>
              </w:rPr>
              <w:t>分。</w:t>
            </w:r>
          </w:p>
        </w:tc>
      </w:tr>
    </w:tbl>
    <w:p w14:paraId="6F8772FA">
      <w:pPr>
        <w:rPr>
          <w:rFonts w:ascii="宋体" w:hAnsi="宋体" w:eastAsia="宋体" w:cs="Times New Roman"/>
          <w:b/>
          <w:bCs/>
          <w:sz w:val="24"/>
          <w:highlight w:val="none"/>
        </w:rPr>
      </w:pPr>
    </w:p>
    <w:p w14:paraId="041B2813">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2A5B9AF8">
      <w:pPr>
        <w:pStyle w:val="24"/>
        <w:outlineLvl w:val="2"/>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2683BBEC">
      <w:pPr>
        <w:adjustRightInd w:val="0"/>
        <w:snapToGrid w:val="0"/>
        <w:jc w:val="left"/>
        <w:rPr>
          <w:rFonts w:ascii="宋体" w:hAnsi="宋体" w:eastAsia="宋体" w:cs="宋体"/>
          <w:sz w:val="24"/>
          <w:szCs w:val="24"/>
        </w:rPr>
      </w:pPr>
    </w:p>
    <w:p w14:paraId="09CE34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27149D49">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4BABCF64">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5"/>
                    <a:stretch>
                      <a:fillRect/>
                    </a:stretch>
                  </pic:blipFill>
                  <pic:spPr>
                    <a:xfrm>
                      <a:off x="0" y="0"/>
                      <a:ext cx="5758815" cy="2764790"/>
                    </a:xfrm>
                    <a:prstGeom prst="rect">
                      <a:avLst/>
                    </a:prstGeom>
                    <a:noFill/>
                    <a:ln>
                      <a:noFill/>
                    </a:ln>
                  </pic:spPr>
                </pic:pic>
              </a:graphicData>
            </a:graphic>
          </wp:inline>
        </w:drawing>
      </w:r>
    </w:p>
    <w:p w14:paraId="09672E83">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70991F4A">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1DD98AF9">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26" cstate="print"/>
                    <a:srcRect/>
                    <a:stretch>
                      <a:fillRect/>
                    </a:stretch>
                  </pic:blipFill>
                  <pic:spPr>
                    <a:xfrm>
                      <a:off x="0" y="0"/>
                      <a:ext cx="5760085" cy="2933065"/>
                    </a:xfrm>
                    <a:prstGeom prst="rect">
                      <a:avLst/>
                    </a:prstGeom>
                  </pic:spPr>
                </pic:pic>
              </a:graphicData>
            </a:graphic>
          </wp:inline>
        </w:drawing>
      </w:r>
    </w:p>
    <w:p w14:paraId="3C86E062">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78B6D7B">
      <w:pPr>
        <w:spacing w:line="360" w:lineRule="auto"/>
        <w:rPr>
          <w:rFonts w:ascii="宋体" w:hAnsi="宋体" w:eastAsia="宋体" w:cs="宋体"/>
          <w:sz w:val="24"/>
          <w:szCs w:val="28"/>
        </w:rPr>
      </w:pPr>
    </w:p>
    <w:p w14:paraId="0C251211">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27" cstate="print"/>
                    <a:srcRect/>
                    <a:stretch>
                      <a:fillRect/>
                    </a:stretch>
                  </pic:blipFill>
                  <pic:spPr>
                    <a:xfrm>
                      <a:off x="0" y="0"/>
                      <a:ext cx="5760085" cy="2766695"/>
                    </a:xfrm>
                    <a:prstGeom prst="rect">
                      <a:avLst/>
                    </a:prstGeom>
                  </pic:spPr>
                </pic:pic>
              </a:graphicData>
            </a:graphic>
          </wp:inline>
        </w:drawing>
      </w:r>
    </w:p>
    <w:p w14:paraId="78B50B99">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65D792FD">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28" cstate="print"/>
                    <a:srcRect/>
                    <a:stretch>
                      <a:fillRect/>
                    </a:stretch>
                  </pic:blipFill>
                  <pic:spPr>
                    <a:xfrm>
                      <a:off x="0" y="0"/>
                      <a:ext cx="5760085" cy="2869565"/>
                    </a:xfrm>
                    <a:prstGeom prst="rect">
                      <a:avLst/>
                    </a:prstGeom>
                  </pic:spPr>
                </pic:pic>
              </a:graphicData>
            </a:graphic>
          </wp:inline>
        </w:drawing>
      </w:r>
    </w:p>
    <w:p w14:paraId="1AFC0652">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8F413B1">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9" cstate="print"/>
                    <a:srcRect/>
                    <a:stretch>
                      <a:fillRect/>
                    </a:stretch>
                  </pic:blipFill>
                  <pic:spPr>
                    <a:xfrm>
                      <a:off x="0" y="0"/>
                      <a:ext cx="5760085" cy="2853055"/>
                    </a:xfrm>
                    <a:prstGeom prst="rect">
                      <a:avLst/>
                    </a:prstGeom>
                  </pic:spPr>
                </pic:pic>
              </a:graphicData>
            </a:graphic>
          </wp:inline>
        </w:drawing>
      </w:r>
    </w:p>
    <w:p w14:paraId="78829901">
      <w:pPr>
        <w:numPr>
          <w:ilvl w:val="0"/>
          <w:numId w:val="11"/>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30"/>
                    <a:stretch>
                      <a:fillRect/>
                    </a:stretch>
                  </pic:blipFill>
                  <pic:spPr>
                    <a:xfrm>
                      <a:off x="0" y="0"/>
                      <a:ext cx="5758180" cy="3058795"/>
                    </a:xfrm>
                    <a:prstGeom prst="rect">
                      <a:avLst/>
                    </a:prstGeom>
                    <a:noFill/>
                    <a:ln>
                      <a:noFill/>
                    </a:ln>
                  </pic:spPr>
                </pic:pic>
              </a:graphicData>
            </a:graphic>
          </wp:inline>
        </w:drawing>
      </w:r>
    </w:p>
    <w:p w14:paraId="4D2995A7">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46434D58">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31" cstate="print"/>
                    <a:srcRect/>
                    <a:stretch>
                      <a:fillRect/>
                    </a:stretch>
                  </pic:blipFill>
                  <pic:spPr>
                    <a:xfrm>
                      <a:off x="0" y="0"/>
                      <a:ext cx="5760085" cy="2809875"/>
                    </a:xfrm>
                    <a:prstGeom prst="rect">
                      <a:avLst/>
                    </a:prstGeom>
                  </pic:spPr>
                </pic:pic>
              </a:graphicData>
            </a:graphic>
          </wp:inline>
        </w:drawing>
      </w:r>
    </w:p>
    <w:p w14:paraId="2D3C57F4">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5852B508">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1DF12816">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380A4F72">
      <w:pPr>
        <w:keepNext w:val="0"/>
        <w:keepLines w:val="0"/>
        <w:pageBreakBefore w:val="0"/>
        <w:widowControl w:val="0"/>
        <w:numPr>
          <w:ilvl w:val="0"/>
          <w:numId w:val="12"/>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 xml:space="preserve">直管单位非生产招标 / </w:t>
      </w:r>
      <w:r>
        <w:rPr>
          <w:rFonts w:hint="eastAsia" w:ascii="宋体" w:hAnsi="宋体" w:cs="宋体"/>
          <w:b/>
          <w:bCs/>
          <w:color w:val="000000"/>
          <w:sz w:val="24"/>
          <w:szCs w:val="28"/>
          <w:highlight w:val="yellow"/>
          <w:lang w:val="en-US" w:eastAsia="zh-CN"/>
        </w:rPr>
        <w:t>货物</w:t>
      </w:r>
      <w:r>
        <w:rPr>
          <w:rFonts w:hint="eastAsia" w:ascii="宋体" w:hAnsi="宋体" w:eastAsia="宋体" w:cs="宋体"/>
          <w:b/>
          <w:bCs/>
          <w:color w:val="000000"/>
          <w:sz w:val="24"/>
          <w:szCs w:val="28"/>
          <w:highlight w:val="yellow"/>
        </w:rPr>
        <w:t xml:space="preserve"> / </w:t>
      </w:r>
      <w:r>
        <w:rPr>
          <w:rFonts w:hint="eastAsia" w:ascii="宋体" w:hAnsi="宋体" w:cs="宋体"/>
          <w:b/>
          <w:bCs/>
          <w:color w:val="000000"/>
          <w:sz w:val="24"/>
          <w:szCs w:val="28"/>
          <w:highlight w:val="yellow"/>
          <w:lang w:val="en-US" w:eastAsia="zh-CN"/>
        </w:rPr>
        <w:t>环保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安全环保部</w:t>
      </w:r>
      <w:r>
        <w:rPr>
          <w:rFonts w:hint="eastAsia" w:ascii="宋体" w:hAnsi="宋体" w:eastAsia="宋体" w:cs="宋体"/>
          <w:b/>
          <w:bCs/>
          <w:color w:val="000000"/>
          <w:sz w:val="24"/>
          <w:szCs w:val="28"/>
          <w:highlight w:val="none"/>
        </w:rPr>
        <w:t>”。</w:t>
      </w:r>
    </w:p>
    <w:p w14:paraId="54AA7F8D">
      <w:pPr>
        <w:keepNext w:val="0"/>
        <w:keepLines w:val="0"/>
        <w:pageBreakBefore w:val="0"/>
        <w:widowControl w:val="0"/>
        <w:numPr>
          <w:ilvl w:val="0"/>
          <w:numId w:val="13"/>
        </w:numPr>
        <w:kinsoku/>
        <w:wordWrap/>
        <w:overflowPunct/>
        <w:topLinePunct w:val="0"/>
        <w:autoSpaceDE/>
        <w:autoSpaceDN/>
        <w:bidi w:val="0"/>
        <w:adjustRightInd w:val="0"/>
        <w:snapToGrid w:val="0"/>
        <w:spacing w:before="313" w:beforeLines="100" w:after="157" w:afterLines="50" w:line="440" w:lineRule="exact"/>
        <w:jc w:val="left"/>
        <w:textAlignment w:val="auto"/>
        <w:outlineLvl w:val="3"/>
        <w:rPr>
          <w:rFonts w:hint="default"/>
          <w:sz w:val="24"/>
          <w:szCs w:val="24"/>
          <w:lang w:val="en-US" w:eastAsia="zh-CN"/>
        </w:rPr>
      </w:pPr>
      <w:r>
        <w:rPr>
          <w:rFonts w:hint="eastAsia"/>
          <w:b/>
          <w:bCs/>
          <w:sz w:val="24"/>
          <w:szCs w:val="24"/>
          <w:lang w:val="en-US" w:eastAsia="zh-CN"/>
        </w:rPr>
        <w:t>维护近三年财务指标</w:t>
      </w:r>
    </w:p>
    <w:p w14:paraId="28723617">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331091EC">
      <w:pPr>
        <w:outlineLvl w:val="9"/>
        <w:rPr>
          <w:rFonts w:hint="default"/>
          <w:lang w:val="en-US" w:eastAsia="zh-CN"/>
        </w:rPr>
        <w:sectPr>
          <w:headerReference r:id="rId19" w:type="first"/>
          <w:footerReference r:id="rId21" w:type="first"/>
          <w:headerReference r:id="rId18" w:type="default"/>
          <w:footerReference r:id="rId20"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32"/>
                    <a:stretch>
                      <a:fillRect/>
                    </a:stretch>
                  </pic:blipFill>
                  <pic:spPr>
                    <a:xfrm>
                      <a:off x="0" y="0"/>
                      <a:ext cx="5486400" cy="2661285"/>
                    </a:xfrm>
                    <a:prstGeom prst="rect">
                      <a:avLst/>
                    </a:prstGeom>
                    <a:noFill/>
                    <a:ln>
                      <a:noFill/>
                    </a:ln>
                  </pic:spPr>
                </pic:pic>
              </a:graphicData>
            </a:graphic>
          </wp:inline>
        </w:drawing>
      </w:r>
    </w:p>
    <w:p w14:paraId="0322D9BC">
      <w:pPr>
        <w:pStyle w:val="234"/>
        <w:numPr>
          <w:ilvl w:val="0"/>
          <w:numId w:val="0"/>
        </w:numPr>
        <w:ind w:leftChars="0"/>
        <w:outlineLvl w:val="2"/>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7CFF49E0">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4"/>
          <w:rFonts w:hint="eastAsia" w:ascii="宋体" w:hAnsi="宋体" w:eastAsia="宋体" w:cs="宋体"/>
          <w:sz w:val="24"/>
          <w:szCs w:val="24"/>
        </w:rPr>
        <w:t>http</w:t>
      </w:r>
      <w:r>
        <w:rPr>
          <w:rStyle w:val="54"/>
          <w:rFonts w:hint="eastAsia" w:ascii="宋体" w:hAnsi="宋体" w:eastAsia="宋体" w:cs="宋体"/>
          <w:sz w:val="24"/>
          <w:szCs w:val="24"/>
          <w:lang w:val="en-US" w:eastAsia="zh-CN"/>
        </w:rPr>
        <w:t>s</w:t>
      </w:r>
      <w:r>
        <w:rPr>
          <w:rStyle w:val="54"/>
          <w:rFonts w:hint="eastAsia" w:ascii="宋体" w:hAnsi="宋体" w:eastAsia="宋体" w:cs="宋体"/>
          <w:sz w:val="24"/>
          <w:szCs w:val="24"/>
        </w:rPr>
        <w:t>://ecaitong.sinotruk.com:8012/</w:t>
      </w:r>
      <w:r>
        <w:rPr>
          <w:rStyle w:val="54"/>
          <w:rFonts w:hint="eastAsia" w:ascii="宋体" w:hAnsi="宋体" w:eastAsia="宋体" w:cs="宋体"/>
          <w:sz w:val="24"/>
          <w:szCs w:val="24"/>
        </w:rPr>
        <w:fldChar w:fldCharType="end"/>
      </w:r>
    </w:p>
    <w:p w14:paraId="3E0347FC">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67B3873D">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737B6F4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44E0B221">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33" cstate="print"/>
                    <a:srcRect/>
                    <a:stretch>
                      <a:fillRect/>
                    </a:stretch>
                  </pic:blipFill>
                  <pic:spPr>
                    <a:xfrm>
                      <a:off x="0" y="0"/>
                      <a:ext cx="5760085" cy="2269490"/>
                    </a:xfrm>
                    <a:prstGeom prst="rect">
                      <a:avLst/>
                    </a:prstGeom>
                  </pic:spPr>
                </pic:pic>
              </a:graphicData>
            </a:graphic>
          </wp:inline>
        </w:drawing>
      </w:r>
    </w:p>
    <w:p w14:paraId="111718E8">
      <w:pPr>
        <w:pStyle w:val="24"/>
      </w:pPr>
    </w:p>
    <w:p w14:paraId="4618762C">
      <w:pPr>
        <w:pStyle w:val="24"/>
      </w:pPr>
      <w:r>
        <w:rPr>
          <w:rFonts w:hint="eastAsia" w:cs="Times New Roman"/>
          <w:b/>
          <w:bCs/>
          <w:highlight w:val="none"/>
          <w:lang w:val="en-US" w:eastAsia="zh-CN"/>
        </w:rPr>
        <w:t>2、应标页面否为代理商请如实选择，若为代理商应标，请在应标后联系商务联系人</w:t>
      </w:r>
    </w:p>
    <w:p w14:paraId="6DCB54F0"/>
    <w:p w14:paraId="368555A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B9038AE">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F0ECDBE">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34" cstate="print"/>
                    <a:srcRect/>
                    <a:stretch>
                      <a:fillRect/>
                    </a:stretch>
                  </pic:blipFill>
                  <pic:spPr>
                    <a:xfrm>
                      <a:off x="0" y="0"/>
                      <a:ext cx="5760085" cy="2125345"/>
                    </a:xfrm>
                    <a:prstGeom prst="rect">
                      <a:avLst/>
                    </a:prstGeom>
                  </pic:spPr>
                </pic:pic>
              </a:graphicData>
            </a:graphic>
          </wp:inline>
        </w:drawing>
      </w:r>
    </w:p>
    <w:p w14:paraId="6ADC8CA2">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3CF38875">
      <w:pPr>
        <w:pStyle w:val="24"/>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079DE5EE">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35" cstate="print"/>
                    <a:srcRect/>
                    <a:stretch>
                      <a:fillRect/>
                    </a:stretch>
                  </pic:blipFill>
                  <pic:spPr>
                    <a:xfrm>
                      <a:off x="0" y="0"/>
                      <a:ext cx="5490210" cy="2668905"/>
                    </a:xfrm>
                    <a:prstGeom prst="rect">
                      <a:avLst/>
                    </a:prstGeom>
                  </pic:spPr>
                </pic:pic>
              </a:graphicData>
            </a:graphic>
          </wp:inline>
        </w:drawing>
      </w:r>
    </w:p>
    <w:p w14:paraId="75C3765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6E9F24CE">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295F44D3">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38A32741">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36" cstate="print"/>
                    <a:srcRect/>
                    <a:stretch>
                      <a:fillRect/>
                    </a:stretch>
                  </pic:blipFill>
                  <pic:spPr>
                    <a:xfrm>
                      <a:off x="0" y="0"/>
                      <a:ext cx="5490210" cy="1992629"/>
                    </a:xfrm>
                    <a:prstGeom prst="rect">
                      <a:avLst/>
                    </a:prstGeom>
                  </pic:spPr>
                </pic:pic>
              </a:graphicData>
            </a:graphic>
          </wp:inline>
        </w:drawing>
      </w:r>
    </w:p>
    <w:p w14:paraId="33CEA1E3">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058EF2B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42EBDBD6">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30C5C47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3E8F245C">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06D44D50">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7C0896C3">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37" cstate="print"/>
                    <a:srcRect/>
                    <a:stretch>
                      <a:fillRect/>
                    </a:stretch>
                  </pic:blipFill>
                  <pic:spPr>
                    <a:xfrm>
                      <a:off x="0" y="0"/>
                      <a:ext cx="5490210" cy="2544445"/>
                    </a:xfrm>
                    <a:prstGeom prst="rect">
                      <a:avLst/>
                    </a:prstGeom>
                  </pic:spPr>
                </pic:pic>
              </a:graphicData>
            </a:graphic>
          </wp:inline>
        </w:drawing>
      </w:r>
    </w:p>
    <w:p w14:paraId="6C69D558">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6104969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7B856D3C">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0EB71CEC">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38" cstate="print"/>
                    <a:srcRect/>
                    <a:stretch>
                      <a:fillRect/>
                    </a:stretch>
                  </pic:blipFill>
                  <pic:spPr>
                    <a:xfrm>
                      <a:off x="0" y="0"/>
                      <a:ext cx="5760085" cy="1956435"/>
                    </a:xfrm>
                    <a:prstGeom prst="rect">
                      <a:avLst/>
                    </a:prstGeom>
                  </pic:spPr>
                </pic:pic>
              </a:graphicData>
            </a:graphic>
          </wp:inline>
        </w:drawing>
      </w:r>
    </w:p>
    <w:p w14:paraId="563F9788">
      <w:pPr>
        <w:pStyle w:val="24"/>
        <w:rPr>
          <w:rFonts w:hAnsi="宋体" w:eastAsia="宋体" w:cs="Times New Roman"/>
          <w:b/>
          <w:color w:val="000000"/>
          <w:sz w:val="24"/>
          <w:szCs w:val="24"/>
        </w:rPr>
      </w:pPr>
    </w:p>
    <w:p w14:paraId="06DA7BAF">
      <w:pPr>
        <w:pStyle w:val="24"/>
        <w:rPr>
          <w:rFonts w:hAnsi="宋体" w:eastAsia="宋体" w:cs="Times New Roman"/>
          <w:b/>
          <w:color w:val="000000"/>
          <w:sz w:val="24"/>
          <w:szCs w:val="24"/>
        </w:rPr>
      </w:pPr>
    </w:p>
    <w:p w14:paraId="295FA103">
      <w:pPr>
        <w:rPr>
          <w:rFonts w:hint="default" w:ascii="宋体" w:hAnsi="宋体" w:eastAsia="宋体" w:cs="宋体"/>
          <w:sz w:val="24"/>
          <w:szCs w:val="24"/>
          <w:lang w:val="en-US"/>
        </w:rPr>
      </w:pPr>
    </w:p>
    <w:p w14:paraId="401946DE">
      <w:pPr>
        <w:pStyle w:val="223"/>
        <w:ind w:left="0" w:leftChars="0" w:right="960" w:firstLine="0" w:firstLineChars="0"/>
        <w:jc w:val="both"/>
        <w:rPr>
          <w:rFonts w:hint="eastAsia" w:asciiTheme="minorEastAsia" w:hAnsiTheme="minorEastAsia" w:eastAsiaTheme="minorEastAsia" w:cstheme="minorEastAsia"/>
        </w:rPr>
      </w:pPr>
    </w:p>
    <w:sectPr>
      <w:headerReference r:id="rId22" w:type="default"/>
      <w:footerReference r:id="rId23"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43DB7">
    <w:pPr>
      <w:pStyle w:val="3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A79D76">
                          <w:pPr>
                            <w:pStyle w:val="30"/>
                          </w:pPr>
                          <w:r>
                            <w:fldChar w:fldCharType="begin"/>
                          </w:r>
                          <w:r>
                            <w:instrText xml:space="preserve"> PAGE  \* MERGEFORMAT </w:instrText>
                          </w:r>
                          <w:r>
                            <w:fldChar w:fldCharType="separate"/>
                          </w:r>
                          <w:r>
                            <w:t>- 29 -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32A79D76">
                    <w:pPr>
                      <w:pStyle w:val="30"/>
                    </w:pPr>
                    <w:r>
                      <w:fldChar w:fldCharType="begin"/>
                    </w:r>
                    <w:r>
                      <w:instrText xml:space="preserve"> PAGE  \* MERGEFORMAT </w:instrText>
                    </w:r>
                    <w:r>
                      <w:fldChar w:fldCharType="separate"/>
                    </w:r>
                    <w:r>
                      <w:t>- 29 -</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EB129">
    <w:pPr>
      <w:pStyle w:val="30"/>
      <w:jc w:val="cente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6F7D86">
                          <w:pPr>
                            <w:pStyle w:val="30"/>
                          </w:pPr>
                          <w:r>
                            <w:fldChar w:fldCharType="begin"/>
                          </w:r>
                          <w:r>
                            <w:instrText xml:space="preserve"> PAGE  \* MERGEFORMAT </w:instrText>
                          </w:r>
                          <w:r>
                            <w:fldChar w:fldCharType="separate"/>
                          </w:r>
                          <w:r>
                            <w:t>109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9"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Ik7QtAgAAWAQAAA4AAABkcnMvZTJvRG9jLnhtbK1UzY7TMBC+I/EO&#10;lu80aRGrUj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OIk7QtAgAAWAQAAA4AAAAAAAAAAQAgAAAAHwEAAGRycy9lMm9Eb2MueG1sUEsFBgAAAAAG&#10;AAYAWQEAAL4FAAAAAA==&#10;">
              <v:fill on="f" focussize="0,0"/>
              <v:stroke on="f" weight="0.5pt"/>
              <v:imagedata o:title=""/>
              <o:lock v:ext="edit" aspectratio="f"/>
              <v:textbox inset="0mm,0mm,0mm,0mm" style="mso-fit-shape-to-text:t;">
                <w:txbxContent>
                  <w:p w14:paraId="3C6F7D86">
                    <w:pPr>
                      <w:pStyle w:val="30"/>
                    </w:pPr>
                    <w:r>
                      <w:fldChar w:fldCharType="begin"/>
                    </w:r>
                    <w:r>
                      <w:instrText xml:space="preserve"> PAGE  \* MERGEFORMAT </w:instrText>
                    </w:r>
                    <w:r>
                      <w:fldChar w:fldCharType="separate"/>
                    </w:r>
                    <w:r>
                      <w:t>109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3A9DA">
    <w:pPr>
      <w:spacing w:line="182" w:lineRule="auto"/>
      <w:ind w:left="6857"/>
      <w:rPr>
        <w:rFonts w:ascii="宋体" w:hAnsi="宋体" w:eastAsia="宋体" w:cs="宋体"/>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1320E">
                          <w:pPr>
                            <w:pStyle w:val="30"/>
                          </w:pPr>
                          <w:r>
                            <w:fldChar w:fldCharType="begin"/>
                          </w:r>
                          <w:r>
                            <w:instrText xml:space="preserve"> PAGE  \* MERGEFORMAT </w:instrText>
                          </w:r>
                          <w:r>
                            <w:fldChar w:fldCharType="separate"/>
                          </w:r>
                          <w:r>
                            <w:t>108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wJ8tctAgAAVwQAAA4AAAAAAAAAAQAgAAAAHwEAAGRycy9lMm9Eb2MueG1sUEsFBgAAAAAG&#10;AAYAWQEAAL4FAAAAAA==&#10;">
              <v:fill on="f" focussize="0,0"/>
              <v:stroke on="f" weight="0.5pt"/>
              <v:imagedata o:title=""/>
              <o:lock v:ext="edit" aspectratio="f"/>
              <v:textbox inset="0mm,0mm,0mm,0mm" style="mso-fit-shape-to-text:t;">
                <w:txbxContent>
                  <w:p w14:paraId="3A71320E">
                    <w:pPr>
                      <w:pStyle w:val="30"/>
                    </w:pPr>
                    <w:r>
                      <w:fldChar w:fldCharType="begin"/>
                    </w:r>
                    <w:r>
                      <w:instrText xml:space="preserve"> PAGE  \* MERGEFORMAT </w:instrText>
                    </w:r>
                    <w:r>
                      <w:fldChar w:fldCharType="separate"/>
                    </w:r>
                    <w:r>
                      <w:t>108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A5825">
    <w:pPr>
      <w:spacing w:line="179" w:lineRule="auto"/>
      <w:ind w:left="6868"/>
      <w:rPr>
        <w:rFonts w:ascii="宋体" w:hAnsi="宋体" w:eastAsia="宋体" w:cs="宋体"/>
        <w:sz w:val="17"/>
        <w:szCs w:val="17"/>
      </w:rPr>
    </w:pPr>
    <w:r>
      <w:rPr>
        <w:sz w:val="17"/>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16F8A0">
                          <w:pPr>
                            <w:pStyle w:val="30"/>
                          </w:pPr>
                          <w:r>
                            <w:fldChar w:fldCharType="begin"/>
                          </w:r>
                          <w:r>
                            <w:instrText xml:space="preserve"> PAGE  \* MERGEFORMAT </w:instrText>
                          </w:r>
                          <w:r>
                            <w:fldChar w:fldCharType="separate"/>
                          </w:r>
                          <w:r>
                            <w:t>110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15"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U8bYvAgAAWAQAAA4AAABkcnMvZTJvRG9jLnhtbK1US27bMBDdF+gd&#10;CO5ryS6SG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SVju0AAAAAUBAAAPAAAAAAAAAAEAIAAAACIAAABkcnMvZG93bnJldi54bWxQSwECFAAUAAAA&#10;CACHTuJA1dTxti8CAABYBAAADgAAAAAAAAABACAAAAAfAQAAZHJzL2Uyb0RvYy54bWxQSwUGAAAA&#10;AAYABgBZAQAAwAUAAAAA&#10;">
              <v:fill on="f" focussize="0,0"/>
              <v:stroke on="f" weight="0.5pt"/>
              <v:imagedata o:title=""/>
              <o:lock v:ext="edit" aspectratio="f"/>
              <v:textbox inset="0mm,0mm,0mm,0mm" style="mso-fit-shape-to-text:t;">
                <w:txbxContent>
                  <w:p w14:paraId="1E16F8A0">
                    <w:pPr>
                      <w:pStyle w:val="30"/>
                    </w:pPr>
                    <w:r>
                      <w:fldChar w:fldCharType="begin"/>
                    </w:r>
                    <w:r>
                      <w:instrText xml:space="preserve"> PAGE  \* MERGEFORMAT </w:instrText>
                    </w:r>
                    <w:r>
                      <w:fldChar w:fldCharType="separate"/>
                    </w:r>
                    <w:r>
                      <w:t>110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9F9F0">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14C5621">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014C5621">
                    <w:pPr>
                      <w:pStyle w:val="3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5CEE5">
    <w:pPr>
      <w:pStyle w:val="30"/>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1755FCD">
                          <w:pPr>
                            <w:pStyle w:val="30"/>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41755FCD">
                    <w:pPr>
                      <w:pStyle w:val="30"/>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0CA72">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03DBC7">
                          <w:pPr>
                            <w:pStyle w:val="30"/>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903DBC7">
                    <w:pPr>
                      <w:pStyle w:val="30"/>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8D877">
    <w:pPr>
      <w:pStyle w:val="3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B22E1D">
                          <w:pPr>
                            <w:pStyle w:val="30"/>
                          </w:pPr>
                          <w:r>
                            <w:fldChar w:fldCharType="begin"/>
                          </w:r>
                          <w:r>
                            <w:instrText xml:space="preserve"> PAGE  \* MERGEFORMAT </w:instrText>
                          </w:r>
                          <w:r>
                            <w:fldChar w:fldCharType="separate"/>
                          </w:r>
                          <w:r>
                            <w:t>- 17 -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2AB22E1D">
                    <w:pPr>
                      <w:pStyle w:val="30"/>
                    </w:pPr>
                    <w:r>
                      <w:fldChar w:fldCharType="begin"/>
                    </w:r>
                    <w:r>
                      <w:instrText xml:space="preserve"> PAGE  \* MERGEFORMAT </w:instrText>
                    </w:r>
                    <w:r>
                      <w:fldChar w:fldCharType="separate"/>
                    </w:r>
                    <w:r>
                      <w:t>- 17 -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66C0F">
    <w:pPr>
      <w:pStyle w:val="3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5105DF">
                          <w:pPr>
                            <w:pStyle w:val="30"/>
                          </w:pPr>
                          <w:r>
                            <w:fldChar w:fldCharType="begin"/>
                          </w:r>
                          <w:r>
                            <w:instrText xml:space="preserve"> PAGE  \* MERGEFORMAT </w:instrText>
                          </w:r>
                          <w:r>
                            <w:fldChar w:fldCharType="separate"/>
                          </w:r>
                          <w:r>
                            <w:t>94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bC+FRLgIAAFgEAAAOAAAAAAAAAAEAIAAAAB8BAABkcnMvZTJvRG9jLnhtbFBLBQYAAAAA&#10;BgAGAFkBAAC/BQAAAAA=&#10;">
              <v:fill on="f" focussize="0,0"/>
              <v:stroke on="f" weight="0.5pt"/>
              <v:imagedata o:title=""/>
              <o:lock v:ext="edit" aspectratio="f"/>
              <v:textbox inset="0mm,0mm,0mm,0mm" style="mso-fit-shape-to-text:t;">
                <w:txbxContent>
                  <w:p w14:paraId="395105DF">
                    <w:pPr>
                      <w:pStyle w:val="30"/>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A4694">
    <w:pPr>
      <w:pStyle w:val="3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B61270">
                          <w:pPr>
                            <w:pStyle w:val="30"/>
                          </w:pPr>
                          <w:r>
                            <w:fldChar w:fldCharType="begin"/>
                          </w:r>
                          <w:r>
                            <w:instrText xml:space="preserve"> PAGE  \* MERGEFORMAT </w:instrText>
                          </w:r>
                          <w:r>
                            <w:fldChar w:fldCharType="separate"/>
                          </w:r>
                          <w:r>
                            <w:t>91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0iCokuAgAAWA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tIgqJLgIAAFgEAAAOAAAAAAAAAAEAIAAAAB8BAABkcnMvZTJvRG9jLnhtbFBLBQYAAAAA&#10;BgAGAFkBAAC/BQAAAAA=&#10;">
              <v:fill on="f" focussize="0,0"/>
              <v:stroke on="f" weight="0.5pt"/>
              <v:imagedata o:title=""/>
              <o:lock v:ext="edit" aspectratio="f"/>
              <v:textbox inset="0mm,0mm,0mm,0mm" style="mso-fit-shape-to-text:t;">
                <w:txbxContent>
                  <w:p w14:paraId="50B61270">
                    <w:pPr>
                      <w:pStyle w:val="30"/>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74069">
    <w:pPr>
      <w:pStyle w:val="3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E76E15">
                          <w:pPr>
                            <w:pStyle w:val="30"/>
                          </w:pPr>
                          <w:r>
                            <w:fldChar w:fldCharType="begin"/>
                          </w:r>
                          <w:r>
                            <w:instrText xml:space="preserve"> PAGE  \* MERGEFORMAT </w:instrText>
                          </w:r>
                          <w:r>
                            <w:fldChar w:fldCharType="separate"/>
                          </w:r>
                          <w:r>
                            <w:t>96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TWguAgAAWA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0P01oLgIAAFgEAAAOAAAAAAAAAAEAIAAAAB8BAABkcnMvZTJvRG9jLnhtbFBLBQYAAAAA&#10;BgAGAFkBAAC/BQAAAAA=&#10;">
              <v:fill on="f" focussize="0,0"/>
              <v:stroke on="f" weight="0.5pt"/>
              <v:imagedata o:title=""/>
              <o:lock v:ext="edit" aspectratio="f"/>
              <v:textbox inset="0mm,0mm,0mm,0mm" style="mso-fit-shape-to-text:t;">
                <w:txbxContent>
                  <w:p w14:paraId="48E76E15">
                    <w:pPr>
                      <w:pStyle w:val="30"/>
                    </w:pPr>
                    <w:r>
                      <w:fldChar w:fldCharType="begin"/>
                    </w:r>
                    <w:r>
                      <w:instrText xml:space="preserve"> PAGE  \* MERGEFORMAT </w:instrText>
                    </w:r>
                    <w:r>
                      <w:fldChar w:fldCharType="separate"/>
                    </w:r>
                    <w:r>
                      <w:t>96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4EA00">
    <w:pPr>
      <w:pStyle w:val="30"/>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3B3A97">
                          <w:pPr>
                            <w:pStyle w:val="30"/>
                          </w:pPr>
                          <w:r>
                            <w:fldChar w:fldCharType="begin"/>
                          </w:r>
                          <w:r>
                            <w:instrText xml:space="preserve"> PAGE  \* MERGEFORMAT </w:instrText>
                          </w:r>
                          <w:r>
                            <w:fldChar w:fldCharType="separate"/>
                          </w:r>
                          <w:r>
                            <w:t>95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DxhuQtAgAAWAQAAA4AAAAAAAAAAQAgAAAAHwEAAGRycy9lMm9Eb2MueG1sUEsFBgAAAAAG&#10;AAYAWQEAAL4FAAAAAA==&#10;">
              <v:fill on="f" focussize="0,0"/>
              <v:stroke on="f" weight="0.5pt"/>
              <v:imagedata o:title=""/>
              <o:lock v:ext="edit" aspectratio="f"/>
              <v:textbox inset="0mm,0mm,0mm,0mm" style="mso-fit-shape-to-text:t;">
                <w:txbxContent>
                  <w:p w14:paraId="3C3B3A97">
                    <w:pPr>
                      <w:pStyle w:val="30"/>
                    </w:pPr>
                    <w:r>
                      <w:fldChar w:fldCharType="begin"/>
                    </w:r>
                    <w:r>
                      <w:instrText xml:space="preserve"> PAGE  \* MERGEFORMAT </w:instrText>
                    </w:r>
                    <w:r>
                      <w:fldChar w:fldCharType="separate"/>
                    </w:r>
                    <w:r>
                      <w:t>95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B23A1">
    <w:pPr>
      <w:pStyle w:val="3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411116">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1CvktAgAAWA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L1CvktAgAAWAQAAA4AAAAAAAAAAQAgAAAAHwEAAGRycy9lMm9Eb2MueG1sUEsFBgAAAAAG&#10;AAYAWQEAAL4FAAAAAA==&#10;">
              <v:fill on="f" focussize="0,0"/>
              <v:stroke on="f" weight="0.5pt"/>
              <v:imagedata o:title=""/>
              <o:lock v:ext="edit" aspectratio="f"/>
              <v:textbox inset="0mm,0mm,0mm,0mm" style="mso-fit-shape-to-text:t;">
                <w:txbxContent>
                  <w:p w14:paraId="1E411116">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16708">
    <w:pPr>
      <w:pStyle w:val="30"/>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AEE68A">
                          <w:pPr>
                            <w:pStyle w:val="30"/>
                          </w:pPr>
                          <w:r>
                            <w:fldChar w:fldCharType="begin"/>
                          </w:r>
                          <w:r>
                            <w:instrText xml:space="preserve"> PAGE  \* MERGEFORMAT </w:instrText>
                          </w:r>
                          <w:r>
                            <w:fldChar w:fldCharType="separate"/>
                          </w:r>
                          <w:r>
                            <w:t>97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sZAgtAgAAWA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VsZAgtAgAAWAQAAA4AAAAAAAAAAQAgAAAAHwEAAGRycy9lMm9Eb2MueG1sUEsFBgAAAAAG&#10;AAYAWQEAAL4FAAAAAA==&#10;">
              <v:fill on="f" focussize="0,0"/>
              <v:stroke on="f" weight="0.5pt"/>
              <v:imagedata o:title=""/>
              <o:lock v:ext="edit" aspectratio="f"/>
              <v:textbox inset="0mm,0mm,0mm,0mm" style="mso-fit-shape-to-text:t;">
                <w:txbxContent>
                  <w:p w14:paraId="2CAEE68A">
                    <w:pPr>
                      <w:pStyle w:val="30"/>
                    </w:pPr>
                    <w:r>
                      <w:fldChar w:fldCharType="begin"/>
                    </w:r>
                    <w:r>
                      <w:instrText xml:space="preserve"> PAGE  \* MERGEFORMAT </w:instrText>
                    </w:r>
                    <w:r>
                      <w:fldChar w:fldCharType="separate"/>
                    </w:r>
                    <w:r>
                      <w:t>97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E7B72">
    <w:pPr>
      <w:pStyle w:val="30"/>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2EB637">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08"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mSxAItAgAAWA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mSxAItAgAAWAQAAA4AAAAAAAAAAQAgAAAAHwEAAGRycy9lMm9Eb2MueG1sUEsFBgAAAAAG&#10;AAYAWQEAAL4FAAAAAA==&#10;">
              <v:fill on="f" focussize="0,0"/>
              <v:stroke on="f" weight="0.5pt"/>
              <v:imagedata o:title=""/>
              <o:lock v:ext="edit" aspectratio="f"/>
              <v:textbox inset="0mm,0mm,0mm,0mm" style="mso-fit-shape-to-text:t;">
                <w:txbxContent>
                  <w:p w14:paraId="0B2EB637">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F317F">
    <w:pPr>
      <w:pStyle w:val="3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5522F">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BDFEA">
    <w:pPr>
      <w:pStyle w:val="3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261D0">
    <w:pPr>
      <w:pStyle w:val="31"/>
    </w:pPr>
  </w:p>
  <w:p w14:paraId="2CADA257">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A1188">
    <w:pPr>
      <w:pStyle w:val="3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9EF95">
    <w:pPr>
      <w:pStyle w:val="31"/>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B3AF5"/>
    <w:multiLevelType w:val="singleLevel"/>
    <w:tmpl w:val="891B3AF5"/>
    <w:lvl w:ilvl="0" w:tentative="0">
      <w:start w:val="1"/>
      <w:numFmt w:val="decimal"/>
      <w:lvlText w:val="%1."/>
      <w:lvlJc w:val="left"/>
      <w:pPr>
        <w:tabs>
          <w:tab w:val="left" w:pos="312"/>
        </w:tabs>
      </w:pPr>
    </w:lvl>
  </w:abstractNum>
  <w:abstractNum w:abstractNumId="1">
    <w:nsid w:val="D569400B"/>
    <w:multiLevelType w:val="singleLevel"/>
    <w:tmpl w:val="D569400B"/>
    <w:lvl w:ilvl="0" w:tentative="0">
      <w:start w:val="1"/>
      <w:numFmt w:val="decimal"/>
      <w:suff w:val="nothing"/>
      <w:lvlText w:val="%1．"/>
      <w:lvlJc w:val="left"/>
      <w:pPr>
        <w:ind w:left="0" w:firstLine="400"/>
      </w:pPr>
      <w:rPr>
        <w:rFonts w:hint="default"/>
      </w:rPr>
    </w:lvl>
  </w:abstractNum>
  <w:abstractNum w:abstractNumId="2">
    <w:nsid w:val="F54BF83F"/>
    <w:multiLevelType w:val="singleLevel"/>
    <w:tmpl w:val="F54BF83F"/>
    <w:lvl w:ilvl="0" w:tentative="0">
      <w:start w:val="1"/>
      <w:numFmt w:val="decimal"/>
      <w:suff w:val="space"/>
      <w:lvlText w:val="%1."/>
      <w:lvlJc w:val="left"/>
      <w:pPr>
        <w:ind w:left="0" w:firstLine="0"/>
      </w:pPr>
    </w:lvl>
  </w:abstractNum>
  <w:abstractNum w:abstractNumId="3">
    <w:nsid w:val="00000003"/>
    <w:multiLevelType w:val="singleLevel"/>
    <w:tmpl w:val="00000003"/>
    <w:lvl w:ilvl="0" w:tentative="0">
      <w:start w:val="5"/>
      <w:numFmt w:val="decimal"/>
      <w:lvlText w:val="%1."/>
      <w:lvlJc w:val="left"/>
      <w:pPr>
        <w:tabs>
          <w:tab w:val="left" w:pos="312"/>
        </w:tabs>
      </w:pPr>
    </w:lvl>
  </w:abstractNum>
  <w:abstractNum w:abstractNumId="4">
    <w:nsid w:val="046931FF"/>
    <w:multiLevelType w:val="singleLevel"/>
    <w:tmpl w:val="046931FF"/>
    <w:lvl w:ilvl="0" w:tentative="0">
      <w:start w:val="1"/>
      <w:numFmt w:val="chineseCounting"/>
      <w:suff w:val="nothing"/>
      <w:lvlText w:val="%1、"/>
      <w:lvlJc w:val="left"/>
      <w:pPr>
        <w:ind w:left="0" w:firstLine="420"/>
      </w:pPr>
      <w:rPr>
        <w:rFonts w:hint="eastAsia" w:ascii="宋体" w:hAnsi="宋体" w:eastAsia="宋体" w:cs="宋体"/>
      </w:rPr>
    </w:lvl>
  </w:abstractNum>
  <w:abstractNum w:abstractNumId="5">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6">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AF0723E"/>
    <w:multiLevelType w:val="singleLevel"/>
    <w:tmpl w:val="4AF0723E"/>
    <w:lvl w:ilvl="0" w:tentative="0">
      <w:start w:val="2"/>
      <w:numFmt w:val="chineseCounting"/>
      <w:suff w:val="nothing"/>
      <w:lvlText w:val="%1、"/>
      <w:lvlJc w:val="left"/>
      <w:rPr>
        <w:rFonts w:hint="eastAsia"/>
      </w:rPr>
    </w:lvl>
  </w:abstractNum>
  <w:abstractNum w:abstractNumId="9">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0">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1">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9"/>
  </w:num>
  <w:num w:numId="2">
    <w:abstractNumId w:val="5"/>
  </w:num>
  <w:num w:numId="3">
    <w:abstractNumId w:val="10"/>
  </w:num>
  <w:num w:numId="4">
    <w:abstractNumId w:val="1"/>
  </w:num>
  <w:num w:numId="5">
    <w:abstractNumId w:val="12"/>
  </w:num>
  <w:num w:numId="6">
    <w:abstractNumId w:val="7"/>
  </w:num>
  <w:num w:numId="7">
    <w:abstractNumId w:val="6"/>
  </w:num>
  <w:num w:numId="8">
    <w:abstractNumId w:val="11"/>
  </w:num>
  <w:num w:numId="9">
    <w:abstractNumId w:val="4"/>
  </w:num>
  <w:num w:numId="10">
    <w:abstractNumId w:val="0"/>
  </w:num>
  <w:num w:numId="11">
    <w:abstractNumId w:val="3"/>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140"/>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713"/>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5BC2"/>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4DA7"/>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1D2DDF"/>
    <w:rsid w:val="011F66A5"/>
    <w:rsid w:val="014A4B87"/>
    <w:rsid w:val="018908E9"/>
    <w:rsid w:val="01F31E8D"/>
    <w:rsid w:val="01F52FF1"/>
    <w:rsid w:val="02327B72"/>
    <w:rsid w:val="023A582E"/>
    <w:rsid w:val="024904AF"/>
    <w:rsid w:val="0271589A"/>
    <w:rsid w:val="02A824AD"/>
    <w:rsid w:val="02E5725D"/>
    <w:rsid w:val="02E74D14"/>
    <w:rsid w:val="02FC5AB3"/>
    <w:rsid w:val="031C2AD4"/>
    <w:rsid w:val="035E6B0B"/>
    <w:rsid w:val="03830824"/>
    <w:rsid w:val="03A838DA"/>
    <w:rsid w:val="03CD1C55"/>
    <w:rsid w:val="03E545BA"/>
    <w:rsid w:val="03E809AC"/>
    <w:rsid w:val="03F51722"/>
    <w:rsid w:val="03FF5B70"/>
    <w:rsid w:val="04B15209"/>
    <w:rsid w:val="04D70225"/>
    <w:rsid w:val="05160EF2"/>
    <w:rsid w:val="056341F0"/>
    <w:rsid w:val="05BF5D55"/>
    <w:rsid w:val="06314A49"/>
    <w:rsid w:val="069F56C3"/>
    <w:rsid w:val="07086751"/>
    <w:rsid w:val="071A6028"/>
    <w:rsid w:val="07C80C2E"/>
    <w:rsid w:val="07CC279A"/>
    <w:rsid w:val="07FD308B"/>
    <w:rsid w:val="085E6E00"/>
    <w:rsid w:val="08B0209B"/>
    <w:rsid w:val="08DD4532"/>
    <w:rsid w:val="08EB30F3"/>
    <w:rsid w:val="095B5927"/>
    <w:rsid w:val="09DE4A06"/>
    <w:rsid w:val="09E069A9"/>
    <w:rsid w:val="0A25653D"/>
    <w:rsid w:val="0A32554B"/>
    <w:rsid w:val="0A5371A2"/>
    <w:rsid w:val="0AD876A7"/>
    <w:rsid w:val="0B2956C1"/>
    <w:rsid w:val="0B942573"/>
    <w:rsid w:val="0BEB0202"/>
    <w:rsid w:val="0C22513B"/>
    <w:rsid w:val="0D326CC2"/>
    <w:rsid w:val="0D4A5F0F"/>
    <w:rsid w:val="0D7E7E1B"/>
    <w:rsid w:val="0DE819AF"/>
    <w:rsid w:val="0E3B77DA"/>
    <w:rsid w:val="0E3D2FAD"/>
    <w:rsid w:val="0E593066"/>
    <w:rsid w:val="0EA03360"/>
    <w:rsid w:val="0EB356ED"/>
    <w:rsid w:val="0F4C6309"/>
    <w:rsid w:val="0F5B6CC7"/>
    <w:rsid w:val="0FFE195E"/>
    <w:rsid w:val="100F0567"/>
    <w:rsid w:val="10401F77"/>
    <w:rsid w:val="106F63B8"/>
    <w:rsid w:val="11E9219A"/>
    <w:rsid w:val="1273066F"/>
    <w:rsid w:val="12B75DF4"/>
    <w:rsid w:val="131274CC"/>
    <w:rsid w:val="133902FD"/>
    <w:rsid w:val="1378147A"/>
    <w:rsid w:val="13901C58"/>
    <w:rsid w:val="13C72FDF"/>
    <w:rsid w:val="13DE1156"/>
    <w:rsid w:val="145D29CB"/>
    <w:rsid w:val="14CD18FF"/>
    <w:rsid w:val="14CD4184"/>
    <w:rsid w:val="15916DD0"/>
    <w:rsid w:val="166D2940"/>
    <w:rsid w:val="16D01B7A"/>
    <w:rsid w:val="16D06A14"/>
    <w:rsid w:val="17051824"/>
    <w:rsid w:val="178D7937"/>
    <w:rsid w:val="17C674E1"/>
    <w:rsid w:val="17EE1155"/>
    <w:rsid w:val="1868332D"/>
    <w:rsid w:val="188E3A9B"/>
    <w:rsid w:val="18A05A26"/>
    <w:rsid w:val="18B03DEB"/>
    <w:rsid w:val="18BC5F12"/>
    <w:rsid w:val="19355040"/>
    <w:rsid w:val="19EE1986"/>
    <w:rsid w:val="1AAD5622"/>
    <w:rsid w:val="1C766D20"/>
    <w:rsid w:val="1D0A3B6C"/>
    <w:rsid w:val="1D4209B0"/>
    <w:rsid w:val="1D623C5F"/>
    <w:rsid w:val="1DA82577"/>
    <w:rsid w:val="1DAA14A8"/>
    <w:rsid w:val="1DD15E62"/>
    <w:rsid w:val="1DF92B87"/>
    <w:rsid w:val="1E0A5830"/>
    <w:rsid w:val="1E1170AC"/>
    <w:rsid w:val="1EAB4975"/>
    <w:rsid w:val="1F0028D1"/>
    <w:rsid w:val="1F4629DA"/>
    <w:rsid w:val="1FA53BA4"/>
    <w:rsid w:val="1FB6553C"/>
    <w:rsid w:val="20B31CE5"/>
    <w:rsid w:val="21453C2A"/>
    <w:rsid w:val="216677C8"/>
    <w:rsid w:val="21AD42F3"/>
    <w:rsid w:val="21B30868"/>
    <w:rsid w:val="21F46B18"/>
    <w:rsid w:val="221A6A80"/>
    <w:rsid w:val="22563A79"/>
    <w:rsid w:val="2273785F"/>
    <w:rsid w:val="229144E0"/>
    <w:rsid w:val="22A44CDF"/>
    <w:rsid w:val="235B4EA4"/>
    <w:rsid w:val="23C056A6"/>
    <w:rsid w:val="24000969"/>
    <w:rsid w:val="241A1D4D"/>
    <w:rsid w:val="24445427"/>
    <w:rsid w:val="253450B5"/>
    <w:rsid w:val="25F969F8"/>
    <w:rsid w:val="26132BD3"/>
    <w:rsid w:val="26387ECB"/>
    <w:rsid w:val="265C6F87"/>
    <w:rsid w:val="26E31456"/>
    <w:rsid w:val="26E47A81"/>
    <w:rsid w:val="27675EA2"/>
    <w:rsid w:val="28163595"/>
    <w:rsid w:val="28341F69"/>
    <w:rsid w:val="288E6D8C"/>
    <w:rsid w:val="28DF17A9"/>
    <w:rsid w:val="29954E1E"/>
    <w:rsid w:val="299568CD"/>
    <w:rsid w:val="29C0782D"/>
    <w:rsid w:val="29C67D13"/>
    <w:rsid w:val="29C928E7"/>
    <w:rsid w:val="2A794B1C"/>
    <w:rsid w:val="2A7C02EC"/>
    <w:rsid w:val="2A8F7CD5"/>
    <w:rsid w:val="2AA35E8D"/>
    <w:rsid w:val="2ABC137C"/>
    <w:rsid w:val="2B265DEC"/>
    <w:rsid w:val="2B3F4DD2"/>
    <w:rsid w:val="2B477C1E"/>
    <w:rsid w:val="2B533A68"/>
    <w:rsid w:val="2B9654FA"/>
    <w:rsid w:val="2B9B4A36"/>
    <w:rsid w:val="2C096479"/>
    <w:rsid w:val="2C0B1233"/>
    <w:rsid w:val="2CE31B12"/>
    <w:rsid w:val="2CFE49D8"/>
    <w:rsid w:val="2D557F22"/>
    <w:rsid w:val="2D8F6E8D"/>
    <w:rsid w:val="2D940EA8"/>
    <w:rsid w:val="2DB54478"/>
    <w:rsid w:val="2DC42CE9"/>
    <w:rsid w:val="2E1F32AF"/>
    <w:rsid w:val="2E575575"/>
    <w:rsid w:val="2E7345D1"/>
    <w:rsid w:val="2E9F3EB4"/>
    <w:rsid w:val="2EAD4823"/>
    <w:rsid w:val="2EB57AA3"/>
    <w:rsid w:val="2EFB53FB"/>
    <w:rsid w:val="2FC7504A"/>
    <w:rsid w:val="2FF6631E"/>
    <w:rsid w:val="304E7F5C"/>
    <w:rsid w:val="304F36B8"/>
    <w:rsid w:val="307F5D4C"/>
    <w:rsid w:val="30E94E0D"/>
    <w:rsid w:val="323B0659"/>
    <w:rsid w:val="332B21BB"/>
    <w:rsid w:val="333472C1"/>
    <w:rsid w:val="334F654D"/>
    <w:rsid w:val="336433AA"/>
    <w:rsid w:val="33AC46D0"/>
    <w:rsid w:val="33E93B9F"/>
    <w:rsid w:val="342A06C4"/>
    <w:rsid w:val="345C0152"/>
    <w:rsid w:val="34A0626C"/>
    <w:rsid w:val="34BF39F8"/>
    <w:rsid w:val="34DA55D7"/>
    <w:rsid w:val="353F5A8C"/>
    <w:rsid w:val="35544517"/>
    <w:rsid w:val="355E2D23"/>
    <w:rsid w:val="357240D1"/>
    <w:rsid w:val="35A973C7"/>
    <w:rsid w:val="363B0967"/>
    <w:rsid w:val="364753E2"/>
    <w:rsid w:val="36C233A8"/>
    <w:rsid w:val="36DE1355"/>
    <w:rsid w:val="36E22E88"/>
    <w:rsid w:val="379245B6"/>
    <w:rsid w:val="3862196A"/>
    <w:rsid w:val="38767A34"/>
    <w:rsid w:val="388A78E0"/>
    <w:rsid w:val="393D26BB"/>
    <w:rsid w:val="394B0E54"/>
    <w:rsid w:val="3A46605E"/>
    <w:rsid w:val="3A5B7C10"/>
    <w:rsid w:val="3A8B1791"/>
    <w:rsid w:val="3AC54CA3"/>
    <w:rsid w:val="3B1F2605"/>
    <w:rsid w:val="3B9B345E"/>
    <w:rsid w:val="3BAA2C3A"/>
    <w:rsid w:val="3BBF16F2"/>
    <w:rsid w:val="3BC3079B"/>
    <w:rsid w:val="3C531424"/>
    <w:rsid w:val="3C907713"/>
    <w:rsid w:val="3C9963E7"/>
    <w:rsid w:val="3CFC7112"/>
    <w:rsid w:val="3D023F8C"/>
    <w:rsid w:val="3D251A29"/>
    <w:rsid w:val="3D585853"/>
    <w:rsid w:val="3D5B568B"/>
    <w:rsid w:val="3D6307DC"/>
    <w:rsid w:val="3D64796E"/>
    <w:rsid w:val="3D654681"/>
    <w:rsid w:val="3D7B5AED"/>
    <w:rsid w:val="3D9C2881"/>
    <w:rsid w:val="3E384DE6"/>
    <w:rsid w:val="3E3C5D6A"/>
    <w:rsid w:val="3E516500"/>
    <w:rsid w:val="3E5D1AD7"/>
    <w:rsid w:val="3E602DD4"/>
    <w:rsid w:val="3EF074BC"/>
    <w:rsid w:val="3F4A7C0C"/>
    <w:rsid w:val="3F801B0E"/>
    <w:rsid w:val="3FC9475C"/>
    <w:rsid w:val="404639EB"/>
    <w:rsid w:val="4073010F"/>
    <w:rsid w:val="413C1020"/>
    <w:rsid w:val="413E755D"/>
    <w:rsid w:val="4151111D"/>
    <w:rsid w:val="41754274"/>
    <w:rsid w:val="41911452"/>
    <w:rsid w:val="41A55A6F"/>
    <w:rsid w:val="42417305"/>
    <w:rsid w:val="42834EA3"/>
    <w:rsid w:val="429D2840"/>
    <w:rsid w:val="42EC3C65"/>
    <w:rsid w:val="436A373C"/>
    <w:rsid w:val="43B20D83"/>
    <w:rsid w:val="44577E59"/>
    <w:rsid w:val="447D214A"/>
    <w:rsid w:val="44AC2F4B"/>
    <w:rsid w:val="450914F5"/>
    <w:rsid w:val="45BB265C"/>
    <w:rsid w:val="45C97353"/>
    <w:rsid w:val="46026DAB"/>
    <w:rsid w:val="46342CDD"/>
    <w:rsid w:val="46EE20F4"/>
    <w:rsid w:val="470E02B0"/>
    <w:rsid w:val="4750714C"/>
    <w:rsid w:val="477A06A5"/>
    <w:rsid w:val="47A143A2"/>
    <w:rsid w:val="47D66741"/>
    <w:rsid w:val="48684C75"/>
    <w:rsid w:val="48A82A9E"/>
    <w:rsid w:val="48EE2DDA"/>
    <w:rsid w:val="498C63C6"/>
    <w:rsid w:val="49A04C0B"/>
    <w:rsid w:val="49DF11B1"/>
    <w:rsid w:val="4A082E0A"/>
    <w:rsid w:val="4A7909BF"/>
    <w:rsid w:val="4AC268B8"/>
    <w:rsid w:val="4C800A2A"/>
    <w:rsid w:val="4CB46925"/>
    <w:rsid w:val="4CC51E60"/>
    <w:rsid w:val="4CD949FD"/>
    <w:rsid w:val="4CDD5E7C"/>
    <w:rsid w:val="4CEB17C2"/>
    <w:rsid w:val="4D0D7727"/>
    <w:rsid w:val="4DF37080"/>
    <w:rsid w:val="4E7C16C5"/>
    <w:rsid w:val="4ECF3EEA"/>
    <w:rsid w:val="4F3114A9"/>
    <w:rsid w:val="4F4A4FC8"/>
    <w:rsid w:val="4FAC7D88"/>
    <w:rsid w:val="508341B3"/>
    <w:rsid w:val="50B0116F"/>
    <w:rsid w:val="50D63321"/>
    <w:rsid w:val="50FF2CD3"/>
    <w:rsid w:val="51654692"/>
    <w:rsid w:val="517D376B"/>
    <w:rsid w:val="51864D34"/>
    <w:rsid w:val="51944027"/>
    <w:rsid w:val="51CE0489"/>
    <w:rsid w:val="51E56C3E"/>
    <w:rsid w:val="52173BDE"/>
    <w:rsid w:val="5252155F"/>
    <w:rsid w:val="525C3F11"/>
    <w:rsid w:val="526731C3"/>
    <w:rsid w:val="52AB7D96"/>
    <w:rsid w:val="52C31D1E"/>
    <w:rsid w:val="52DD4E28"/>
    <w:rsid w:val="5317767D"/>
    <w:rsid w:val="539F1369"/>
    <w:rsid w:val="53BE28FB"/>
    <w:rsid w:val="53E84895"/>
    <w:rsid w:val="53EF1D03"/>
    <w:rsid w:val="542839C5"/>
    <w:rsid w:val="548B076F"/>
    <w:rsid w:val="54D7260C"/>
    <w:rsid w:val="55176E8F"/>
    <w:rsid w:val="55294C21"/>
    <w:rsid w:val="553328EB"/>
    <w:rsid w:val="55B17EA6"/>
    <w:rsid w:val="55F81978"/>
    <w:rsid w:val="567E0278"/>
    <w:rsid w:val="56821842"/>
    <w:rsid w:val="56860EB4"/>
    <w:rsid w:val="57E02431"/>
    <w:rsid w:val="58055C15"/>
    <w:rsid w:val="58300E4A"/>
    <w:rsid w:val="58AE4B70"/>
    <w:rsid w:val="594B3987"/>
    <w:rsid w:val="59606A98"/>
    <w:rsid w:val="596942D5"/>
    <w:rsid w:val="596E4686"/>
    <w:rsid w:val="59936BCE"/>
    <w:rsid w:val="5A070D39"/>
    <w:rsid w:val="5A4A3D27"/>
    <w:rsid w:val="5A842C2A"/>
    <w:rsid w:val="5ABA09C3"/>
    <w:rsid w:val="5B7C6506"/>
    <w:rsid w:val="5B7E0A9C"/>
    <w:rsid w:val="5B965367"/>
    <w:rsid w:val="5BAF4E87"/>
    <w:rsid w:val="5BE403FB"/>
    <w:rsid w:val="5BEA5669"/>
    <w:rsid w:val="5BED59B0"/>
    <w:rsid w:val="5CAE3D76"/>
    <w:rsid w:val="5D3513BC"/>
    <w:rsid w:val="5D720862"/>
    <w:rsid w:val="5E021BE6"/>
    <w:rsid w:val="5E2C0A11"/>
    <w:rsid w:val="5ECB440E"/>
    <w:rsid w:val="5F377063"/>
    <w:rsid w:val="5F863EBA"/>
    <w:rsid w:val="5F892770"/>
    <w:rsid w:val="5FF411EE"/>
    <w:rsid w:val="5FFD6F2A"/>
    <w:rsid w:val="602C50F1"/>
    <w:rsid w:val="604069F6"/>
    <w:rsid w:val="60433103"/>
    <w:rsid w:val="609805E0"/>
    <w:rsid w:val="60E96BD3"/>
    <w:rsid w:val="60ED4071"/>
    <w:rsid w:val="6126799A"/>
    <w:rsid w:val="61A2422F"/>
    <w:rsid w:val="61A37EC2"/>
    <w:rsid w:val="62B40BF7"/>
    <w:rsid w:val="62D90A3C"/>
    <w:rsid w:val="62E50A5D"/>
    <w:rsid w:val="62E85715"/>
    <w:rsid w:val="62EE51EA"/>
    <w:rsid w:val="631F6D97"/>
    <w:rsid w:val="633A3E82"/>
    <w:rsid w:val="63763019"/>
    <w:rsid w:val="638C5AAE"/>
    <w:rsid w:val="63AB062A"/>
    <w:rsid w:val="643D185D"/>
    <w:rsid w:val="64593990"/>
    <w:rsid w:val="652C12F7"/>
    <w:rsid w:val="657824B9"/>
    <w:rsid w:val="65D07481"/>
    <w:rsid w:val="65E3187B"/>
    <w:rsid w:val="660F30F2"/>
    <w:rsid w:val="668A1C23"/>
    <w:rsid w:val="66C479BC"/>
    <w:rsid w:val="673E6667"/>
    <w:rsid w:val="673F2C72"/>
    <w:rsid w:val="67D9097F"/>
    <w:rsid w:val="682D3710"/>
    <w:rsid w:val="684F0CF6"/>
    <w:rsid w:val="688D47A2"/>
    <w:rsid w:val="68C06BDA"/>
    <w:rsid w:val="68CF364A"/>
    <w:rsid w:val="68E02B24"/>
    <w:rsid w:val="6914700F"/>
    <w:rsid w:val="694432E9"/>
    <w:rsid w:val="69727678"/>
    <w:rsid w:val="69F8009E"/>
    <w:rsid w:val="6A657521"/>
    <w:rsid w:val="6A96228E"/>
    <w:rsid w:val="6AB76068"/>
    <w:rsid w:val="6AC768E1"/>
    <w:rsid w:val="6AE508C6"/>
    <w:rsid w:val="6B0B19AE"/>
    <w:rsid w:val="6B230670"/>
    <w:rsid w:val="6B2A69A8"/>
    <w:rsid w:val="6BE57F3D"/>
    <w:rsid w:val="6C36144B"/>
    <w:rsid w:val="6C9132F0"/>
    <w:rsid w:val="6CA600C4"/>
    <w:rsid w:val="6CD52833"/>
    <w:rsid w:val="6CFB66E4"/>
    <w:rsid w:val="6D061850"/>
    <w:rsid w:val="6D316042"/>
    <w:rsid w:val="6D364707"/>
    <w:rsid w:val="6D3978A6"/>
    <w:rsid w:val="6D4F0C03"/>
    <w:rsid w:val="6D5B701C"/>
    <w:rsid w:val="6D5E04BB"/>
    <w:rsid w:val="6E423C99"/>
    <w:rsid w:val="6EBC053F"/>
    <w:rsid w:val="6EE25A7B"/>
    <w:rsid w:val="6F241722"/>
    <w:rsid w:val="6F6B4E78"/>
    <w:rsid w:val="6F9C2B6B"/>
    <w:rsid w:val="700F2852"/>
    <w:rsid w:val="701B08E6"/>
    <w:rsid w:val="703B6F80"/>
    <w:rsid w:val="70912956"/>
    <w:rsid w:val="709A6050"/>
    <w:rsid w:val="70AF378A"/>
    <w:rsid w:val="70CB0589"/>
    <w:rsid w:val="70D016D0"/>
    <w:rsid w:val="711656AE"/>
    <w:rsid w:val="712123FD"/>
    <w:rsid w:val="71387212"/>
    <w:rsid w:val="71467BE4"/>
    <w:rsid w:val="71724535"/>
    <w:rsid w:val="71865B23"/>
    <w:rsid w:val="71E323B9"/>
    <w:rsid w:val="72276117"/>
    <w:rsid w:val="72385286"/>
    <w:rsid w:val="726A16B0"/>
    <w:rsid w:val="729E0315"/>
    <w:rsid w:val="734D2DC8"/>
    <w:rsid w:val="73681FCB"/>
    <w:rsid w:val="736A2597"/>
    <w:rsid w:val="73E6120B"/>
    <w:rsid w:val="744022AC"/>
    <w:rsid w:val="745464E2"/>
    <w:rsid w:val="74995770"/>
    <w:rsid w:val="74D379E1"/>
    <w:rsid w:val="74D472B5"/>
    <w:rsid w:val="75CD3E17"/>
    <w:rsid w:val="76B455F0"/>
    <w:rsid w:val="76C375E1"/>
    <w:rsid w:val="76C9322B"/>
    <w:rsid w:val="775B15E5"/>
    <w:rsid w:val="776808B4"/>
    <w:rsid w:val="7771624F"/>
    <w:rsid w:val="77966E5F"/>
    <w:rsid w:val="77A77297"/>
    <w:rsid w:val="77BF424C"/>
    <w:rsid w:val="78101D81"/>
    <w:rsid w:val="78153E6C"/>
    <w:rsid w:val="78A9607B"/>
    <w:rsid w:val="78C113F3"/>
    <w:rsid w:val="78FD797A"/>
    <w:rsid w:val="790C526F"/>
    <w:rsid w:val="799526EC"/>
    <w:rsid w:val="79BA317E"/>
    <w:rsid w:val="79EF5DA3"/>
    <w:rsid w:val="7A053867"/>
    <w:rsid w:val="7A2B0A45"/>
    <w:rsid w:val="7A344A7E"/>
    <w:rsid w:val="7A8F4EBB"/>
    <w:rsid w:val="7AB143A1"/>
    <w:rsid w:val="7B61392C"/>
    <w:rsid w:val="7B7D68D6"/>
    <w:rsid w:val="7B802C44"/>
    <w:rsid w:val="7BCE20F4"/>
    <w:rsid w:val="7BFC15CB"/>
    <w:rsid w:val="7C436C51"/>
    <w:rsid w:val="7CA7552A"/>
    <w:rsid w:val="7CFC35DA"/>
    <w:rsid w:val="7D035D55"/>
    <w:rsid w:val="7D580FFF"/>
    <w:rsid w:val="7D851DEF"/>
    <w:rsid w:val="7DD75952"/>
    <w:rsid w:val="7E221D3B"/>
    <w:rsid w:val="7F4219EB"/>
    <w:rsid w:val="7F537AF2"/>
    <w:rsid w:val="7F8262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link w:val="77"/>
    <w:qFormat/>
    <w:uiPriority w:val="99"/>
    <w:rPr>
      <w:sz w:val="24"/>
    </w:rPr>
  </w:style>
  <w:style w:type="paragraph" w:styleId="20">
    <w:name w:val="Body Text Indent"/>
    <w:basedOn w:val="1"/>
    <w:link w:val="110"/>
    <w:qFormat/>
    <w:uiPriority w:val="0"/>
    <w:pPr>
      <w:ind w:firstLine="360"/>
    </w:pPr>
    <w:rPr>
      <w:kern w:val="0"/>
      <w:sz w:val="28"/>
      <w:szCs w:val="24"/>
    </w:rPr>
  </w:style>
  <w:style w:type="paragraph" w:styleId="21">
    <w:name w:val="Block Text"/>
    <w:basedOn w:val="1"/>
    <w:qFormat/>
    <w:uiPriority w:val="0"/>
    <w:pPr>
      <w:ind w:left="-540" w:right="-1054"/>
    </w:pPr>
    <w:rPr>
      <w:sz w:val="28"/>
    </w:rPr>
  </w:style>
  <w:style w:type="paragraph" w:styleId="22">
    <w:name w:val="toc 5"/>
    <w:basedOn w:val="1"/>
    <w:next w:val="1"/>
    <w:qFormat/>
    <w:uiPriority w:val="0"/>
    <w:pPr>
      <w:ind w:left="1680" w:leftChars="800"/>
    </w:pPr>
  </w:style>
  <w:style w:type="paragraph" w:styleId="23">
    <w:name w:val="toc 3"/>
    <w:basedOn w:val="1"/>
    <w:next w:val="1"/>
    <w:qFormat/>
    <w:uiPriority w:val="39"/>
    <w:pPr>
      <w:ind w:left="840" w:leftChars="400"/>
    </w:pPr>
  </w:style>
  <w:style w:type="paragraph" w:styleId="24">
    <w:name w:val="Plain Text"/>
    <w:basedOn w:val="1"/>
    <w:link w:val="88"/>
    <w:qFormat/>
    <w:uiPriority w:val="99"/>
    <w:pPr>
      <w:overflowPunct w:val="0"/>
      <w:spacing w:line="360" w:lineRule="auto"/>
    </w:pPr>
    <w:rPr>
      <w:rFonts w:ascii="宋体" w:hAnsi="Courier New" w:eastAsia="仿宋_GB2312"/>
      <w:sz w:val="24"/>
      <w:lang w:val="zh-CN"/>
    </w:rPr>
  </w:style>
  <w:style w:type="paragraph" w:styleId="25">
    <w:name w:val="toc 8"/>
    <w:basedOn w:val="1"/>
    <w:next w:val="1"/>
    <w:qFormat/>
    <w:uiPriority w:val="0"/>
    <w:pPr>
      <w:ind w:left="2940" w:leftChars="1400"/>
    </w:pPr>
  </w:style>
  <w:style w:type="paragraph" w:styleId="26">
    <w:name w:val="Date"/>
    <w:basedOn w:val="1"/>
    <w:next w:val="1"/>
    <w:link w:val="126"/>
    <w:qFormat/>
    <w:uiPriority w:val="99"/>
    <w:rPr>
      <w:kern w:val="0"/>
      <w:sz w:val="24"/>
    </w:rPr>
  </w:style>
  <w:style w:type="paragraph" w:styleId="27">
    <w:name w:val="Body Text Indent 2"/>
    <w:basedOn w:val="1"/>
    <w:link w:val="76"/>
    <w:qFormat/>
    <w:uiPriority w:val="0"/>
    <w:pPr>
      <w:spacing w:before="60" w:after="60"/>
      <w:ind w:left="720" w:hanging="720"/>
    </w:pPr>
    <w:rPr>
      <w:color w:val="000000"/>
      <w:kern w:val="0"/>
      <w:sz w:val="24"/>
    </w:rPr>
  </w:style>
  <w:style w:type="paragraph" w:styleId="28">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29">
    <w:name w:val="Balloon Text"/>
    <w:basedOn w:val="1"/>
    <w:link w:val="107"/>
    <w:qFormat/>
    <w:uiPriority w:val="0"/>
    <w:rPr>
      <w:sz w:val="18"/>
      <w:szCs w:val="18"/>
      <w:lang w:val="zh-CN"/>
    </w:rPr>
  </w:style>
  <w:style w:type="paragraph" w:styleId="30">
    <w:name w:val="footer"/>
    <w:basedOn w:val="1"/>
    <w:link w:val="175"/>
    <w:qFormat/>
    <w:uiPriority w:val="99"/>
    <w:pPr>
      <w:tabs>
        <w:tab w:val="center" w:pos="4153"/>
        <w:tab w:val="right" w:pos="8306"/>
      </w:tabs>
      <w:snapToGrid w:val="0"/>
    </w:pPr>
    <w:rPr>
      <w:sz w:val="18"/>
      <w:lang w:val="zh-CN"/>
    </w:rPr>
  </w:style>
  <w:style w:type="paragraph" w:styleId="31">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5">
    <w:name w:val="footnote text"/>
    <w:basedOn w:val="1"/>
    <w:link w:val="129"/>
    <w:qFormat/>
    <w:uiPriority w:val="0"/>
    <w:pPr>
      <w:snapToGrid w:val="0"/>
    </w:pPr>
    <w:rPr>
      <w:sz w:val="18"/>
      <w:szCs w:val="18"/>
      <w:lang w:val="zh-CN"/>
    </w:rPr>
  </w:style>
  <w:style w:type="paragraph" w:styleId="36">
    <w:name w:val="toc 6"/>
    <w:basedOn w:val="1"/>
    <w:next w:val="1"/>
    <w:qFormat/>
    <w:uiPriority w:val="0"/>
    <w:pPr>
      <w:ind w:left="2100" w:leftChars="1000"/>
    </w:pPr>
  </w:style>
  <w:style w:type="paragraph" w:styleId="37">
    <w:name w:val="Body Text Indent 3"/>
    <w:basedOn w:val="1"/>
    <w:link w:val="83"/>
    <w:qFormat/>
    <w:uiPriority w:val="0"/>
    <w:pPr>
      <w:ind w:firstLine="720"/>
    </w:pPr>
    <w:rPr>
      <w:kern w:val="0"/>
      <w:sz w:val="24"/>
    </w:rPr>
  </w:style>
  <w:style w:type="paragraph" w:styleId="38">
    <w:name w:val="table of figures"/>
    <w:basedOn w:val="1"/>
    <w:next w:val="1"/>
    <w:qFormat/>
    <w:uiPriority w:val="0"/>
    <w:pPr>
      <w:ind w:left="440" w:hanging="440"/>
    </w:pPr>
    <w:rPr>
      <w:rFonts w:ascii="Arial" w:hAnsi="Arial"/>
      <w:sz w:val="22"/>
      <w:lang w:val="en-GB" w:eastAsia="en-US"/>
    </w:rPr>
  </w:style>
  <w:style w:type="paragraph" w:styleId="39">
    <w:name w:val="toc 2"/>
    <w:basedOn w:val="1"/>
    <w:next w:val="1"/>
    <w:qFormat/>
    <w:uiPriority w:val="39"/>
    <w:pPr>
      <w:ind w:left="420" w:leftChars="200"/>
    </w:pPr>
  </w:style>
  <w:style w:type="paragraph" w:styleId="40">
    <w:name w:val="toc 9"/>
    <w:basedOn w:val="1"/>
    <w:next w:val="1"/>
    <w:qFormat/>
    <w:uiPriority w:val="0"/>
    <w:pPr>
      <w:ind w:left="3360" w:leftChars="1600"/>
    </w:pPr>
  </w:style>
  <w:style w:type="paragraph" w:styleId="41">
    <w:name w:val="Body Text 2"/>
    <w:basedOn w:val="1"/>
    <w:link w:val="100"/>
    <w:qFormat/>
    <w:uiPriority w:val="0"/>
    <w:pPr>
      <w:spacing w:before="60" w:after="60"/>
    </w:pPr>
    <w:rPr>
      <w:color w:val="0000FF"/>
      <w:kern w:val="0"/>
      <w:sz w:val="24"/>
    </w:rPr>
  </w:style>
  <w:style w:type="paragraph" w:styleId="42">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3">
    <w:name w:val="Normal (Web)"/>
    <w:basedOn w:val="1"/>
    <w:qFormat/>
    <w:uiPriority w:val="99"/>
    <w:rPr>
      <w:rFonts w:ascii="宋体" w:hAnsi="宋体" w:cs="宋体"/>
      <w:sz w:val="24"/>
      <w:szCs w:val="24"/>
    </w:rPr>
  </w:style>
  <w:style w:type="paragraph" w:styleId="44">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5">
    <w:name w:val="annotation subject"/>
    <w:basedOn w:val="17"/>
    <w:next w:val="17"/>
    <w:link w:val="120"/>
    <w:qFormat/>
    <w:uiPriority w:val="0"/>
    <w:pPr>
      <w:adjustRightInd/>
      <w:spacing w:line="240" w:lineRule="auto"/>
      <w:textAlignment w:val="auto"/>
    </w:pPr>
  </w:style>
  <w:style w:type="paragraph" w:styleId="46">
    <w:name w:val="Body Text First Indent"/>
    <w:basedOn w:val="19"/>
    <w:link w:val="121"/>
    <w:qFormat/>
    <w:uiPriority w:val="0"/>
    <w:pPr>
      <w:spacing w:after="120"/>
      <w:ind w:firstLine="420" w:firstLineChars="100"/>
    </w:pPr>
    <w:rPr>
      <w:rFonts w:ascii="宋体" w:hAnsi="宋体"/>
      <w:color w:val="000000"/>
      <w:lang w:val="zh-CN"/>
    </w:rPr>
  </w:style>
  <w:style w:type="paragraph" w:styleId="47">
    <w:name w:val="Body Text First Indent 2"/>
    <w:basedOn w:val="20"/>
    <w:link w:val="109"/>
    <w:qFormat/>
    <w:uiPriority w:val="0"/>
    <w:pPr>
      <w:spacing w:after="120"/>
      <w:ind w:left="420" w:leftChars="200" w:firstLine="420" w:firstLineChars="200"/>
    </w:pPr>
    <w:rPr>
      <w:kern w:val="2"/>
      <w:sz w:val="21"/>
    </w:rPr>
  </w:style>
  <w:style w:type="table" w:styleId="49">
    <w:name w:val="Table Grid"/>
    <w:basedOn w:val="48"/>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Emphasis"/>
    <w:qFormat/>
    <w:uiPriority w:val="0"/>
    <w:rPr>
      <w:i/>
      <w:iCs/>
    </w:rPr>
  </w:style>
  <w:style w:type="character" w:styleId="54">
    <w:name w:val="Hyperlink"/>
    <w:basedOn w:val="50"/>
    <w:qFormat/>
    <w:uiPriority w:val="99"/>
    <w:rPr>
      <w:color w:val="0000FF"/>
      <w:u w:val="singl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next w:val="1"/>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7"/>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7"/>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0"/>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4"/>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4"/>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4"/>
    <w:qFormat/>
    <w:uiPriority w:val="0"/>
    <w:rPr>
      <w:rFonts w:ascii="Cambria" w:hAnsi="Cambria"/>
      <w:b/>
      <w:bCs/>
      <w:kern w:val="28"/>
      <w:sz w:val="32"/>
      <w:szCs w:val="32"/>
      <w:lang w:val="en-US" w:eastAsia="zh-CN"/>
    </w:rPr>
  </w:style>
  <w:style w:type="character" w:customStyle="1" w:styleId="100">
    <w:name w:val="正文文本 2 字符"/>
    <w:link w:val="41"/>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29"/>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7"/>
    <w:qFormat/>
    <w:uiPriority w:val="0"/>
    <w:rPr>
      <w:rFonts w:eastAsia="宋体"/>
      <w:kern w:val="2"/>
      <w:sz w:val="21"/>
      <w:szCs w:val="24"/>
      <w:lang w:val="en-US" w:eastAsia="zh-CN" w:bidi="ar-SA"/>
    </w:rPr>
  </w:style>
  <w:style w:type="character" w:customStyle="1" w:styleId="110">
    <w:name w:val="正文文本缩进 字符"/>
    <w:link w:val="20"/>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5"/>
    <w:qFormat/>
    <w:uiPriority w:val="0"/>
    <w:rPr>
      <w:sz w:val="24"/>
    </w:rPr>
  </w:style>
  <w:style w:type="character" w:customStyle="1" w:styleId="121">
    <w:name w:val="正文首行缩进 字符"/>
    <w:link w:val="46"/>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6"/>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5"/>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2"/>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57"/>
    <w:next w:val="57"/>
    <w:qFormat/>
    <w:uiPriority w:val="0"/>
    <w:pPr>
      <w:spacing w:after="120"/>
    </w:pPr>
    <w:rPr>
      <w:color w:val="auto"/>
    </w:rPr>
  </w:style>
  <w:style w:type="paragraph" w:customStyle="1" w:styleId="145">
    <w:name w:val="样式 正文首行缩进 + 首行缩进:  2 字符1 Char Char"/>
    <w:basedOn w:val="46"/>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57"/>
    <w:next w:val="57"/>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1"/>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57"/>
    <w:next w:val="57"/>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0"/>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57"/>
    <w:next w:val="57"/>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8"/>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0"/>
    <w:qFormat/>
    <w:uiPriority w:val="99"/>
    <w:rPr>
      <w:rFonts w:ascii="Times New Roman" w:hAnsi="Times New Roman" w:cs="Times New Roman"/>
      <w:color w:val="000000"/>
      <w:sz w:val="24"/>
      <w:szCs w:val="24"/>
      <w:u w:val="none"/>
    </w:rPr>
  </w:style>
  <w:style w:type="character" w:customStyle="1" w:styleId="226">
    <w:name w:val="font61"/>
    <w:basedOn w:val="50"/>
    <w:qFormat/>
    <w:uiPriority w:val="99"/>
    <w:rPr>
      <w:rFonts w:ascii="宋体" w:hAnsi="宋体" w:eastAsia="宋体" w:cs="宋体"/>
      <w:color w:val="000000"/>
      <w:sz w:val="24"/>
      <w:szCs w:val="24"/>
      <w:u w:val="none"/>
    </w:rPr>
  </w:style>
  <w:style w:type="character" w:customStyle="1" w:styleId="227">
    <w:name w:val="font31"/>
    <w:basedOn w:val="50"/>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4"/>
    <w:qFormat/>
    <w:uiPriority w:val="2"/>
    <w:pPr>
      <w:numPr>
        <w:ilvl w:val="0"/>
        <w:numId w:val="1"/>
      </w:numPr>
      <w:spacing w:line="360" w:lineRule="auto"/>
      <w:outlineLvl w:val="2"/>
    </w:pPr>
    <w:rPr>
      <w:b/>
    </w:rPr>
  </w:style>
  <w:style w:type="paragraph" w:customStyle="1" w:styleId="229">
    <w:name w:val="标书正文格式"/>
    <w:basedOn w:val="24"/>
    <w:qFormat/>
    <w:uiPriority w:val="0"/>
    <w:pPr>
      <w:spacing w:line="360" w:lineRule="auto"/>
      <w:ind w:firstLine="200" w:firstLineChars="200"/>
    </w:pPr>
    <w:rPr>
      <w:rFonts w:hAnsi="宋体"/>
      <w:color w:val="000000"/>
      <w:sz w:val="24"/>
      <w:szCs w:val="24"/>
    </w:rPr>
  </w:style>
  <w:style w:type="paragraph" w:customStyle="1" w:styleId="230">
    <w:name w:val="（4）级标题"/>
    <w:basedOn w:val="24"/>
    <w:qFormat/>
    <w:uiPriority w:val="8"/>
    <w:pPr>
      <w:numPr>
        <w:ilvl w:val="0"/>
        <w:numId w:val="2"/>
      </w:numPr>
      <w:spacing w:line="360" w:lineRule="auto"/>
      <w:outlineLvl w:val="4"/>
    </w:pPr>
  </w:style>
  <w:style w:type="paragraph" w:customStyle="1" w:styleId="231">
    <w:name w:val="Table Paragraph"/>
    <w:basedOn w:val="1"/>
    <w:qFormat/>
    <w:uiPriority w:val="1"/>
    <w:rPr>
      <w:rFonts w:ascii="宋体" w:hAnsi="宋体" w:eastAsia="宋体" w:cs="宋体"/>
    </w:rPr>
  </w:style>
  <w:style w:type="table" w:customStyle="1" w:styleId="232">
    <w:name w:val="Table Normal"/>
    <w:qFormat/>
    <w:uiPriority w:val="0"/>
    <w:tblPr>
      <w:tblCellMar>
        <w:top w:w="0" w:type="dxa"/>
        <w:left w:w="0" w:type="dxa"/>
        <w:bottom w:w="0" w:type="dxa"/>
        <w:right w:w="0" w:type="dxa"/>
      </w:tblCellMar>
    </w:tblPr>
  </w:style>
  <w:style w:type="paragraph" w:customStyle="1" w:styleId="233">
    <w:name w:val="HR正文表格"/>
    <w:basedOn w:val="1"/>
    <w:qFormat/>
    <w:uiPriority w:val="0"/>
    <w:pPr>
      <w:spacing w:beforeLines="25" w:afterLines="25" w:line="300" w:lineRule="auto"/>
    </w:pPr>
    <w:rPr>
      <w:szCs w:val="24"/>
    </w:rPr>
  </w:style>
  <w:style w:type="paragraph" w:customStyle="1" w:styleId="234">
    <w:name w:val="一级标题"/>
    <w:basedOn w:val="24"/>
    <w:qFormat/>
    <w:uiPriority w:val="1"/>
    <w:pPr>
      <w:numPr>
        <w:ilvl w:val="0"/>
        <w:numId w:val="3"/>
      </w:numPr>
      <w:spacing w:line="360" w:lineRule="auto"/>
      <w:ind w:left="420"/>
      <w:outlineLvl w:val="1"/>
    </w:pPr>
    <w:rPr>
      <w:rFonts w:ascii="黑体" w:eastAsia="黑体"/>
      <w:b/>
      <w:bCs/>
      <w:sz w:val="28"/>
    </w:rPr>
  </w:style>
  <w:style w:type="paragraph" w:customStyle="1" w:styleId="235">
    <w:name w:val="标书正文"/>
    <w:basedOn w:val="24"/>
    <w:qFormat/>
    <w:uiPriority w:val="9"/>
    <w:pPr>
      <w:spacing w:line="360" w:lineRule="auto"/>
      <w:jc w:val="left"/>
    </w:pPr>
  </w:style>
  <w:style w:type="paragraph" w:customStyle="1" w:styleId="236">
    <w:name w:val="标书二级标题"/>
    <w:basedOn w:val="3"/>
    <w:qFormat/>
    <w:uiPriority w:val="0"/>
    <w:pPr>
      <w:spacing w:line="240" w:lineRule="auto"/>
      <w:jc w:val="left"/>
    </w:pPr>
    <w:rPr>
      <w:rFonts w:ascii="宋体" w:hAnsi="宋体" w:eastAsia="黑体"/>
      <w:b w:val="0"/>
      <w:sz w:val="28"/>
      <w:szCs w:val="30"/>
    </w:rPr>
  </w:style>
  <w:style w:type="paragraph" w:customStyle="1" w:styleId="237">
    <w:name w:val="标书三级标题"/>
    <w:basedOn w:val="4"/>
    <w:next w:val="229"/>
    <w:qFormat/>
    <w:uiPriority w:val="0"/>
    <w:pPr>
      <w:spacing w:before="0" w:after="0" w:line="240" w:lineRule="auto"/>
      <w:ind w:firstLine="482" w:firstLineChars="200"/>
    </w:pPr>
    <w:rPr>
      <w:rFonts w:ascii="Times New Roman" w:hAnsi="Times New Roman"/>
      <w:color w:val="000000"/>
      <w:sz w:val="24"/>
      <w:szCs w:val="24"/>
    </w:rPr>
  </w:style>
  <w:style w:type="paragraph" w:customStyle="1" w:styleId="238">
    <w:name w:val="标书一级标题"/>
    <w:basedOn w:val="2"/>
    <w:qFormat/>
    <w:uiPriority w:val="0"/>
    <w:rPr>
      <w:rFonts w:eastAsia="黑体"/>
      <w:b w:val="0"/>
      <w:color w:val="000000"/>
      <w:sz w:val="30"/>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footer" Target="footer1.xml"/><Relationship Id="rId39" Type="http://schemas.openxmlformats.org/officeDocument/2006/relationships/customXml" Target="../customXml/item1.xml"/><Relationship Id="rId38" Type="http://schemas.openxmlformats.org/officeDocument/2006/relationships/image" Target="media/image14.png"/><Relationship Id="rId37" Type="http://schemas.openxmlformats.org/officeDocument/2006/relationships/image" Target="media/image13.png"/><Relationship Id="rId36" Type="http://schemas.openxmlformats.org/officeDocument/2006/relationships/image" Target="media/image12.png"/><Relationship Id="rId35" Type="http://schemas.openxmlformats.org/officeDocument/2006/relationships/image" Target="media/image11.png"/><Relationship Id="rId34" Type="http://schemas.openxmlformats.org/officeDocument/2006/relationships/image" Target="media/image10.png"/><Relationship Id="rId33" Type="http://schemas.openxmlformats.org/officeDocument/2006/relationships/image" Target="media/image9.png"/><Relationship Id="rId32" Type="http://schemas.openxmlformats.org/officeDocument/2006/relationships/image" Target="media/image8.png"/><Relationship Id="rId31" Type="http://schemas.openxmlformats.org/officeDocument/2006/relationships/image" Target="media/image7.png"/><Relationship Id="rId30" Type="http://schemas.openxmlformats.org/officeDocument/2006/relationships/image" Target="media/image6.png"/><Relationship Id="rId3" Type="http://schemas.openxmlformats.org/officeDocument/2006/relationships/header" Target="header1.xml"/><Relationship Id="rId29" Type="http://schemas.openxmlformats.org/officeDocument/2006/relationships/image" Target="media/image5.png"/><Relationship Id="rId28" Type="http://schemas.openxmlformats.org/officeDocument/2006/relationships/image" Target="media/image4.png"/><Relationship Id="rId27" Type="http://schemas.openxmlformats.org/officeDocument/2006/relationships/image" Target="media/image3.png"/><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5.xml"/><Relationship Id="rId22" Type="http://schemas.openxmlformats.org/officeDocument/2006/relationships/header" Target="header6.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header" Target="header4.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header" Target="header3.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57</Pages>
  <Words>22182</Words>
  <Characters>23562</Characters>
  <Lines>52</Lines>
  <Paragraphs>14</Paragraphs>
  <TotalTime>33</TotalTime>
  <ScaleCrop>false</ScaleCrop>
  <LinksUpToDate>false</LinksUpToDate>
  <CharactersWithSpaces>24191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灵魂摆渡人</cp:lastModifiedBy>
  <cp:lastPrinted>2020-01-08T06:44:00Z</cp:lastPrinted>
  <dcterms:modified xsi:type="dcterms:W3CDTF">2026-09-08T06:25:15Z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Base Target">
    <vt:lpwstr>_blank</vt:lpwstr>
  </property>
  <property fmtid="{D5CDD505-2E9C-101B-9397-08002B2CF9AE}" pid="4" name="ICV">
    <vt:lpwstr>72077545901849A3B0972A0F9ABC1078_13</vt:lpwstr>
  </property>
  <property fmtid="{D5CDD505-2E9C-101B-9397-08002B2CF9AE}" pid="5" name="KSOTemplateDocerSaveRecord">
    <vt:lpwstr>eyJoZGlkIjoiZjNkYWUwNjI4NDQ2Y2RjZmYwMTMyNWIwZGVlYjZkNzMiLCJ1c2VySWQiOiIzNjc3NzYwOTgifQ==</vt:lpwstr>
  </property>
</Properties>
</file>