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941E0">
      <w:pPr>
        <w:pStyle w:val="94"/>
      </w:pPr>
      <w:r>
        <w:rPr>
          <w:sz w:val="48"/>
          <w:szCs w:val="48"/>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r>
        <w:rPr>
          <w:rFonts w:hint="eastAsia"/>
          <w:lang w:val="en-US" w:eastAsia="zh-CN"/>
        </w:rPr>
        <w:t xml:space="preserve"> </w:t>
      </w:r>
    </w:p>
    <w:p w14:paraId="797AF1E2">
      <w:pPr>
        <w:ind w:right="280"/>
        <w:jc w:val="center"/>
        <w:rPr>
          <w:rFonts w:ascii="宋体" w:hAnsi="宋体"/>
          <w:sz w:val="48"/>
          <w:szCs w:val="48"/>
        </w:rPr>
      </w:pPr>
    </w:p>
    <w:p w14:paraId="6F24A379">
      <w:pPr>
        <w:ind w:right="280"/>
        <w:jc w:val="center"/>
        <w:rPr>
          <w:rFonts w:ascii="宋体" w:hAnsi="宋体"/>
          <w:sz w:val="48"/>
          <w:szCs w:val="48"/>
        </w:rPr>
      </w:pPr>
    </w:p>
    <w:p w14:paraId="65A5525B">
      <w:pPr>
        <w:ind w:right="280"/>
        <w:jc w:val="center"/>
        <w:rPr>
          <w:rFonts w:ascii="宋体" w:hAnsi="宋体"/>
          <w:sz w:val="48"/>
          <w:szCs w:val="48"/>
        </w:rPr>
      </w:pPr>
    </w:p>
    <w:p w14:paraId="61422FCC">
      <w:pPr>
        <w:ind w:right="280"/>
        <w:jc w:val="center"/>
        <w:rPr>
          <w:rFonts w:ascii="宋体" w:hAnsi="宋体"/>
          <w:sz w:val="48"/>
          <w:szCs w:val="48"/>
        </w:rPr>
      </w:pPr>
    </w:p>
    <w:p w14:paraId="77F904EC">
      <w:pPr>
        <w:ind w:right="280"/>
        <w:jc w:val="center"/>
        <w:rPr>
          <w:rFonts w:ascii="楷体_GB2312" w:hAnsi="宋体" w:eastAsia="楷体_GB2312"/>
          <w:sz w:val="52"/>
          <w:szCs w:val="52"/>
        </w:rPr>
      </w:pPr>
    </w:p>
    <w:p w14:paraId="546DAC04">
      <w:pPr>
        <w:ind w:right="280"/>
        <w:jc w:val="center"/>
        <w:rPr>
          <w:rFonts w:hint="eastAsia" w:ascii="方正小标宋简体" w:hAnsi="方正小标宋简体" w:eastAsia="方正小标宋简体" w:cs="方正小标宋简体"/>
          <w:sz w:val="52"/>
          <w:szCs w:val="52"/>
          <w:highlight w:val="none"/>
          <w:lang w:val="en-US" w:eastAsia="zh-CN"/>
        </w:rPr>
      </w:pPr>
      <w:r>
        <w:rPr>
          <w:rFonts w:hint="eastAsia" w:ascii="方正小标宋简体" w:hAnsi="方正小标宋简体" w:eastAsia="方正小标宋简体" w:cs="方正小标宋简体"/>
          <w:sz w:val="52"/>
          <w:szCs w:val="52"/>
          <w:highlight w:val="none"/>
          <w:lang w:val="en-US" w:eastAsia="zh-CN"/>
        </w:rPr>
        <w:t>中国重汽集团济南特种车有限公司</w:t>
      </w:r>
    </w:p>
    <w:p w14:paraId="076490C7">
      <w:pPr>
        <w:ind w:right="280"/>
        <w:jc w:val="center"/>
        <w:rPr>
          <w:rFonts w:hint="eastAsia" w:ascii="方正小标宋简体" w:hAnsi="方正小标宋简体" w:eastAsia="方正小标宋简体" w:cs="方正小标宋简体"/>
          <w:sz w:val="52"/>
          <w:szCs w:val="52"/>
          <w:highlight w:val="none"/>
          <w:lang w:val="en-US" w:eastAsia="zh-CN"/>
        </w:rPr>
      </w:pPr>
      <w:r>
        <w:rPr>
          <w:rFonts w:hint="eastAsia" w:ascii="方正小标宋简体" w:hAnsi="方正小标宋简体" w:eastAsia="方正小标宋简体" w:cs="方正小标宋简体"/>
          <w:sz w:val="52"/>
          <w:szCs w:val="52"/>
          <w:highlight w:val="none"/>
          <w:lang w:val="en-US" w:eastAsia="zh-CN"/>
        </w:rPr>
        <w:t>新建危废库技改项目</w:t>
      </w:r>
    </w:p>
    <w:p w14:paraId="4C361128">
      <w:pPr>
        <w:ind w:right="280"/>
        <w:jc w:val="center"/>
        <w:rPr>
          <w:rFonts w:hint="eastAsia" w:ascii="方正小标宋简体" w:hAnsi="方正小标宋简体" w:eastAsia="方正小标宋简体" w:cs="方正小标宋简体"/>
          <w:sz w:val="52"/>
          <w:szCs w:val="52"/>
          <w:highlight w:val="none"/>
          <w:lang w:val="en-US" w:eastAsia="zh-CN"/>
        </w:rPr>
      </w:pPr>
    </w:p>
    <w:p w14:paraId="4038D2AE">
      <w:pPr>
        <w:ind w:right="280"/>
        <w:jc w:val="center"/>
        <w:rPr>
          <w:rFonts w:hint="eastAsia" w:ascii="方正小标宋简体" w:hAnsi="方正小标宋简体" w:eastAsia="方正小标宋简体" w:cs="方正小标宋简体"/>
          <w:sz w:val="52"/>
          <w:szCs w:val="52"/>
          <w:highlight w:val="none"/>
          <w:lang w:val="en-US" w:eastAsia="zh-CN"/>
        </w:rPr>
      </w:pPr>
      <w:r>
        <w:rPr>
          <w:rFonts w:hint="eastAsia" w:ascii="方正小标宋简体" w:hAnsi="方正小标宋简体" w:eastAsia="方正小标宋简体" w:cs="方正小标宋简体"/>
          <w:sz w:val="52"/>
          <w:szCs w:val="52"/>
          <w:highlight w:val="none"/>
          <w:lang w:val="en-US" w:eastAsia="zh-CN"/>
        </w:rPr>
        <w:t>招标文件</w:t>
      </w:r>
    </w:p>
    <w:p w14:paraId="79A56576">
      <w:pPr>
        <w:jc w:val="center"/>
        <w:rPr>
          <w:rFonts w:ascii="宋体" w:hAnsi="宋体"/>
          <w:sz w:val="48"/>
          <w:szCs w:val="48"/>
          <w:highlight w:val="none"/>
        </w:rPr>
      </w:pPr>
    </w:p>
    <w:p w14:paraId="4DB486F6">
      <w:pPr>
        <w:jc w:val="center"/>
        <w:rPr>
          <w:rFonts w:ascii="宋体" w:hAnsi="宋体"/>
          <w:sz w:val="48"/>
          <w:szCs w:val="48"/>
          <w:highlight w:val="none"/>
        </w:rPr>
      </w:pPr>
    </w:p>
    <w:p w14:paraId="4BF37242">
      <w:pPr>
        <w:widowControl/>
        <w:spacing w:line="360" w:lineRule="auto"/>
        <w:jc w:val="center"/>
        <w:rPr>
          <w:rFonts w:hint="default" w:ascii="宋体" w:hAnsi="宋体" w:eastAsia="宋体" w:cs="宋体"/>
          <w:b/>
          <w:bCs/>
          <w:kern w:val="0"/>
          <w:sz w:val="32"/>
          <w:szCs w:val="32"/>
          <w:highlight w:val="none"/>
          <w:u w:val="single"/>
          <w:lang w:val="en-US" w:eastAsia="zh-CN"/>
        </w:rPr>
      </w:pPr>
      <w:r>
        <w:rPr>
          <w:rFonts w:hint="eastAsia" w:ascii="宋体" w:hAnsi="宋体" w:cs="宋体"/>
          <w:b/>
          <w:bCs/>
          <w:kern w:val="0"/>
          <w:sz w:val="32"/>
          <w:szCs w:val="32"/>
          <w:highlight w:val="none"/>
        </w:rPr>
        <w:t>项目编号：ZBGL2026090059</w:t>
      </w:r>
    </w:p>
    <w:p w14:paraId="1193EFC5">
      <w:pPr>
        <w:jc w:val="center"/>
        <w:rPr>
          <w:rFonts w:ascii="宋体" w:hAnsi="宋体"/>
          <w:sz w:val="48"/>
          <w:szCs w:val="48"/>
          <w:highlight w:val="none"/>
        </w:rPr>
      </w:pPr>
    </w:p>
    <w:p w14:paraId="13E254C6">
      <w:pPr>
        <w:jc w:val="center"/>
        <w:rPr>
          <w:rFonts w:ascii="宋体" w:hAnsi="宋体"/>
          <w:sz w:val="28"/>
          <w:szCs w:val="28"/>
          <w:highlight w:val="none"/>
        </w:rPr>
      </w:pPr>
    </w:p>
    <w:p w14:paraId="64316198">
      <w:pPr>
        <w:jc w:val="center"/>
        <w:rPr>
          <w:rFonts w:ascii="宋体" w:hAnsi="宋体"/>
          <w:sz w:val="28"/>
          <w:szCs w:val="28"/>
          <w:highlight w:val="none"/>
        </w:rPr>
      </w:pPr>
    </w:p>
    <w:p w14:paraId="7C2303CD">
      <w:pPr>
        <w:jc w:val="center"/>
        <w:rPr>
          <w:rFonts w:hint="eastAsia" w:ascii="宋体" w:hAnsi="宋体" w:eastAsia="宋体"/>
          <w:sz w:val="28"/>
          <w:szCs w:val="28"/>
          <w:highlight w:val="none"/>
          <w:lang w:eastAsia="zh-CN"/>
        </w:rPr>
      </w:pPr>
      <w:r>
        <w:rPr>
          <w:rFonts w:hint="eastAsia" w:ascii="宋体" w:hAnsi="宋体"/>
          <w:sz w:val="28"/>
          <w:szCs w:val="28"/>
          <w:highlight w:val="none"/>
        </w:rPr>
        <w:t>招 标 人：</w:t>
      </w:r>
      <w:r>
        <w:rPr>
          <w:rFonts w:hint="eastAsia" w:ascii="宋体" w:hAnsi="宋体"/>
          <w:sz w:val="28"/>
          <w:szCs w:val="28"/>
          <w:highlight w:val="none"/>
          <w:lang w:eastAsia="zh-CN"/>
        </w:rPr>
        <w:t>中国重汽集团济南</w:t>
      </w:r>
      <w:r>
        <w:rPr>
          <w:rFonts w:hint="eastAsia" w:ascii="宋体" w:hAnsi="宋体"/>
          <w:sz w:val="28"/>
          <w:szCs w:val="28"/>
          <w:highlight w:val="none"/>
          <w:lang w:val="en-US" w:eastAsia="zh-CN"/>
        </w:rPr>
        <w:t>特种车</w:t>
      </w:r>
      <w:r>
        <w:rPr>
          <w:rFonts w:hint="eastAsia" w:ascii="宋体" w:hAnsi="宋体"/>
          <w:sz w:val="28"/>
          <w:szCs w:val="28"/>
          <w:highlight w:val="none"/>
          <w:lang w:eastAsia="zh-CN"/>
        </w:rPr>
        <w:t>有限公司</w:t>
      </w:r>
    </w:p>
    <w:p w14:paraId="7CDE82E3">
      <w:pPr>
        <w:jc w:val="center"/>
        <w:rPr>
          <w:rFonts w:ascii="宋体" w:hAnsi="宋体"/>
          <w:sz w:val="28"/>
          <w:szCs w:val="28"/>
          <w:highlight w:val="none"/>
        </w:rPr>
      </w:pPr>
    </w:p>
    <w:p w14:paraId="116C3B5A">
      <w:pPr>
        <w:spacing w:line="480" w:lineRule="auto"/>
        <w:jc w:val="center"/>
        <w:rPr>
          <w:rFonts w:ascii="宋体" w:hAnsi="宋体"/>
          <w:b/>
          <w:bCs/>
          <w:sz w:val="48"/>
          <w:szCs w:val="48"/>
          <w:highlight w:val="none"/>
          <w:u w:val="none"/>
        </w:rPr>
      </w:pPr>
      <w:r>
        <w:rPr>
          <w:rFonts w:hint="eastAsia" w:ascii="宋体" w:hAnsi="宋体"/>
          <w:sz w:val="28"/>
          <w:szCs w:val="28"/>
          <w:highlight w:val="none"/>
          <w:u w:val="none"/>
        </w:rPr>
        <w:t>20</w:t>
      </w:r>
      <w:r>
        <w:rPr>
          <w:rFonts w:hint="eastAsia" w:ascii="宋体" w:hAnsi="宋体"/>
          <w:sz w:val="28"/>
          <w:szCs w:val="28"/>
          <w:highlight w:val="none"/>
          <w:u w:val="none"/>
          <w:lang w:val="en-US" w:eastAsia="zh-CN"/>
        </w:rPr>
        <w:t>26</w:t>
      </w:r>
      <w:r>
        <w:rPr>
          <w:rFonts w:hint="eastAsia" w:ascii="宋体" w:hAnsi="宋体"/>
          <w:sz w:val="28"/>
          <w:szCs w:val="28"/>
          <w:highlight w:val="none"/>
          <w:u w:val="none"/>
        </w:rPr>
        <w:t>年</w:t>
      </w:r>
      <w:r>
        <w:rPr>
          <w:rFonts w:hint="eastAsia" w:ascii="宋体" w:hAnsi="宋体"/>
          <w:sz w:val="28"/>
          <w:szCs w:val="28"/>
          <w:highlight w:val="none"/>
          <w:u w:val="none"/>
          <w:lang w:val="en-US" w:eastAsia="zh-CN"/>
        </w:rPr>
        <w:t>09月</w:t>
      </w:r>
    </w:p>
    <w:p w14:paraId="56F56B0A">
      <w:pPr>
        <w:spacing w:line="480" w:lineRule="auto"/>
        <w:jc w:val="center"/>
        <w:rPr>
          <w:rFonts w:ascii="宋体" w:hAnsi="宋体"/>
          <w:b/>
          <w:bCs/>
          <w:sz w:val="48"/>
          <w:szCs w:val="48"/>
        </w:rPr>
        <w:sectPr>
          <w:footerReference r:id="rId5" w:type="first"/>
          <w:headerReference r:id="rId3" w:type="default"/>
          <w:footerReference r:id="rId4"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75194E13">
          <w:pPr>
            <w:pStyle w:val="68"/>
            <w:jc w:val="center"/>
            <w:rPr>
              <w:rFonts w:ascii="黑体" w:hAnsi="黑体" w:eastAsia="黑体"/>
              <w:b/>
              <w:color w:val="auto"/>
              <w:sz w:val="44"/>
              <w:szCs w:val="44"/>
              <w:lang w:val="zh-CN"/>
            </w:rPr>
          </w:pPr>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14:paraId="7761C141">
          <w:pPr>
            <w:pStyle w:val="20"/>
            <w:tabs>
              <w:tab w:val="right" w:leader="dot" w:pos="9070"/>
              <w:tab w:val="clear" w:pos="8729"/>
            </w:tabs>
          </w:pPr>
          <w:r>
            <w:rPr>
              <w:rFonts w:hint="eastAsia" w:ascii="Calibri" w:hAnsi="Calibri"/>
              <w:bCs/>
              <w:kern w:val="44"/>
              <w:sz w:val="36"/>
              <w:szCs w:val="44"/>
            </w:rPr>
            <w:fldChar w:fldCharType="begin"/>
          </w:r>
          <w:r>
            <w:rPr>
              <w:rFonts w:hint="eastAsia" w:ascii="Calibri" w:hAnsi="Calibri"/>
              <w:bCs/>
              <w:kern w:val="44"/>
              <w:sz w:val="36"/>
              <w:szCs w:val="44"/>
            </w:rPr>
            <w:instrText xml:space="preserve">TOC \o "1-1" \h \u </w:instrText>
          </w:r>
          <w:r>
            <w:rPr>
              <w:rFonts w:hint="eastAsia" w:ascii="Calibri" w:hAnsi="Calibri"/>
              <w:bCs/>
              <w:kern w:val="44"/>
              <w:sz w:val="36"/>
              <w:szCs w:val="44"/>
            </w:rPr>
            <w:fldChar w:fldCharType="separate"/>
          </w:r>
          <w:r>
            <w:rPr>
              <w:rFonts w:hint="eastAsia" w:ascii="Calibri" w:hAnsi="Calibri"/>
              <w:bCs/>
              <w:kern w:val="44"/>
              <w:szCs w:val="44"/>
            </w:rPr>
            <w:fldChar w:fldCharType="begin"/>
          </w:r>
          <w:r>
            <w:rPr>
              <w:rFonts w:hint="eastAsia" w:ascii="Calibri" w:hAnsi="Calibri"/>
              <w:bCs/>
              <w:kern w:val="44"/>
              <w:szCs w:val="44"/>
            </w:rPr>
            <w:instrText xml:space="preserve"> HYPERLINK \l _Toc23927 </w:instrText>
          </w:r>
          <w:r>
            <w:rPr>
              <w:rFonts w:hint="eastAsia" w:ascii="Calibri" w:hAnsi="Calibri"/>
              <w:bCs/>
              <w:kern w:val="44"/>
              <w:szCs w:val="44"/>
            </w:rPr>
            <w:fldChar w:fldCharType="separate"/>
          </w:r>
          <w:r>
            <w:rPr>
              <w:rFonts w:hint="eastAsia"/>
            </w:rPr>
            <w:t>第一部分  投标人须知</w:t>
          </w:r>
          <w:r>
            <w:tab/>
          </w:r>
          <w:r>
            <w:fldChar w:fldCharType="begin"/>
          </w:r>
          <w:r>
            <w:instrText xml:space="preserve"> PAGEREF _Toc23927 \h </w:instrText>
          </w:r>
          <w:r>
            <w:fldChar w:fldCharType="separate"/>
          </w:r>
          <w:r>
            <w:t>2</w:t>
          </w:r>
          <w:r>
            <w:fldChar w:fldCharType="end"/>
          </w:r>
          <w:r>
            <w:rPr>
              <w:rFonts w:hint="eastAsia" w:ascii="Calibri" w:hAnsi="Calibri"/>
              <w:bCs/>
              <w:kern w:val="44"/>
              <w:szCs w:val="44"/>
            </w:rPr>
            <w:fldChar w:fldCharType="end"/>
          </w:r>
        </w:p>
        <w:p w14:paraId="1C64FD22">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_Toc16839 </w:instrText>
          </w:r>
          <w:r>
            <w:rPr>
              <w:rFonts w:hint="eastAsia" w:ascii="Calibri" w:hAnsi="Calibri" w:eastAsia="宋体" w:cs="Times New Roman"/>
              <w:bCs/>
              <w:kern w:val="44"/>
              <w:szCs w:val="44"/>
            </w:rPr>
            <w:fldChar w:fldCharType="separate"/>
          </w:r>
          <w:r>
            <w:rPr>
              <w:rFonts w:hint="eastAsia"/>
            </w:rPr>
            <w:t>第二部分　</w:t>
          </w:r>
          <w:r>
            <w:rPr>
              <w:rFonts w:hint="eastAsia"/>
              <w:lang w:val="en-US" w:eastAsia="zh-CN"/>
            </w:rPr>
            <w:t>技术标书</w:t>
          </w:r>
          <w:r>
            <w:tab/>
          </w:r>
          <w:r>
            <w:fldChar w:fldCharType="begin"/>
          </w:r>
          <w:r>
            <w:instrText xml:space="preserve"> PAGEREF _Toc16839 \h </w:instrText>
          </w:r>
          <w:r>
            <w:fldChar w:fldCharType="separate"/>
          </w:r>
          <w:r>
            <w:t>13</w:t>
          </w:r>
          <w:r>
            <w:fldChar w:fldCharType="end"/>
          </w:r>
          <w:r>
            <w:rPr>
              <w:rFonts w:hint="eastAsia" w:ascii="Calibri" w:hAnsi="Calibri" w:eastAsia="宋体" w:cs="Times New Roman"/>
              <w:bCs/>
              <w:kern w:val="44"/>
              <w:szCs w:val="44"/>
            </w:rPr>
            <w:fldChar w:fldCharType="end"/>
          </w:r>
        </w:p>
        <w:p w14:paraId="08BAFF2A">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_Toc8030 </w:instrText>
          </w:r>
          <w:r>
            <w:rPr>
              <w:rFonts w:hint="eastAsia" w:ascii="Calibri" w:hAnsi="Calibri" w:eastAsia="宋体" w:cs="Times New Roman"/>
              <w:bCs/>
              <w:kern w:val="44"/>
              <w:szCs w:val="44"/>
            </w:rPr>
            <w:fldChar w:fldCharType="separate"/>
          </w:r>
          <w:r>
            <w:rPr>
              <w:rFonts w:hint="eastAsia"/>
            </w:rPr>
            <w:t xml:space="preserve">第三部分 </w:t>
          </w:r>
          <w:r>
            <w:rPr>
              <w:rFonts w:hint="eastAsia"/>
              <w:lang w:val="en-US" w:eastAsia="zh-CN"/>
            </w:rPr>
            <w:t xml:space="preserve"> </w:t>
          </w:r>
          <w:r>
            <w:rPr>
              <w:rFonts w:hint="eastAsia"/>
            </w:rPr>
            <w:t>合同主要条款</w:t>
          </w:r>
          <w:r>
            <w:tab/>
          </w:r>
          <w:r>
            <w:fldChar w:fldCharType="begin"/>
          </w:r>
          <w:r>
            <w:instrText xml:space="preserve"> PAGEREF _Toc8030 \h </w:instrText>
          </w:r>
          <w:r>
            <w:fldChar w:fldCharType="separate"/>
          </w:r>
          <w:r>
            <w:t>14</w:t>
          </w:r>
          <w:r>
            <w:fldChar w:fldCharType="end"/>
          </w:r>
          <w:r>
            <w:rPr>
              <w:rFonts w:hint="eastAsia" w:ascii="Calibri" w:hAnsi="Calibri" w:eastAsia="宋体" w:cs="Times New Roman"/>
              <w:bCs/>
              <w:kern w:val="44"/>
              <w:szCs w:val="44"/>
            </w:rPr>
            <w:fldChar w:fldCharType="end"/>
          </w:r>
        </w:p>
        <w:p w14:paraId="534BB167">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_Toc16500 </w:instrText>
          </w:r>
          <w:r>
            <w:rPr>
              <w:rFonts w:hint="eastAsia" w:ascii="Calibri" w:hAnsi="Calibri" w:eastAsia="宋体" w:cs="Times New Roman"/>
              <w:bCs/>
              <w:kern w:val="44"/>
              <w:szCs w:val="44"/>
            </w:rPr>
            <w:fldChar w:fldCharType="separate"/>
          </w:r>
          <w:r>
            <w:rPr>
              <w:rFonts w:hint="eastAsia"/>
            </w:rPr>
            <w:t>第四部分　</w:t>
          </w:r>
          <w:r>
            <w:rPr>
              <w:rFonts w:hint="eastAsia"/>
              <w:lang w:val="en-US" w:eastAsia="zh-CN"/>
            </w:rPr>
            <w:t>投标文件附件</w:t>
          </w:r>
          <w:r>
            <w:tab/>
          </w:r>
          <w:r>
            <w:fldChar w:fldCharType="begin"/>
          </w:r>
          <w:r>
            <w:instrText xml:space="preserve"> PAGEREF _Toc16500 \h </w:instrText>
          </w:r>
          <w:r>
            <w:fldChar w:fldCharType="separate"/>
          </w:r>
          <w:r>
            <w:t>15</w:t>
          </w:r>
          <w:r>
            <w:fldChar w:fldCharType="end"/>
          </w:r>
          <w:r>
            <w:rPr>
              <w:rFonts w:hint="eastAsia" w:ascii="Calibri" w:hAnsi="Calibri" w:eastAsia="宋体" w:cs="Times New Roman"/>
              <w:bCs/>
              <w:kern w:val="44"/>
              <w:szCs w:val="44"/>
            </w:rPr>
            <w:fldChar w:fldCharType="end"/>
          </w:r>
        </w:p>
        <w:p w14:paraId="1E7BF6BF">
          <w:pPr>
            <w:pStyle w:val="20"/>
          </w:pPr>
          <w:r>
            <w:rPr>
              <w:rFonts w:hint="eastAsia" w:ascii="Calibri" w:hAnsi="Calibri" w:eastAsia="宋体" w:cs="Times New Roman"/>
              <w:bCs/>
              <w:kern w:val="44"/>
              <w:szCs w:val="44"/>
            </w:rPr>
            <w:fldChar w:fldCharType="end"/>
          </w:r>
        </w:p>
      </w:sdtContent>
    </w:sdt>
    <w:p w14:paraId="36E7C14E">
      <w:pPr>
        <w:pStyle w:val="14"/>
        <w:tabs>
          <w:tab w:val="left" w:pos="2940"/>
        </w:tabs>
        <w:spacing w:line="360" w:lineRule="auto"/>
      </w:pPr>
      <w:r>
        <w:tab/>
      </w:r>
    </w:p>
    <w:p w14:paraId="2D135DE4">
      <w:pPr>
        <w:pStyle w:val="14"/>
        <w:spacing w:line="360" w:lineRule="auto"/>
        <w:jc w:val="center"/>
      </w:pPr>
    </w:p>
    <w:p w14:paraId="1E6437B2">
      <w:pPr>
        <w:pStyle w:val="14"/>
        <w:spacing w:line="360" w:lineRule="auto"/>
        <w:jc w:val="center"/>
        <w:sectPr>
          <w:pgSz w:w="11906" w:h="16838"/>
          <w:pgMar w:top="1701" w:right="1418" w:bottom="1134" w:left="1418" w:header="851" w:footer="992" w:gutter="0"/>
          <w:pgNumType w:fmt="numberInDash" w:start="1"/>
          <w:cols w:space="720" w:num="1"/>
          <w:titlePg/>
          <w:docGrid w:type="lines" w:linePitch="312" w:charSpace="0"/>
        </w:sectPr>
      </w:pPr>
    </w:p>
    <w:p w14:paraId="27F1C67F">
      <w:pPr>
        <w:pStyle w:val="71"/>
      </w:pPr>
      <w:bookmarkStart w:id="0" w:name="_Toc23927"/>
      <w:bookmarkStart w:id="1" w:name="_Toc47976595"/>
      <w:r>
        <w:rPr>
          <w:rFonts w:hint="eastAsia"/>
        </w:rPr>
        <w:t>第一部分  投标人须知</w:t>
      </w:r>
      <w:bookmarkEnd w:id="0"/>
      <w:bookmarkEnd w:id="1"/>
    </w:p>
    <w:p w14:paraId="6138DAD4">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bookmarkStart w:id="2" w:name="_Toc47976596"/>
      <w:r>
        <w:rPr>
          <w:rFonts w:hint="eastAsia" w:cs="Times New Roman"/>
        </w:rPr>
        <w:t>项目</w:t>
      </w:r>
      <w:r>
        <w:rPr>
          <w:rFonts w:hint="eastAsia"/>
        </w:rPr>
        <w:t>介绍</w:t>
      </w:r>
      <w:bookmarkEnd w:id="2"/>
    </w:p>
    <w:p w14:paraId="5A69BB3F">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rPr>
        <w:t>项目名称：</w:t>
      </w:r>
      <w:r>
        <w:rPr>
          <w:rFonts w:hint="eastAsia"/>
          <w:highlight w:val="none"/>
          <w:lang w:val="en-US" w:eastAsia="zh-CN"/>
        </w:rPr>
        <w:t>特种车公司新建危废库技改项目</w:t>
      </w:r>
    </w:p>
    <w:p w14:paraId="5FC56B7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highlight w:val="none"/>
        </w:rPr>
        <w:t>项目编号：ZBGL2026090059</w:t>
      </w:r>
    </w:p>
    <w:p w14:paraId="3242E227">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highlight w:val="none"/>
        </w:rPr>
        <w:t>招标形式：</w:t>
      </w:r>
      <w:bookmarkStart w:id="3" w:name="_Toc47112482"/>
      <w:r>
        <w:rPr>
          <w:rFonts w:hint="eastAsia"/>
          <w:highlight w:val="none"/>
          <w:lang w:val="en-US" w:eastAsia="zh-CN"/>
        </w:rPr>
        <w:t>公开招标</w:t>
      </w:r>
    </w:p>
    <w:p w14:paraId="51C6B4B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ascii="宋体" w:hAnsi="宋体" w:eastAsia="宋体" w:cs="宋体"/>
          <w:i w:val="0"/>
          <w:iCs w:val="0"/>
          <w:caps w:val="0"/>
          <w:color w:val="0F1115"/>
          <w:spacing w:val="0"/>
          <w:sz w:val="21"/>
          <w:szCs w:val="21"/>
          <w:shd w:val="clear" w:fill="FFFFFF"/>
          <w:lang w:val="en-US" w:eastAsia="zh-CN"/>
        </w:rPr>
      </w:pPr>
      <w:r>
        <w:rPr>
          <w:rFonts w:hint="eastAsia"/>
          <w:lang w:val="en-US" w:eastAsia="zh-CN"/>
        </w:rPr>
        <w:t>项目概况：</w:t>
      </w:r>
      <w:r>
        <w:rPr>
          <w:rFonts w:hint="eastAsia" w:ascii="宋体" w:hAnsi="宋体" w:eastAsia="宋体" w:cs="宋体"/>
          <w:i w:val="0"/>
          <w:iCs w:val="0"/>
          <w:caps w:val="0"/>
          <w:color w:val="0F1115"/>
          <w:spacing w:val="0"/>
          <w:sz w:val="21"/>
          <w:szCs w:val="21"/>
          <w:shd w:val="clear" w:fill="FFFFFF"/>
          <w:lang w:val="en-US" w:eastAsia="zh-CN"/>
        </w:rPr>
        <w:t>本项目为新建64</w:t>
      </w:r>
      <w:r>
        <w:rPr>
          <w:rFonts w:hint="eastAsia" w:hAnsi="宋体" w:cs="宋体"/>
          <w:i w:val="0"/>
          <w:iCs w:val="0"/>
          <w:caps w:val="0"/>
          <w:color w:val="0F1115"/>
          <w:spacing w:val="0"/>
          <w:sz w:val="21"/>
          <w:szCs w:val="21"/>
          <w:shd w:val="clear" w:fill="FFFFFF"/>
          <w:lang w:val="en-US" w:eastAsia="zh-CN"/>
        </w:rPr>
        <w:t>m³</w:t>
      </w:r>
      <w:r>
        <w:rPr>
          <w:rFonts w:hint="eastAsia" w:ascii="宋体" w:hAnsi="宋体" w:eastAsia="宋体" w:cs="宋体"/>
          <w:i w:val="0"/>
          <w:iCs w:val="0"/>
          <w:caps w:val="0"/>
          <w:color w:val="0F1115"/>
          <w:spacing w:val="0"/>
          <w:sz w:val="21"/>
          <w:szCs w:val="21"/>
          <w:shd w:val="clear" w:fill="FFFFFF"/>
          <w:lang w:val="en-US" w:eastAsia="zh-CN"/>
        </w:rPr>
        <w:t>丙类库一座，包括智能防火防爆危险废物暂存库（箱体）、防爆电气控制系统、防爆控制系统、通风系统、</w:t>
      </w:r>
      <w:r>
        <w:rPr>
          <w:rFonts w:hint="eastAsia" w:hAnsi="宋体" w:cs="宋体"/>
          <w:i w:val="0"/>
          <w:iCs w:val="0"/>
          <w:caps w:val="0"/>
          <w:color w:val="0F1115"/>
          <w:spacing w:val="0"/>
          <w:sz w:val="21"/>
          <w:szCs w:val="21"/>
          <w:shd w:val="clear" w:fill="FFFFFF"/>
          <w:lang w:val="en-US" w:eastAsia="zh-CN"/>
        </w:rPr>
        <w:t>防爆空调系统、</w:t>
      </w:r>
      <w:r>
        <w:rPr>
          <w:rFonts w:hint="eastAsia" w:ascii="宋体" w:hAnsi="宋体" w:eastAsia="宋体" w:cs="宋体"/>
          <w:i w:val="0"/>
          <w:iCs w:val="0"/>
          <w:caps w:val="0"/>
          <w:color w:val="0F1115"/>
          <w:spacing w:val="0"/>
          <w:sz w:val="21"/>
          <w:szCs w:val="21"/>
          <w:shd w:val="clear" w:fill="FFFFFF"/>
          <w:lang w:val="en-US" w:eastAsia="zh-CN"/>
        </w:rPr>
        <w:t>消防灭火系统、防爆烟感报警器、</w:t>
      </w:r>
      <w:r>
        <w:rPr>
          <w:rFonts w:hint="eastAsia" w:hAnsi="宋体" w:cs="宋体"/>
          <w:i w:val="0"/>
          <w:iCs w:val="0"/>
          <w:caps w:val="0"/>
          <w:color w:val="0F1115"/>
          <w:spacing w:val="0"/>
          <w:sz w:val="21"/>
          <w:szCs w:val="21"/>
          <w:shd w:val="clear" w:fill="FFFFFF"/>
          <w:lang w:val="en-US" w:eastAsia="zh-CN"/>
        </w:rPr>
        <w:t>防爆</w:t>
      </w:r>
      <w:r>
        <w:rPr>
          <w:rFonts w:hint="eastAsia" w:ascii="宋体" w:hAnsi="宋体" w:eastAsia="宋体" w:cs="宋体"/>
          <w:i w:val="0"/>
          <w:iCs w:val="0"/>
          <w:caps w:val="0"/>
          <w:color w:val="0F1115"/>
          <w:spacing w:val="0"/>
          <w:sz w:val="21"/>
          <w:szCs w:val="21"/>
          <w:shd w:val="clear" w:fill="FFFFFF"/>
          <w:lang w:val="en-US" w:eastAsia="zh-CN"/>
        </w:rPr>
        <w:t>可燃气体检测器、防爆温湿度检测器、防爆视频监控系统、防泄漏系统、防静电装置、自动泄爆装置、防雷系统、防爆照明系统、安全标识标牌与说明、洗眼装置、其他系统等。招标内容具体要求详见《技术标书》。</w:t>
      </w:r>
    </w:p>
    <w:p w14:paraId="788C3FEA">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u w:val="none"/>
          <w:lang w:val="en-US" w:eastAsia="zh-CN"/>
        </w:rPr>
      </w:pPr>
      <w:r>
        <w:rPr>
          <w:rFonts w:hint="eastAsia"/>
          <w:lang w:val="en-US" w:eastAsia="zh-CN"/>
        </w:rPr>
        <w:t>报价：</w:t>
      </w:r>
    </w:p>
    <w:p w14:paraId="35B3BBAC">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b/>
          <w:bCs/>
          <w:color w:val="FF0000"/>
          <w:sz w:val="21"/>
          <w:szCs w:val="21"/>
          <w:highlight w:val="yellow"/>
          <w:u w:val="none"/>
          <w:lang w:val="en-US" w:eastAsia="zh-CN"/>
        </w:rPr>
      </w:pPr>
      <w:r>
        <w:rPr>
          <w:rFonts w:hint="eastAsia" w:ascii="宋体" w:hAnsi="宋体" w:eastAsia="宋体" w:cs="宋体"/>
          <w:i w:val="0"/>
          <w:iCs w:val="0"/>
          <w:caps w:val="0"/>
          <w:color w:val="0F1115"/>
          <w:spacing w:val="0"/>
          <w:sz w:val="21"/>
          <w:szCs w:val="21"/>
          <w:shd w:val="clear" w:fill="FFFFFF"/>
          <w:lang w:val="en-US" w:eastAsia="zh-CN"/>
        </w:rPr>
        <w:t>本</w:t>
      </w:r>
      <w:r>
        <w:rPr>
          <w:rFonts w:hint="eastAsia" w:ascii="宋体" w:hAnsi="宋体" w:eastAsia="宋体" w:cs="宋体"/>
          <w:i w:val="0"/>
          <w:iCs w:val="0"/>
          <w:caps w:val="0"/>
          <w:color w:val="0F1115"/>
          <w:spacing w:val="0"/>
          <w:sz w:val="21"/>
          <w:szCs w:val="21"/>
          <w:shd w:val="clear" w:fill="FFFFFF"/>
        </w:rPr>
        <w:t>项目的所有报价均以人民币填报。投标人应分别报出不含税金额、税率和</w:t>
      </w:r>
      <w:r>
        <w:rPr>
          <w:rFonts w:hint="eastAsia" w:cs="Times New Roman"/>
          <w:b/>
          <w:bCs/>
          <w:color w:val="auto"/>
          <w:highlight w:val="none"/>
          <w:u w:val="none"/>
          <w:lang w:val="en-US" w:eastAsia="zh-CN"/>
        </w:rPr>
        <w:t>价税合计金额</w:t>
      </w:r>
      <w:r>
        <w:rPr>
          <w:rFonts w:hint="eastAsia" w:ascii="宋体" w:hAnsi="宋体" w:eastAsia="宋体" w:cs="宋体"/>
          <w:i w:val="0"/>
          <w:iCs w:val="0"/>
          <w:caps w:val="0"/>
          <w:color w:val="0F1115"/>
          <w:spacing w:val="0"/>
          <w:sz w:val="21"/>
          <w:szCs w:val="21"/>
          <w:shd w:val="clear" w:fill="FFFFFF"/>
        </w:rPr>
        <w:t>。</w:t>
      </w:r>
    </w:p>
    <w:p w14:paraId="35A23125">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default" w:cs="Times New Roman"/>
          <w:highlight w:val="none"/>
          <w:u w:val="none"/>
          <w:lang w:val="en-US" w:eastAsia="zh-CN"/>
        </w:rPr>
      </w:pPr>
      <w:r>
        <w:rPr>
          <w:rFonts w:hint="eastAsia" w:hAnsi="宋体" w:cs="宋体"/>
          <w:i w:val="0"/>
          <w:iCs w:val="0"/>
          <w:caps w:val="0"/>
          <w:color w:val="0F1115"/>
          <w:spacing w:val="0"/>
          <w:sz w:val="21"/>
          <w:szCs w:val="21"/>
          <w:highlight w:val="none"/>
          <w:shd w:val="clear" w:fill="FFFFFF"/>
          <w:lang w:val="en-US" w:eastAsia="zh-CN"/>
        </w:rPr>
        <w:t>项目预算38.76万元（含税）</w:t>
      </w:r>
      <w:r>
        <w:rPr>
          <w:rFonts w:hint="eastAsia" w:ascii="宋体" w:hAnsi="宋体" w:eastAsia="宋体" w:cs="宋体"/>
          <w:i w:val="0"/>
          <w:iCs w:val="0"/>
          <w:caps w:val="0"/>
          <w:color w:val="0F1115"/>
          <w:spacing w:val="0"/>
          <w:sz w:val="21"/>
          <w:szCs w:val="21"/>
          <w:highlight w:val="none"/>
          <w:shd w:val="clear" w:fill="FFFFFF"/>
        </w:rPr>
        <w:t>。</w:t>
      </w:r>
    </w:p>
    <w:p w14:paraId="7FA9172A">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eastAsia="宋体" w:cs="Times New Roman"/>
          <w:highlight w:val="none"/>
          <w:u w:val="none"/>
          <w:lang w:val="en-US" w:eastAsia="zh-CN"/>
        </w:rPr>
      </w:pPr>
      <w:r>
        <w:rPr>
          <w:rFonts w:hint="eastAsia" w:ascii="Times New Roman" w:hAnsi="Times New Roman" w:cs="Times New Roman"/>
          <w:color w:val="000000"/>
          <w:sz w:val="24"/>
          <w:szCs w:val="24"/>
          <w:highlight w:val="none"/>
          <w:lang w:val="en-US" w:eastAsia="zh-CN"/>
        </w:rPr>
        <w:t>注：</w:t>
      </w:r>
      <w:r>
        <w:rPr>
          <w:rFonts w:hint="default" w:ascii="Times New Roman" w:hAnsi="Times New Roman" w:eastAsia="宋体" w:cs="Times New Roman"/>
          <w:color w:val="000000"/>
          <w:sz w:val="24"/>
          <w:szCs w:val="24"/>
          <w:highlight w:val="none"/>
        </w:rPr>
        <w:t>投标人自行勘察现场，进行合理报价。投标总报价应包括设备费、原厂服务费及相关配件、随机资料、保险、税费、运杂、安装调试、与其他专业配合及可预见的风险以及其它不可预见等全部费用。</w:t>
      </w:r>
    </w:p>
    <w:p w14:paraId="3AC35005">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lang w:val="en-US" w:eastAsia="zh-CN"/>
        </w:rPr>
      </w:pPr>
      <w:r>
        <w:rPr>
          <w:rFonts w:hint="default" w:cs="Times New Roman"/>
          <w:lang w:val="en-US" w:eastAsia="zh-CN"/>
        </w:rPr>
        <w:t>资金来源：企业自筹，已落实。</w:t>
      </w:r>
    </w:p>
    <w:p w14:paraId="39548DD4">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eastAsia" w:cs="Times New Roman"/>
          <w:highlight w:val="none"/>
          <w:lang w:val="en-US" w:eastAsia="zh-CN"/>
        </w:rPr>
      </w:pPr>
      <w:r>
        <w:rPr>
          <w:rFonts w:hint="eastAsia" w:ascii="宋体" w:hAnsi="Courier New" w:eastAsia="宋体" w:cs="Times New Roman"/>
          <w:highlight w:val="none"/>
          <w:lang w:val="en-US" w:eastAsia="zh-CN"/>
        </w:rPr>
        <w:t>招标人信息：</w:t>
      </w:r>
    </w:p>
    <w:p w14:paraId="76C172F5">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招标人名称：</w:t>
      </w:r>
      <w:r>
        <w:rPr>
          <w:rFonts w:hint="eastAsia" w:ascii="宋体" w:hAnsi="Courier New" w:cs="Times New Roman"/>
          <w:kern w:val="2"/>
          <w:sz w:val="21"/>
          <w:highlight w:val="none"/>
          <w:lang w:val="en-US" w:eastAsia="zh-CN" w:bidi="ar-SA"/>
        </w:rPr>
        <w:t>中国重汽集团济南特种车有限公司</w:t>
      </w:r>
      <w:r>
        <w:rPr>
          <w:rFonts w:hint="eastAsia" w:ascii="宋体" w:hAnsi="Courier New" w:eastAsia="宋体" w:cs="Times New Roman"/>
          <w:kern w:val="2"/>
          <w:sz w:val="21"/>
          <w:lang w:val="en-US" w:eastAsia="zh-CN" w:bidi="ar-SA"/>
        </w:rPr>
        <w:t xml:space="preserve"> </w:t>
      </w:r>
    </w:p>
    <w:p w14:paraId="78BDDCC0">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招标人地址：</w:t>
      </w:r>
      <w:r>
        <w:rPr>
          <w:rFonts w:hint="eastAsia" w:hAnsi="Courier New" w:cs="Times New Roman"/>
          <w:highlight w:val="none"/>
          <w:lang w:val="en-US" w:eastAsia="zh-CN"/>
        </w:rPr>
        <w:t>山东省济南市槐荫区经十西路3100号重汽特种车公司北楼</w:t>
      </w:r>
      <w:r>
        <w:rPr>
          <w:rFonts w:hint="eastAsia" w:hAnsi="Courier New" w:cs="Times New Roman"/>
          <w:highlight w:val="yellow"/>
          <w:lang w:val="en-US" w:eastAsia="zh-CN"/>
        </w:rPr>
        <w:t>208</w:t>
      </w:r>
      <w:r>
        <w:rPr>
          <w:rFonts w:hint="eastAsia" w:hAnsi="Courier New" w:cs="Times New Roman"/>
          <w:highlight w:val="none"/>
          <w:lang w:val="en-US" w:eastAsia="zh-CN"/>
        </w:rPr>
        <w:t>会议室</w:t>
      </w:r>
      <w:r>
        <w:rPr>
          <w:rFonts w:hint="eastAsia" w:ascii="宋体" w:hAnsi="Courier New" w:eastAsia="宋体" w:cs="Times New Roman"/>
          <w:kern w:val="2"/>
          <w:sz w:val="21"/>
          <w:lang w:val="en-US" w:eastAsia="zh-CN" w:bidi="ar-SA"/>
        </w:rPr>
        <w:t xml:space="preserve"> </w:t>
      </w:r>
    </w:p>
    <w:bookmarkEnd w:id="3"/>
    <w:p w14:paraId="69655692">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Courier New" w:eastAsia="宋体" w:cs="Times New Roman"/>
          <w:kern w:val="2"/>
          <w:sz w:val="21"/>
          <w:lang w:val="en-US" w:eastAsia="zh-CN" w:bidi="ar-SA"/>
        </w:rPr>
      </w:pPr>
      <w:bookmarkStart w:id="4" w:name="_Toc47976598"/>
      <w:r>
        <w:rPr>
          <w:rFonts w:hint="eastAsia" w:ascii="宋体" w:hAnsi="Courier New" w:eastAsia="宋体" w:cs="Times New Roman"/>
          <w:b/>
          <w:bCs/>
          <w:kern w:val="2"/>
          <w:sz w:val="21"/>
          <w:lang w:val="en-US" w:eastAsia="zh-CN" w:bidi="ar-SA"/>
        </w:rPr>
        <w:t>商务联系人：</w:t>
      </w:r>
      <w:r>
        <w:rPr>
          <w:rFonts w:hint="eastAsia" w:ascii="宋体" w:hAnsi="Courier New" w:cs="Times New Roman"/>
          <w:kern w:val="2"/>
          <w:sz w:val="21"/>
          <w:lang w:val="en-US" w:eastAsia="zh-CN" w:bidi="ar-SA"/>
        </w:rPr>
        <w:t>李苗</w:t>
      </w:r>
    </w:p>
    <w:p w14:paraId="42BBD7AC">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电话：</w:t>
      </w:r>
      <w:r>
        <w:rPr>
          <w:rFonts w:hint="eastAsia" w:ascii="宋体" w:hAnsi="Courier New" w:cs="Times New Roman"/>
          <w:kern w:val="2"/>
          <w:sz w:val="21"/>
          <w:lang w:val="en-US" w:eastAsia="zh-CN" w:bidi="ar-SA"/>
        </w:rPr>
        <w:t>13854132324</w:t>
      </w:r>
    </w:p>
    <w:p w14:paraId="32698DC6">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邮箱：</w:t>
      </w:r>
      <w:r>
        <w:rPr>
          <w:rFonts w:hint="eastAsia" w:ascii="宋体" w:hAnsi="Courier New" w:cs="Times New Roman"/>
          <w:kern w:val="2"/>
          <w:sz w:val="21"/>
          <w:lang w:val="en-US" w:eastAsia="zh-CN" w:bidi="ar-SA"/>
        </w:rPr>
        <w:t>limiao</w:t>
      </w:r>
      <w:r>
        <w:rPr>
          <w:rFonts w:hint="eastAsia" w:ascii="宋体" w:hAnsi="Courier New" w:eastAsia="宋体" w:cs="Times New Roman"/>
          <w:kern w:val="2"/>
          <w:sz w:val="21"/>
          <w:lang w:val="en-US" w:eastAsia="zh-CN" w:bidi="ar-SA"/>
        </w:rPr>
        <w:t>@sinotruk.com</w:t>
      </w:r>
    </w:p>
    <w:p w14:paraId="33126E9D">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Courier New" w:eastAsia="宋体" w:cs="Times New Roman"/>
          <w:kern w:val="2"/>
          <w:sz w:val="21"/>
          <w:lang w:val="en-US" w:eastAsia="zh-CN" w:bidi="ar-SA"/>
        </w:rPr>
      </w:pPr>
    </w:p>
    <w:p w14:paraId="3028FF4C">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Courier New" w:eastAsia="宋体" w:cs="Times New Roman"/>
          <w:kern w:val="2"/>
          <w:sz w:val="21"/>
          <w:lang w:val="en-US" w:eastAsia="zh-CN" w:bidi="ar-SA"/>
        </w:rPr>
      </w:pPr>
      <w:r>
        <w:rPr>
          <w:rFonts w:hint="eastAsia" w:ascii="宋体" w:hAnsi="Courier New" w:eastAsia="宋体" w:cs="Times New Roman"/>
          <w:b/>
          <w:bCs/>
          <w:kern w:val="2"/>
          <w:sz w:val="21"/>
          <w:lang w:val="en-US" w:eastAsia="zh-CN" w:bidi="ar-SA"/>
        </w:rPr>
        <w:t>技术联系人：</w:t>
      </w:r>
      <w:r>
        <w:rPr>
          <w:rFonts w:hint="eastAsia" w:ascii="宋体" w:hAnsi="Courier New" w:cs="Times New Roman"/>
          <w:kern w:val="2"/>
          <w:sz w:val="21"/>
          <w:lang w:val="en-US" w:eastAsia="zh-CN" w:bidi="ar-SA"/>
        </w:rPr>
        <w:t>何文亮    于文成</w:t>
      </w:r>
    </w:p>
    <w:p w14:paraId="7A88B574">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 xml:space="preserve">电话：15066696050   </w:t>
      </w:r>
      <w:r>
        <w:rPr>
          <w:rFonts w:hint="eastAsia" w:ascii="宋体" w:hAnsi="Courier New" w:cs="Times New Roman"/>
          <w:kern w:val="2"/>
          <w:sz w:val="21"/>
          <w:lang w:val="en-US" w:eastAsia="zh-CN" w:bidi="ar-SA"/>
        </w:rPr>
        <w:t>18764159053</w:t>
      </w:r>
    </w:p>
    <w:p w14:paraId="672EE9E1">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Courier New" w:eastAsia="宋体" w:cs="Times New Roman"/>
          <w:kern w:val="2"/>
          <w:sz w:val="21"/>
          <w:lang w:val="en-US" w:eastAsia="zh-CN" w:bidi="ar-SA"/>
        </w:rPr>
      </w:pPr>
      <w:r>
        <w:rPr>
          <w:rFonts w:hint="eastAsia" w:ascii="宋体" w:hAnsi="Courier New" w:cs="Times New Roman"/>
          <w:kern w:val="2"/>
          <w:sz w:val="21"/>
          <w:lang w:val="en-US" w:eastAsia="zh-CN" w:bidi="ar-SA"/>
        </w:rPr>
        <w:t>邮箱：763779667@qq.com</w:t>
      </w:r>
    </w:p>
    <w:p w14:paraId="5609B224">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rPr>
        <w:t>合格的投标人</w:t>
      </w:r>
      <w:bookmarkEnd w:id="4"/>
    </w:p>
    <w:p w14:paraId="485FBADC">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（1）拟标投人必须是在中华人民共和国境内注册的独立法人机构，具有独立承担民事责任能力；注册资金不少于</w:t>
      </w:r>
      <w:r>
        <w:rPr>
          <w:rFonts w:hint="eastAsia" w:cs="Times New Roman"/>
          <w:kern w:val="2"/>
          <w:sz w:val="21"/>
          <w:highlight w:val="none"/>
          <w:lang w:val="en-US" w:eastAsia="zh-CN" w:bidi="ar-SA"/>
        </w:rPr>
        <w:t>500</w:t>
      </w:r>
      <w:r>
        <w:rPr>
          <w:rFonts w:hint="eastAsia" w:ascii="宋体" w:hAnsi="Courier New" w:eastAsia="宋体" w:cs="Times New Roman"/>
          <w:kern w:val="2"/>
          <w:sz w:val="21"/>
          <w:highlight w:val="none"/>
          <w:lang w:val="en-US" w:eastAsia="zh-CN" w:bidi="ar-SA"/>
        </w:rPr>
        <w:t>万人民币（或等值其他货币）；公司成立三年以上（以营业执照成立日期到开标当日满三年为准），且经营范围满足招标人需求；并在人员、设备、资金等方面具有承担本项目的能力；</w:t>
      </w:r>
    </w:p>
    <w:p w14:paraId="5F8B3560">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（2）拟投标人应具有相关招标项目的实施及服务能力，具有相应的生产及供货、安装能力；产品认证证书。</w:t>
      </w:r>
    </w:p>
    <w:p w14:paraId="455D8E8F">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（3）拟投标人应提供营业执照副本原件和扫描件（需盖章）；</w:t>
      </w:r>
    </w:p>
    <w:p w14:paraId="37EE4FA0">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（4）拟投标人应提供法定代表人资格证明文件；</w:t>
      </w:r>
    </w:p>
    <w:p w14:paraId="524FBB9D">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（5）拟投标人在国家市场监督管理总局的《国家企业信用信息公示系统》中查询不存在不良记录；</w:t>
      </w:r>
    </w:p>
    <w:p w14:paraId="1E609FA9">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（6）拟投标人不存在严重违规或被列入招标人“黑名单”的声明；</w:t>
      </w:r>
    </w:p>
    <w:p w14:paraId="65366279">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（7）拟投标人202</w:t>
      </w:r>
      <w:r>
        <w:rPr>
          <w:rFonts w:hint="eastAsia" w:cs="Times New Roman"/>
          <w:kern w:val="2"/>
          <w:sz w:val="21"/>
          <w:highlight w:val="none"/>
          <w:lang w:val="en-US" w:eastAsia="zh-CN" w:bidi="ar-SA"/>
        </w:rPr>
        <w:t>3</w:t>
      </w:r>
      <w:r>
        <w:rPr>
          <w:rFonts w:hint="eastAsia" w:ascii="宋体" w:hAnsi="Courier New" w:eastAsia="宋体" w:cs="Times New Roman"/>
          <w:kern w:val="2"/>
          <w:sz w:val="21"/>
          <w:highlight w:val="none"/>
          <w:lang w:val="en-US" w:eastAsia="zh-CN" w:bidi="ar-SA"/>
        </w:rPr>
        <w:t>年1月1日至今经第三方审计的公司财务报表（资产负债表、损益表、现金流量表）未显示异常；</w:t>
      </w:r>
    </w:p>
    <w:p w14:paraId="33043312">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（8）拟投标人202</w:t>
      </w:r>
      <w:r>
        <w:rPr>
          <w:rFonts w:hint="eastAsia" w:cs="Times New Roman"/>
          <w:kern w:val="2"/>
          <w:sz w:val="21"/>
          <w:highlight w:val="none"/>
          <w:lang w:val="en-US" w:eastAsia="zh-CN" w:bidi="ar-SA"/>
        </w:rPr>
        <w:t>3</w:t>
      </w:r>
      <w:r>
        <w:rPr>
          <w:rFonts w:hint="eastAsia" w:ascii="宋体" w:hAnsi="Courier New" w:eastAsia="宋体" w:cs="Times New Roman"/>
          <w:kern w:val="2"/>
          <w:sz w:val="21"/>
          <w:highlight w:val="none"/>
          <w:lang w:val="en-US" w:eastAsia="zh-CN" w:bidi="ar-SA"/>
        </w:rPr>
        <w:t>年1月1日至今供货实例，报名及投标时须提供用户清单、采购合同复印件；</w:t>
      </w:r>
    </w:p>
    <w:p w14:paraId="07BEF058">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（9）拟投标人近三年内在经营活动中无与本项目有关的违法及重大违规情况；</w:t>
      </w:r>
    </w:p>
    <w:p w14:paraId="3A77263B">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（10）拟投标人最近半年纳税正常；</w:t>
      </w:r>
    </w:p>
    <w:p w14:paraId="7FACB636">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（11）拟投标人信用证明材料（征信报告）未显示异常；</w:t>
      </w:r>
    </w:p>
    <w:p w14:paraId="54F3192E">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（12）拟投标人的直接或间接股东、法定代表人、董事、监事、高管非重汽员工及其亲属；</w:t>
      </w:r>
    </w:p>
    <w:p w14:paraId="12E3882F">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（13）与招标人存在利害关系可能影响招标公正性的法人、其他组织或者个人，不得参加投标。</w:t>
      </w:r>
    </w:p>
    <w:p w14:paraId="7BE7C825">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（14）不允许代理商投标；</w:t>
      </w:r>
    </w:p>
    <w:p w14:paraId="112B7392">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（15）本项目不接受联合体投标，拟投标人必须是最终投标单位和签订合同单位，不得以任何理由将已中标项目以任何形式分包或转包给其他单位。</w:t>
      </w:r>
    </w:p>
    <w:p w14:paraId="1A5E06D1">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w:t>
      </w:r>
      <w:r>
        <w:rPr>
          <w:rFonts w:hint="eastAsia" w:ascii="宋体" w:eastAsia="宋体" w:cs="Times New Roman"/>
          <w:kern w:val="2"/>
          <w:sz w:val="21"/>
          <w:highlight w:val="none"/>
          <w:lang w:val="en-US" w:eastAsia="zh-CN" w:bidi="ar-SA"/>
        </w:rPr>
        <w:t>6</w:t>
      </w:r>
      <w:r>
        <w:rPr>
          <w:rFonts w:hint="eastAsia" w:ascii="宋体" w:hAnsi="Courier New" w:eastAsia="宋体" w:cs="Times New Roman"/>
          <w:kern w:val="2"/>
          <w:sz w:val="21"/>
          <w:highlight w:val="none"/>
          <w:lang w:val="en-US" w:eastAsia="zh-CN" w:bidi="ar-SA"/>
        </w:rPr>
        <w:t>)投标文件1正</w:t>
      </w:r>
      <w:r>
        <w:rPr>
          <w:rFonts w:hint="eastAsia" w:ascii="宋体" w:eastAsia="宋体" w:cs="Times New Roman"/>
          <w:kern w:val="2"/>
          <w:sz w:val="21"/>
          <w:highlight w:val="none"/>
          <w:lang w:val="en-US" w:eastAsia="zh-CN" w:bidi="ar-SA"/>
        </w:rPr>
        <w:t>2</w:t>
      </w:r>
      <w:r>
        <w:rPr>
          <w:rFonts w:hint="eastAsia" w:ascii="宋体" w:hAnsi="Courier New" w:eastAsia="宋体" w:cs="Times New Roman"/>
          <w:kern w:val="2"/>
          <w:sz w:val="21"/>
          <w:highlight w:val="none"/>
          <w:lang w:val="en-US" w:eastAsia="zh-CN" w:bidi="ar-SA"/>
        </w:rPr>
        <w:t>副共计</w:t>
      </w:r>
      <w:r>
        <w:rPr>
          <w:rFonts w:hint="eastAsia" w:ascii="宋体" w:eastAsia="宋体" w:cs="Times New Roman"/>
          <w:kern w:val="2"/>
          <w:sz w:val="21"/>
          <w:highlight w:val="none"/>
          <w:lang w:val="en-US" w:eastAsia="zh-CN" w:bidi="ar-SA"/>
        </w:rPr>
        <w:t>3</w:t>
      </w:r>
      <w:r>
        <w:rPr>
          <w:rFonts w:hint="eastAsia" w:ascii="宋体" w:hAnsi="Courier New" w:eastAsia="宋体" w:cs="Times New Roman"/>
          <w:kern w:val="2"/>
          <w:sz w:val="21"/>
          <w:highlight w:val="none"/>
          <w:lang w:val="en-US" w:eastAsia="zh-CN" w:bidi="ar-SA"/>
        </w:rPr>
        <w:t>份并附U盘电子版（详见本招标文件“第二章 投标文件编制”）。</w:t>
      </w:r>
    </w:p>
    <w:p w14:paraId="1853DFDE">
      <w:pPr>
        <w:pStyle w:val="14"/>
        <w:spacing w:line="360" w:lineRule="auto"/>
        <w:ind w:firstLine="420" w:firstLineChars="200"/>
        <w:rPr>
          <w:rFonts w:ascii="Arial" w:hAnsi="Arial" w:cs="Arial"/>
          <w:color w:val="333333"/>
          <w:szCs w:val="21"/>
          <w:shd w:val="clear" w:color="auto" w:fill="FFFFFF"/>
        </w:rPr>
      </w:pPr>
      <w:r>
        <w:rPr>
          <w:rFonts w:hint="eastAsia"/>
        </w:rPr>
        <w:t>逾期的投标文件招标人不予受理。</w:t>
      </w:r>
    </w:p>
    <w:p w14:paraId="6EA455AC">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18F56947">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yellow"/>
          <w:lang w:val="en-US" w:eastAsia="zh-CN"/>
        </w:rPr>
      </w:pPr>
      <w:r>
        <w:rPr>
          <w:rFonts w:hint="eastAsia" w:ascii="宋体" w:hAnsi="Courier New" w:eastAsia="宋体" w:cs="Times New Roman"/>
          <w:highlight w:val="yellow"/>
          <w:lang w:val="en-US" w:eastAsia="zh-CN"/>
        </w:rPr>
        <w:t>发标时间：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9</w:t>
      </w:r>
      <w:r>
        <w:rPr>
          <w:rFonts w:hint="eastAsia" w:ascii="宋体" w:hAnsi="Courier New" w:eastAsia="宋体" w:cs="Times New Roman"/>
          <w:highlight w:val="yellow"/>
          <w:u w:val="single"/>
          <w:lang w:val="en-US" w:eastAsia="zh-CN"/>
        </w:rPr>
        <w:t>月</w:t>
      </w:r>
      <w:r>
        <w:rPr>
          <w:rFonts w:hint="eastAsia" w:cs="Times New Roman"/>
          <w:highlight w:val="yellow"/>
          <w:u w:val="single"/>
          <w:lang w:val="en-US" w:eastAsia="zh-CN"/>
        </w:rPr>
        <w:t>7</w:t>
      </w:r>
      <w:r>
        <w:rPr>
          <w:rFonts w:hint="eastAsia" w:ascii="宋体" w:hAnsi="Courier New" w:eastAsia="宋体" w:cs="Times New Roman"/>
          <w:highlight w:val="yellow"/>
          <w:u w:val="single"/>
          <w:lang w:val="en-US" w:eastAsia="zh-CN"/>
        </w:rPr>
        <w:t>日</w:t>
      </w:r>
      <w:r>
        <w:rPr>
          <w:rFonts w:hint="eastAsia" w:cs="Times New Roman"/>
          <w:highlight w:val="yellow"/>
          <w:u w:val="single"/>
          <w:lang w:val="en-US" w:eastAsia="zh-CN"/>
        </w:rPr>
        <w:t>；</w:t>
      </w:r>
    </w:p>
    <w:p w14:paraId="7344BDAD">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投标报名</w:t>
      </w:r>
    </w:p>
    <w:p w14:paraId="000AF295">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jc w:val="both"/>
        <w:textAlignment w:val="auto"/>
        <w:rPr>
          <w:rFonts w:hint="eastAsia" w:ascii="宋体" w:hAnsi="Courier New" w:eastAsia="宋体" w:cs="Times New Roman"/>
          <w:highlight w:val="yellow"/>
          <w:lang w:val="en-US" w:eastAsia="zh-CN"/>
        </w:rPr>
      </w:pPr>
      <w:r>
        <w:rPr>
          <w:rFonts w:hint="eastAsia" w:cs="Times New Roman"/>
          <w:highlight w:val="yellow"/>
          <w:lang w:val="en-US" w:eastAsia="zh-CN"/>
        </w:rPr>
        <w:t>应标截止时间：</w:t>
      </w:r>
      <w:r>
        <w:rPr>
          <w:rFonts w:hint="eastAsia" w:eastAsia="宋体" w:cs="宋体"/>
          <w:highlight w:val="yellow"/>
          <w:u w:val="single"/>
        </w:rPr>
        <w:t>202</w:t>
      </w:r>
      <w:r>
        <w:rPr>
          <w:rFonts w:hint="eastAsia" w:cs="宋体"/>
          <w:highlight w:val="yellow"/>
          <w:u w:val="single"/>
          <w:lang w:val="en-US" w:eastAsia="zh-CN"/>
        </w:rPr>
        <w:t>6</w:t>
      </w:r>
      <w:r>
        <w:rPr>
          <w:rFonts w:hint="eastAsia" w:eastAsia="宋体" w:cs="宋体"/>
          <w:highlight w:val="yellow"/>
          <w:u w:val="single"/>
        </w:rPr>
        <w:t>年</w:t>
      </w:r>
      <w:r>
        <w:rPr>
          <w:rFonts w:hint="eastAsia" w:cs="宋体"/>
          <w:highlight w:val="yellow"/>
          <w:u w:val="single"/>
          <w:lang w:val="en-US" w:eastAsia="zh-CN"/>
        </w:rPr>
        <w:t>9</w:t>
      </w:r>
      <w:r>
        <w:rPr>
          <w:rFonts w:hint="eastAsia" w:eastAsia="宋体" w:cs="宋体"/>
          <w:highlight w:val="yellow"/>
          <w:u w:val="single"/>
        </w:rPr>
        <w:t>月</w:t>
      </w:r>
      <w:r>
        <w:rPr>
          <w:rFonts w:hint="eastAsia" w:cs="宋体"/>
          <w:highlight w:val="yellow"/>
          <w:u w:val="single"/>
          <w:lang w:val="en-US" w:eastAsia="zh-CN"/>
        </w:rPr>
        <w:t>12</w:t>
      </w:r>
      <w:r>
        <w:rPr>
          <w:rFonts w:hint="eastAsia" w:eastAsia="宋体" w:cs="宋体"/>
          <w:highlight w:val="yellow"/>
          <w:u w:val="single"/>
        </w:rPr>
        <w:t>日</w:t>
      </w:r>
      <w:r>
        <w:rPr>
          <w:rFonts w:hint="eastAsia" w:cs="宋体"/>
          <w:highlight w:val="yellow"/>
          <w:u w:val="single"/>
          <w:lang w:val="en-US" w:eastAsia="zh-CN"/>
        </w:rPr>
        <w:t>17</w:t>
      </w:r>
      <w:r>
        <w:rPr>
          <w:rFonts w:hint="eastAsia"/>
          <w:highlight w:val="yellow"/>
          <w:u w:val="single"/>
          <w:lang w:val="en-US" w:eastAsia="zh-CN"/>
        </w:rPr>
        <w:t>:00:00</w:t>
      </w:r>
      <w:r>
        <w:rPr>
          <w:rFonts w:hint="default" w:ascii="宋体" w:hAnsi="Courier New" w:eastAsia="宋体" w:cs="Times New Roman"/>
          <w:highlight w:val="yellow"/>
          <w:u w:val="single"/>
          <w:lang w:val="en-US" w:eastAsia="zh-CN"/>
        </w:rPr>
        <w:t>（北京时间）</w:t>
      </w:r>
      <w:r>
        <w:rPr>
          <w:rFonts w:hint="eastAsia" w:cs="Times New Roman"/>
          <w:highlight w:val="yellow"/>
          <w:u w:val="single"/>
          <w:lang w:val="en-US" w:eastAsia="zh-CN"/>
        </w:rPr>
        <w:t>；</w:t>
      </w:r>
    </w:p>
    <w:p w14:paraId="28C35A91">
      <w:pPr>
        <w:pStyle w:val="76"/>
        <w:keepNext w:val="0"/>
        <w:keepLines w:val="0"/>
        <w:pageBreakBefore w:val="0"/>
        <w:widowControl w:val="0"/>
        <w:numPr>
          <w:ilvl w:val="1"/>
          <w:numId w:val="12"/>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none"/>
          <w:lang w:val="en-US" w:eastAsia="zh-CN"/>
        </w:rPr>
      </w:pPr>
      <w:r>
        <w:rPr>
          <w:rFonts w:hint="eastAsia" w:cs="宋体"/>
          <w:sz w:val="21"/>
          <w:szCs w:val="21"/>
          <w:highlight w:val="none"/>
          <w:lang w:val="en-US" w:eastAsia="zh-CN"/>
        </w:rPr>
        <w:t>报名方式：</w:t>
      </w:r>
      <w:r>
        <w:rPr>
          <w:rFonts w:hint="eastAsia" w:eastAsia="宋体" w:cs="宋体"/>
          <w:sz w:val="21"/>
          <w:szCs w:val="21"/>
          <w:highlight w:val="none"/>
          <w:lang w:val="en-US" w:eastAsia="zh-CN"/>
        </w:rPr>
        <w:t>拟</w:t>
      </w:r>
      <w:r>
        <w:rPr>
          <w:rFonts w:hint="eastAsia" w:cs="Times New Roman"/>
          <w:highlight w:val="none"/>
          <w:lang w:val="en-US" w:eastAsia="zh-CN"/>
        </w:rPr>
        <w:t>投标</w:t>
      </w:r>
      <w:r>
        <w:rPr>
          <w:rFonts w:hint="eastAsia" w:eastAsia="宋体" w:cs="宋体"/>
          <w:sz w:val="21"/>
          <w:szCs w:val="21"/>
          <w:highlight w:val="none"/>
          <w:lang w:val="en-US" w:eastAsia="zh-CN"/>
        </w:rPr>
        <w:t>人根据招标人在中国重汽官网公开媒体上发布的招标信息，在</w:t>
      </w:r>
      <w:r>
        <w:rPr>
          <w:rFonts w:hint="eastAsia" w:eastAsia="宋体" w:cs="宋体"/>
          <w:b/>
          <w:bCs/>
          <w:sz w:val="21"/>
          <w:szCs w:val="21"/>
          <w:highlight w:val="none"/>
          <w:lang w:val="en-US" w:eastAsia="zh-CN"/>
        </w:rPr>
        <w:t>“中国重汽e采通”</w:t>
      </w:r>
      <w:r>
        <w:rPr>
          <w:rFonts w:hint="eastAsia" w:eastAsia="宋体" w:cs="宋体"/>
          <w:sz w:val="21"/>
          <w:szCs w:val="21"/>
          <w:highlight w:val="none"/>
          <w:lang w:val="en-US" w:eastAsia="zh-CN"/>
        </w:rPr>
        <w:t>平台报名。</w:t>
      </w:r>
    </w:p>
    <w:p w14:paraId="7F836141">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疑问提交</w:t>
      </w:r>
    </w:p>
    <w:p w14:paraId="6D6ACBE8">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eastAsia" w:ascii="宋体" w:hAnsi="Courier New" w:eastAsia="宋体" w:cs="Times New Roman"/>
          <w:highlight w:val="none"/>
          <w:lang w:val="en-US" w:eastAsia="zh-CN"/>
        </w:rPr>
      </w:pPr>
      <w:r>
        <w:rPr>
          <w:rFonts w:hint="eastAsia" w:cs="Times New Roman"/>
          <w:highlight w:val="none"/>
          <w:lang w:val="en-US" w:eastAsia="zh-CN"/>
        </w:rPr>
        <w:t>提交截止</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9</w:t>
      </w:r>
      <w:r>
        <w:rPr>
          <w:rFonts w:hint="eastAsia" w:ascii="宋体" w:hAnsi="Courier New" w:eastAsia="宋体" w:cs="Times New Roman"/>
          <w:highlight w:val="yellow"/>
          <w:u w:val="single"/>
          <w:lang w:val="en-US" w:eastAsia="zh-CN"/>
        </w:rPr>
        <w:t>月</w:t>
      </w:r>
      <w:r>
        <w:rPr>
          <w:rFonts w:hint="eastAsia" w:cs="Times New Roman"/>
          <w:highlight w:val="yellow"/>
          <w:u w:val="single"/>
          <w:lang w:val="en-US" w:eastAsia="zh-CN"/>
        </w:rPr>
        <w:t>12</w:t>
      </w:r>
      <w:r>
        <w:rPr>
          <w:rFonts w:hint="eastAsia" w:ascii="宋体" w:hAnsi="Courier New" w:eastAsia="宋体" w:cs="Times New Roman"/>
          <w:highlight w:val="yellow"/>
          <w:u w:val="single"/>
          <w:lang w:val="en-US" w:eastAsia="zh-CN"/>
        </w:rPr>
        <w:t>日</w:t>
      </w:r>
      <w:r>
        <w:rPr>
          <w:rFonts w:hint="default" w:ascii="宋体" w:hAnsi="Courier New" w:eastAsia="宋体" w:cs="Times New Roman"/>
          <w:highlight w:val="yellow"/>
          <w:u w:val="single"/>
          <w:lang w:val="en-US" w:eastAsia="zh-CN"/>
        </w:rPr>
        <w:t>12:00</w:t>
      </w:r>
      <w:r>
        <w:rPr>
          <w:rFonts w:hint="eastAsia"/>
          <w:highlight w:val="yellow"/>
          <w:u w:val="single"/>
          <w:lang w:val="en-US" w:eastAsia="zh-CN"/>
        </w:rPr>
        <w:t>:00</w:t>
      </w:r>
      <w:r>
        <w:rPr>
          <w:rFonts w:hint="default" w:ascii="宋体" w:hAnsi="Courier New" w:eastAsia="宋体" w:cs="Times New Roman"/>
          <w:highlight w:val="yellow"/>
          <w:u w:val="single"/>
          <w:lang w:val="en-US" w:eastAsia="zh-CN"/>
        </w:rPr>
        <w:t>（北京时间）</w:t>
      </w:r>
      <w:r>
        <w:rPr>
          <w:rFonts w:hint="eastAsia" w:cs="Times New Roman"/>
          <w:highlight w:val="none"/>
          <w:u w:val="single"/>
          <w:lang w:val="en-US" w:eastAsia="zh-CN"/>
        </w:rPr>
        <w:t>；</w:t>
      </w:r>
    </w:p>
    <w:p w14:paraId="3A25E318">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eastAsia" w:cs="Times New Roman"/>
          <w:highlight w:val="none"/>
          <w:lang w:val="en-US" w:eastAsia="zh-CN"/>
        </w:rPr>
      </w:pPr>
      <w:r>
        <w:rPr>
          <w:rFonts w:hint="eastAsia" w:cs="Times New Roman"/>
          <w:highlight w:val="none"/>
          <w:lang w:val="en-US" w:eastAsia="zh-CN"/>
        </w:rPr>
        <w:t>提交</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：将答疑问题以word文件格式发送至技术联系人邮箱内，并电话联系工作人员查收，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邮件名格式为：XXX公司（五个字以内公司简称）XX项目答疑文件。同时必须在邮件中以文字方式提供投标人全称、投标授权人姓名、联系方式（固定电话、手机、电子邮箱），并提供附件1法定代表人授权委托书。</w:t>
      </w:r>
    </w:p>
    <w:p w14:paraId="36DE29D2">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w:t>
      </w:r>
      <w:r>
        <w:rPr>
          <w:rFonts w:hint="eastAsia" w:cs="Times New Roman"/>
          <w:highlight w:val="none"/>
          <w:lang w:val="en-US" w:eastAsia="zh-CN"/>
        </w:rPr>
        <w:t>的获取</w:t>
      </w:r>
    </w:p>
    <w:p w14:paraId="2CF88460">
      <w:pPr>
        <w:pStyle w:val="76"/>
        <w:keepNext w:val="0"/>
        <w:keepLines w:val="0"/>
        <w:pageBreakBefore w:val="0"/>
        <w:widowControl w:val="0"/>
        <w:numPr>
          <w:ilvl w:val="1"/>
          <w:numId w:val="14"/>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cyan"/>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9月12日</w:t>
      </w:r>
      <w:r>
        <w:rPr>
          <w:rFonts w:hint="default" w:ascii="宋体" w:hAnsi="Courier New" w:eastAsia="宋体" w:cs="Times New Roman"/>
          <w:highlight w:val="yellow"/>
          <w:u w:val="single"/>
          <w:lang w:val="en-US" w:eastAsia="zh-CN"/>
        </w:rPr>
        <w:t>17:00</w:t>
      </w:r>
      <w:r>
        <w:rPr>
          <w:rFonts w:hint="eastAsia" w:ascii="宋体" w:hAnsi="Courier New" w:eastAsia="宋体" w:cs="Times New Roman"/>
          <w:highlight w:val="yellow"/>
          <w:u w:val="single"/>
          <w:lang w:val="en-US" w:eastAsia="zh-CN"/>
        </w:rPr>
        <w:t>前</w:t>
      </w:r>
      <w:r>
        <w:rPr>
          <w:rFonts w:hint="eastAsia" w:cs="Times New Roman"/>
          <w:highlight w:val="yellow"/>
          <w:u w:val="single"/>
          <w:lang w:val="en-US" w:eastAsia="zh-CN"/>
        </w:rPr>
        <w:t>；</w:t>
      </w:r>
    </w:p>
    <w:p w14:paraId="68A68683">
      <w:pPr>
        <w:pStyle w:val="76"/>
        <w:keepNext w:val="0"/>
        <w:keepLines w:val="0"/>
        <w:pageBreakBefore w:val="0"/>
        <w:widowControl w:val="0"/>
        <w:numPr>
          <w:ilvl w:val="1"/>
          <w:numId w:val="14"/>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cyan"/>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方式：招标人将以电子邮件的方式将招标文件的答疑澄清文件发送至答疑文件提交时登记的电子邮箱。</w:t>
      </w:r>
    </w:p>
    <w:p w14:paraId="6618D95B">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3FEE1DDB">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lang w:val="en-US" w:eastAsia="zh-CN"/>
        </w:rPr>
      </w:pPr>
      <w:r>
        <w:rPr>
          <w:rFonts w:hint="eastAsia" w:ascii="黑体" w:hAnsi="黑体" w:eastAsia="黑体" w:cs="黑体"/>
          <w:b w:val="0"/>
          <w:sz w:val="24"/>
          <w:szCs w:val="24"/>
          <w:lang w:val="en-US" w:eastAsia="zh-CN"/>
        </w:rPr>
        <w:t>投标文件的组成</w:t>
      </w:r>
    </w:p>
    <w:p w14:paraId="07DEF033">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cs="Times New Roman"/>
          <w:highlight w:val="none"/>
          <w:lang w:val="en-US" w:eastAsia="zh-CN"/>
        </w:rPr>
      </w:pPr>
      <w:r>
        <w:rPr>
          <w:rFonts w:hint="default" w:cs="Times New Roman"/>
          <w:highlight w:val="none"/>
          <w:lang w:val="en-US" w:eastAsia="zh-CN"/>
        </w:rPr>
        <w:t>本项目投标文件分为纸质版投标文件</w:t>
      </w:r>
      <w:r>
        <w:rPr>
          <w:rFonts w:hint="eastAsia" w:cs="Times New Roman"/>
          <w:highlight w:val="none"/>
          <w:lang w:val="en-US" w:eastAsia="zh-CN"/>
        </w:rPr>
        <w:t>（</w:t>
      </w:r>
      <w:r>
        <w:rPr>
          <w:rFonts w:hint="default" w:cs="Times New Roman"/>
          <w:highlight w:val="none"/>
          <w:lang w:val="en-US" w:eastAsia="zh-CN"/>
        </w:rPr>
        <w:t>均需逐页加盖公章</w:t>
      </w:r>
      <w:r>
        <w:rPr>
          <w:rFonts w:hint="eastAsia" w:cs="Times New Roman"/>
          <w:highlight w:val="none"/>
          <w:lang w:val="en-US" w:eastAsia="zh-CN"/>
        </w:rPr>
        <w:t>）</w:t>
      </w:r>
      <w:r>
        <w:rPr>
          <w:rFonts w:hint="default" w:cs="Times New Roman"/>
          <w:highlight w:val="none"/>
          <w:lang w:val="en-US" w:eastAsia="zh-CN"/>
        </w:rPr>
        <w:t>和</w:t>
      </w:r>
      <w:r>
        <w:rPr>
          <w:rFonts w:hint="eastAsia" w:cs="Times New Roman"/>
          <w:highlight w:val="none"/>
          <w:lang w:val="en-US" w:eastAsia="zh-CN"/>
        </w:rPr>
        <w:t>盖章</w:t>
      </w:r>
      <w:r>
        <w:rPr>
          <w:rFonts w:hint="eastAsia" w:ascii="Times New Roman" w:hAnsi="Times New Roman" w:cs="Times New Roman"/>
          <w:color w:val="auto"/>
          <w:highlight w:val="none"/>
          <w:lang w:val="en-US" w:eastAsia="zh-CN"/>
        </w:rPr>
        <w:t>扫描</w:t>
      </w:r>
      <w:r>
        <w:rPr>
          <w:rFonts w:hint="eastAsia" w:cs="Times New Roman"/>
          <w:highlight w:val="none"/>
          <w:lang w:val="en-US" w:eastAsia="zh-CN"/>
        </w:rPr>
        <w:t>电子版投标文件</w:t>
      </w:r>
      <w:r>
        <w:rPr>
          <w:rFonts w:hint="default" w:cs="Times New Roman"/>
          <w:highlight w:val="none"/>
          <w:lang w:val="en-US" w:eastAsia="zh-CN"/>
        </w:rPr>
        <w:t>，均由《投标文件（资质标）》、《投标文件（技术标）》、《投标文件（商务标）》（开标一览表）文件组成，共计3个文件。</w:t>
      </w:r>
    </w:p>
    <w:p w14:paraId="42796905">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Times New Roman" w:hAnsi="Times New Roman" w:cs="Times New Roman"/>
          <w:color w:val="auto"/>
        </w:rPr>
      </w:pPr>
      <w:r>
        <w:rPr>
          <w:rFonts w:hint="eastAsia" w:ascii="黑体" w:hAnsi="黑体" w:eastAsia="黑体" w:cs="黑体"/>
          <w:b w:val="0"/>
          <w:bCs/>
          <w:sz w:val="21"/>
          <w:szCs w:val="21"/>
          <w:highlight w:val="none"/>
        </w:rPr>
        <w:t>资质文件</w:t>
      </w:r>
      <w:r>
        <w:rPr>
          <w:rFonts w:hint="eastAsia" w:ascii="黑体" w:hAnsi="黑体" w:eastAsia="黑体" w:cs="黑体"/>
          <w:b w:val="0"/>
          <w:bCs/>
          <w:sz w:val="21"/>
          <w:szCs w:val="21"/>
          <w:highlight w:val="none"/>
          <w:lang w:val="en-US" w:eastAsia="zh-CN"/>
        </w:rPr>
        <w:t xml:space="preserve"> </w:t>
      </w:r>
    </w:p>
    <w:p w14:paraId="01A55326">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rPr>
      </w:pPr>
      <w:r>
        <w:rPr>
          <w:rFonts w:hint="eastAsia" w:ascii="Times New Roman" w:hAnsi="Times New Roman" w:cs="Times New Roman"/>
          <w:color w:val="auto"/>
        </w:rPr>
        <w:t>具有统一社会信用代码的新版营业执照副本原件</w:t>
      </w:r>
      <w:r>
        <w:rPr>
          <w:rFonts w:hint="eastAsia" w:ascii="Times New Roman" w:hAnsi="Times New Roman" w:cs="Times New Roman"/>
          <w:color w:val="auto"/>
          <w:lang w:val="en-US" w:eastAsia="zh-CN"/>
        </w:rPr>
        <w:t>或复印件</w:t>
      </w:r>
      <w:r>
        <w:rPr>
          <w:rFonts w:hint="eastAsia" w:ascii="Times New Roman" w:hAnsi="Times New Roman" w:cs="Times New Roman"/>
          <w:color w:val="auto"/>
        </w:rPr>
        <w:t>（加盖公章）；</w:t>
      </w:r>
    </w:p>
    <w:p w14:paraId="7CBD7F9A">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rPr>
      </w:pPr>
      <w:r>
        <w:rPr>
          <w:rFonts w:hint="default" w:ascii="Times New Roman" w:hAnsi="Times New Roman" w:cs="Times New Roman"/>
          <w:color w:val="auto"/>
        </w:rPr>
        <w:t>法定代表人授权书（</w:t>
      </w:r>
      <w:r>
        <w:rPr>
          <w:rFonts w:hint="default" w:ascii="Times New Roman" w:hAnsi="Times New Roman" w:cs="Times New Roman"/>
          <w:color w:val="auto"/>
          <w:highlight w:val="none"/>
        </w:rPr>
        <w:t>附件</w:t>
      </w:r>
      <w:r>
        <w:rPr>
          <w:rFonts w:hint="eastAsia" w:ascii="Times New Roman" w:hAnsi="Times New Roman" w:cs="Times New Roman"/>
          <w:color w:val="auto"/>
          <w:highlight w:val="none"/>
          <w:lang w:val="en-US" w:eastAsia="zh-CN"/>
        </w:rPr>
        <w:t>1</w:t>
      </w:r>
      <w:r>
        <w:rPr>
          <w:rFonts w:hint="default" w:ascii="Times New Roman" w:hAnsi="Times New Roman" w:cs="Times New Roman"/>
          <w:color w:val="auto"/>
        </w:rPr>
        <w:t>）；法定代表人参加投标的，提供法人身份证明</w:t>
      </w:r>
      <w:r>
        <w:rPr>
          <w:rFonts w:hint="eastAsia"/>
        </w:rPr>
        <w:t>复印件</w:t>
      </w:r>
      <w:r>
        <w:rPr>
          <w:rFonts w:hint="default" w:ascii="Times New Roman" w:hAnsi="Times New Roman" w:cs="Times New Roman"/>
          <w:color w:val="auto"/>
        </w:rPr>
        <w:t>；被授权人参加投标的，需提供法定代表人授权委托书（含法人身份证和被授权人身份证正反面复印件）</w:t>
      </w:r>
      <w:r>
        <w:rPr>
          <w:rFonts w:hint="default" w:ascii="Times New Roman" w:hAnsi="Times New Roman" w:cs="Times New Roman"/>
          <w:color w:val="auto"/>
          <w:lang w:val="en-US" w:eastAsia="zh-CN"/>
        </w:rPr>
        <w:t>和</w:t>
      </w:r>
      <w:r>
        <w:rPr>
          <w:rFonts w:hint="default" w:ascii="Times New Roman" w:hAnsi="Times New Roman" w:cs="Times New Roman"/>
          <w:color w:val="auto"/>
        </w:rPr>
        <w:t>被授权人近</w:t>
      </w:r>
      <w:r>
        <w:rPr>
          <w:rFonts w:hint="default" w:ascii="Times New Roman" w:hAnsi="Times New Roman" w:cs="Times New Roman"/>
          <w:color w:val="auto"/>
          <w:lang w:val="en-US" w:eastAsia="zh-CN"/>
        </w:rPr>
        <w:t>6</w:t>
      </w:r>
      <w:r>
        <w:rPr>
          <w:rFonts w:hint="default" w:ascii="Times New Roman" w:hAnsi="Times New Roman" w:cs="Times New Roman"/>
          <w:color w:val="auto"/>
        </w:rPr>
        <w:t>个月</w:t>
      </w:r>
      <w:r>
        <w:rPr>
          <w:rFonts w:hint="default" w:ascii="Times New Roman" w:hAnsi="Times New Roman" w:cs="Times New Roman"/>
          <w:color w:val="auto"/>
          <w:lang w:val="en-US" w:eastAsia="zh-CN"/>
        </w:rPr>
        <w:t>及以上在授权单位的社保</w:t>
      </w:r>
      <w:r>
        <w:rPr>
          <w:rFonts w:hint="default" w:ascii="Times New Roman" w:hAnsi="Times New Roman" w:cs="Times New Roman"/>
          <w:color w:val="auto"/>
        </w:rPr>
        <w:t>缴纳证明</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需加盖公章</w:t>
      </w:r>
      <w:r>
        <w:rPr>
          <w:rFonts w:hint="eastAsia" w:ascii="Times New Roman" w:hAnsi="Times New Roman" w:cs="Times New Roman"/>
          <w:color w:val="auto"/>
          <w:lang w:eastAsia="zh-CN"/>
        </w:rPr>
        <w:t>）；</w:t>
      </w:r>
    </w:p>
    <w:p w14:paraId="63A990CE">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投标人提供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7885FE9C">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rPr>
      </w:pPr>
      <w:r>
        <w:rPr>
          <w:rFonts w:hint="eastAsia" w:ascii="Times New Roman" w:hAnsi="Times New Roman" w:cs="Times New Roman"/>
          <w:color w:val="auto"/>
          <w:lang w:val="en-US" w:eastAsia="zh-CN"/>
        </w:rPr>
        <w:t>企业最近半年完税证明、信用证明材料（征信报告）；</w:t>
      </w:r>
    </w:p>
    <w:p w14:paraId="1CDE7CCC">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年度纳税信用评价信息（可从电子税务局查询截图，需加盖公章）；</w:t>
      </w:r>
    </w:p>
    <w:p w14:paraId="7667A0A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default" w:ascii="Times New Roman" w:hAnsi="Times New Roman" w:cs="Times New Roman"/>
          <w:color w:val="auto"/>
        </w:rPr>
      </w:pPr>
      <w:r>
        <w:rPr>
          <w:rFonts w:hint="eastAsia" w:ascii="Times New Roman" w:hAnsi="Times New Roman" w:cs="Times New Roman"/>
          <w:color w:val="auto"/>
          <w:lang w:val="en-US" w:eastAsia="zh-CN"/>
        </w:rPr>
        <w:t>企业对外担保说明（写明贵单位对外有无对外担保和质押业务，需加盖公章）；</w:t>
      </w:r>
    </w:p>
    <w:p w14:paraId="732D5C2E">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default" w:ascii="Times New Roman" w:hAnsi="Times New Roman" w:cs="Times New Roman"/>
          <w:color w:val="auto"/>
          <w:lang w:val="en-US" w:eastAsia="zh-CN"/>
        </w:rPr>
        <w:t>投标人在国家企业信用信息公示系统中无与本项目有关的行政处罚、经营异常和失信信息的声明（附投标当日系统内相关截图）</w:t>
      </w:r>
      <w:r>
        <w:rPr>
          <w:rFonts w:hint="eastAsia" w:ascii="Times New Roman" w:hAnsi="Times New Roman" w:cs="Times New Roman"/>
          <w:color w:val="auto"/>
          <w:lang w:val="en-US" w:eastAsia="zh-CN"/>
        </w:rPr>
        <w:t>；</w:t>
      </w:r>
    </w:p>
    <w:p w14:paraId="03E1B8D1">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设备所安装的操作系统及系统开发的软件均为正版，投标人是系统软件的所有权人或已获知识产权所有权人的正式授权，对该系统软件拥有合法的知识产权或具有合法的来源的相关证明材料；</w:t>
      </w:r>
    </w:p>
    <w:p w14:paraId="0EE5554B">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default" w:ascii="Times New Roman" w:hAnsi="Times New Roman" w:cs="Times New Roman"/>
          <w:color w:val="auto"/>
          <w:lang w:val="en-US" w:eastAsia="zh-CN"/>
        </w:rPr>
        <w:t>保密承诺函（</w:t>
      </w:r>
      <w:r>
        <w:rPr>
          <w:rFonts w:hint="default" w:ascii="Times New Roman" w:hAnsi="Times New Roman" w:cs="Times New Roman"/>
          <w:color w:val="auto"/>
          <w:highlight w:val="none"/>
          <w:lang w:val="en-US" w:eastAsia="zh-CN"/>
        </w:rPr>
        <w:t>附件</w:t>
      </w:r>
      <w:r>
        <w:rPr>
          <w:rFonts w:hint="eastAsia" w:ascii="Times New Roman" w:hAnsi="Times New Roman" w:cs="Times New Roman"/>
          <w:color w:val="auto"/>
          <w:highlight w:val="none"/>
          <w:lang w:val="en-US" w:eastAsia="zh-CN"/>
        </w:rPr>
        <w:t>2</w:t>
      </w:r>
      <w:r>
        <w:rPr>
          <w:rFonts w:hint="default" w:ascii="Times New Roman" w:hAnsi="Times New Roman" w:cs="Times New Roman"/>
          <w:color w:val="auto"/>
          <w:lang w:val="en-US" w:eastAsia="zh-CN"/>
        </w:rPr>
        <w:t>，需盖章）</w:t>
      </w:r>
      <w:r>
        <w:rPr>
          <w:rFonts w:hint="eastAsia" w:ascii="Times New Roman" w:hAnsi="Times New Roman" w:cs="Times New Roman"/>
          <w:color w:val="auto"/>
          <w:lang w:val="en-US" w:eastAsia="zh-CN"/>
        </w:rPr>
        <w:t>；</w:t>
      </w:r>
    </w:p>
    <w:p w14:paraId="4900CCCB">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ascii="Arial" w:hAnsi="Arial" w:cs="Arial"/>
          <w:color w:val="333333"/>
          <w:szCs w:val="21"/>
          <w:shd w:val="clear" w:color="auto" w:fill="FFFFFF"/>
        </w:rPr>
        <w:t>类似业绩</w:t>
      </w:r>
      <w:r>
        <w:rPr>
          <w:rFonts w:hint="default" w:ascii="宋体" w:hAnsi="宋体" w:eastAsia="宋体" w:cs="Times New Roman"/>
          <w:b w:val="0"/>
          <w:bCs/>
          <w:lang w:val="en-US" w:eastAsia="zh-CN"/>
        </w:rPr>
        <w:t>证明</w:t>
      </w:r>
      <w:r>
        <w:rPr>
          <w:rFonts w:hint="eastAsia" w:hAnsi="宋体" w:cs="Times New Roman"/>
          <w:b w:val="0"/>
          <w:bCs/>
          <w:lang w:val="en-US" w:eastAsia="zh-CN"/>
        </w:rPr>
        <w:t>（注明汇总金额）</w:t>
      </w:r>
      <w:r>
        <w:rPr>
          <w:rFonts w:hint="default" w:ascii="宋体" w:hAnsi="宋体" w:eastAsia="宋体" w:cs="Times New Roman"/>
          <w:b w:val="0"/>
          <w:bCs/>
          <w:lang w:val="en-US" w:eastAsia="zh-CN"/>
        </w:rPr>
        <w:t>，须提供用户清单、采购合同复印件</w:t>
      </w:r>
      <w:r>
        <w:rPr>
          <w:rFonts w:hint="eastAsia" w:cs="Times New Roman"/>
          <w:highlight w:val="none"/>
        </w:rPr>
        <w:t>；</w:t>
      </w:r>
    </w:p>
    <w:p w14:paraId="437364D7">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投标保证金缴纳凭证，同时正文描述付款账号、户名、开户行名称、开户行行号、保证金金额。</w:t>
      </w:r>
    </w:p>
    <w:p w14:paraId="4DFC4C76">
      <w:pPr>
        <w:pStyle w:val="76"/>
        <w:keepNext w:val="0"/>
        <w:keepLines w:val="0"/>
        <w:pageBreakBefore w:val="0"/>
        <w:widowControl w:val="0"/>
        <w:numPr>
          <w:ilvl w:val="0"/>
          <w:numId w:val="17"/>
        </w:numPr>
        <w:kinsoku/>
        <w:wordWrap/>
        <w:overflowPunct/>
        <w:topLinePunct w:val="0"/>
        <w:autoSpaceDE/>
        <w:autoSpaceDN/>
        <w:bidi w:val="0"/>
        <w:adjustRightInd/>
        <w:snapToGrid/>
        <w:spacing w:line="440" w:lineRule="exact"/>
        <w:ind w:left="0" w:leftChars="0" w:firstLine="422" w:firstLineChars="200"/>
        <w:textAlignment w:val="auto"/>
        <w:rPr>
          <w:b/>
          <w:bCs/>
          <w:color w:val="auto"/>
        </w:rPr>
      </w:pPr>
      <w:r>
        <w:rPr>
          <w:rFonts w:hint="eastAsia"/>
          <w:b/>
          <w:bCs/>
          <w:color w:val="auto"/>
        </w:rPr>
        <w:t>对于投标人资质审核不通过的，招标人有权拒绝其投标。</w:t>
      </w:r>
    </w:p>
    <w:p w14:paraId="1D71B1C2">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rPr>
      </w:pPr>
      <w:r>
        <w:rPr>
          <w:rFonts w:hint="eastAsia" w:ascii="黑体" w:hAnsi="黑体" w:eastAsia="黑体" w:cs="黑体"/>
          <w:b w:val="0"/>
          <w:bCs/>
          <w:sz w:val="21"/>
          <w:szCs w:val="21"/>
          <w:highlight w:val="none"/>
          <w:lang w:val="en-US" w:eastAsia="zh-CN"/>
        </w:rPr>
        <w:t>技术标</w:t>
      </w:r>
    </w:p>
    <w:p w14:paraId="7560762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技术配置对比表。</w:t>
      </w:r>
    </w:p>
    <w:p w14:paraId="30CB0343">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cyan"/>
          <w:lang w:val="en-US" w:eastAsia="zh-CN"/>
        </w:rPr>
      </w:pPr>
      <w:r>
        <w:rPr>
          <w:rFonts w:hint="eastAsia" w:cs="Times New Roman"/>
          <w:highlight w:val="none"/>
          <w:lang w:val="en-US" w:eastAsia="zh-CN"/>
        </w:rPr>
        <w:t>投标设备配置明细表，列明项目设备分项配置规格型号、品牌等信息（要求与分项报价表完全对应），但注意：</w:t>
      </w:r>
      <w:r>
        <w:rPr>
          <w:rFonts w:hint="eastAsia" w:cs="Times New Roman"/>
          <w:b/>
          <w:bCs/>
          <w:highlight w:val="none"/>
          <w:lang w:val="en-US" w:eastAsia="zh-CN"/>
        </w:rPr>
        <w:t>此表在技术标书中，禁止出现任何分项价格及项目总价</w:t>
      </w:r>
      <w:r>
        <w:rPr>
          <w:rFonts w:hint="eastAsia" w:cs="Times New Roman"/>
          <w:highlight w:val="none"/>
          <w:lang w:val="en-US" w:eastAsia="zh-CN"/>
        </w:rPr>
        <w:t>；</w:t>
      </w:r>
    </w:p>
    <w:p w14:paraId="0521796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技术规格偏离表（附件3）；</w:t>
      </w:r>
    </w:p>
    <w:p w14:paraId="0BBB189F">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技术性能、参数的描述； </w:t>
      </w:r>
    </w:p>
    <w:p w14:paraId="4A4F4299">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类似业绩（签订日期为</w:t>
      </w:r>
      <w:r>
        <w:rPr>
          <w:rFonts w:hint="eastAsia" w:cs="Times New Roman"/>
          <w:highlight w:val="yellow"/>
          <w:lang w:val="en-US" w:eastAsia="zh-CN"/>
        </w:rPr>
        <w:t>2023</w:t>
      </w:r>
      <w:r>
        <w:rPr>
          <w:rFonts w:hint="eastAsia" w:cs="Times New Roman"/>
          <w:highlight w:val="none"/>
          <w:lang w:val="en-US" w:eastAsia="zh-CN"/>
        </w:rPr>
        <w:t>年1月1日至今）；</w:t>
      </w:r>
    </w:p>
    <w:p w14:paraId="57A06422">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评分标准或“第二部分 技术要求”要求的其他内容。 </w:t>
      </w:r>
    </w:p>
    <w:p w14:paraId="2054A40A">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商务标</w:t>
      </w:r>
    </w:p>
    <w:p w14:paraId="234ECEBA">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开标一览表（附件4）</w:t>
      </w:r>
      <w:r>
        <w:rPr>
          <w:rFonts w:hint="eastAsia" w:cs="Times New Roman"/>
          <w:highlight w:val="none"/>
        </w:rPr>
        <w:t>；</w:t>
      </w:r>
    </w:p>
    <w:p w14:paraId="461DFE79">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投标函（附件</w:t>
      </w:r>
      <w:r>
        <w:rPr>
          <w:rFonts w:hint="eastAsia" w:cs="Times New Roman"/>
          <w:highlight w:val="none"/>
          <w:lang w:val="en-US" w:eastAsia="zh-CN"/>
        </w:rPr>
        <w:t>5</w:t>
      </w:r>
      <w:r>
        <w:rPr>
          <w:rFonts w:hint="eastAsia" w:cs="Times New Roman"/>
          <w:highlight w:val="none"/>
        </w:rPr>
        <w:t>）；</w:t>
      </w:r>
    </w:p>
    <w:p w14:paraId="0D28C8E4">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服务承诺函（附件6）</w:t>
      </w:r>
      <w:r>
        <w:rPr>
          <w:rFonts w:hint="eastAsia"/>
        </w:rPr>
        <w:t>投标人须负责提供合理的便于运输的包装物，并承担相关费用；投标人须认可招标人的工作指令，包括节、假日能正常开展工作的要求；</w:t>
      </w:r>
    </w:p>
    <w:p w14:paraId="4D7AA02F">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商务条款偏离表（附件</w:t>
      </w:r>
      <w:r>
        <w:rPr>
          <w:rFonts w:hint="eastAsia" w:cs="Times New Roman"/>
          <w:highlight w:val="none"/>
          <w:lang w:val="en-US" w:eastAsia="zh-CN"/>
        </w:rPr>
        <w:t>7</w:t>
      </w:r>
      <w:r>
        <w:rPr>
          <w:rFonts w:hint="eastAsia" w:cs="Times New Roman"/>
          <w:highlight w:val="none"/>
        </w:rPr>
        <w:t>）；</w:t>
      </w:r>
    </w:p>
    <w:p w14:paraId="74F0E3E0">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cyan"/>
          <w:lang w:val="en-US" w:eastAsia="zh-CN"/>
        </w:rPr>
      </w:pPr>
      <w:r>
        <w:rPr>
          <w:rFonts w:hint="eastAsia" w:cs="Times New Roman"/>
          <w:highlight w:val="none"/>
        </w:rPr>
        <w:t>分项报价表（附件</w:t>
      </w:r>
      <w:r>
        <w:rPr>
          <w:rFonts w:hint="eastAsia" w:cs="Times New Roman"/>
          <w:highlight w:val="none"/>
          <w:lang w:val="en-US" w:eastAsia="zh-CN"/>
        </w:rPr>
        <w:t>8</w:t>
      </w:r>
      <w:r>
        <w:rPr>
          <w:rFonts w:hint="eastAsia" w:cs="Times New Roman"/>
          <w:highlight w:val="none"/>
        </w:rPr>
        <w:t>）；</w:t>
      </w:r>
    </w:p>
    <w:p w14:paraId="37D0AA9B">
      <w:pPr>
        <w:pStyle w:val="76"/>
        <w:keepNext w:val="0"/>
        <w:keepLines w:val="0"/>
        <w:pageBreakBefore w:val="0"/>
        <w:widowControl w:val="0"/>
        <w:numPr>
          <w:ilvl w:val="0"/>
          <w:numId w:val="17"/>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b w:val="0"/>
          <w:bCs w:val="0"/>
          <w:highlight w:val="yellow"/>
          <w:lang w:val="en-US" w:eastAsia="zh-CN"/>
        </w:rPr>
      </w:pPr>
      <w:r>
        <w:rPr>
          <w:rFonts w:hint="eastAsia" w:cs="Times New Roman"/>
          <w:b w:val="0"/>
          <w:bCs w:val="0"/>
          <w:highlight w:val="none"/>
          <w:lang w:val="en-US" w:eastAsia="zh-CN"/>
        </w:rPr>
        <w:t>商务报价注意内容：</w:t>
      </w:r>
      <w:r>
        <w:rPr>
          <w:rFonts w:hint="eastAsia" w:cs="Times New Roman"/>
          <w:b w:val="0"/>
          <w:bCs w:val="0"/>
          <w:highlight w:val="yellow"/>
        </w:rPr>
        <w:t>最高投标限价（招标控制价）：人民币</w:t>
      </w:r>
      <w:r>
        <w:rPr>
          <w:rFonts w:hint="eastAsia" w:cs="Times New Roman"/>
          <w:b w:val="0"/>
          <w:bCs w:val="0"/>
          <w:highlight w:val="yellow"/>
          <w:lang w:val="en-US" w:eastAsia="zh-CN"/>
        </w:rPr>
        <w:t>38.76</w:t>
      </w:r>
      <w:r>
        <w:rPr>
          <w:rFonts w:hint="eastAsia" w:cs="Times New Roman"/>
          <w:b w:val="0"/>
          <w:bCs w:val="0"/>
          <w:highlight w:val="yellow"/>
        </w:rPr>
        <w:t>万元（含税），超过投标限价无法投标。</w:t>
      </w:r>
    </w:p>
    <w:p w14:paraId="4E86338E">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sz w:val="21"/>
          <w:szCs w:val="21"/>
          <w:highlight w:val="none"/>
          <w:lang w:val="en-US" w:eastAsia="zh-CN"/>
        </w:rPr>
      </w:pPr>
      <w:r>
        <w:rPr>
          <w:rFonts w:hint="eastAsia" w:ascii="黑体" w:hAnsi="黑体" w:eastAsia="黑体" w:cs="黑体"/>
          <w:b w:val="0"/>
          <w:sz w:val="24"/>
          <w:szCs w:val="24"/>
          <w:highlight w:val="none"/>
          <w:lang w:val="en-US" w:eastAsia="zh-CN"/>
        </w:rPr>
        <w:t>投标文件的</w:t>
      </w:r>
      <w:r>
        <w:rPr>
          <w:rFonts w:hint="eastAsia" w:hAnsi="黑体" w:cs="黑体"/>
          <w:b w:val="0"/>
          <w:sz w:val="24"/>
          <w:szCs w:val="24"/>
          <w:highlight w:val="none"/>
          <w:lang w:val="en-US" w:eastAsia="zh-CN"/>
        </w:rPr>
        <w:t>装订</w:t>
      </w:r>
      <w:r>
        <w:rPr>
          <w:rFonts w:hint="eastAsia" w:ascii="黑体" w:hAnsi="黑体" w:eastAsia="黑体" w:cs="黑体"/>
          <w:b w:val="0"/>
          <w:sz w:val="24"/>
          <w:szCs w:val="24"/>
          <w:highlight w:val="none"/>
          <w:lang w:val="en-US" w:eastAsia="zh-CN"/>
        </w:rPr>
        <w:t>、密封</w:t>
      </w:r>
    </w:p>
    <w:p w14:paraId="6772EC75">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装订要求</w:t>
      </w:r>
    </w:p>
    <w:p w14:paraId="2581CC4C">
      <w:pPr>
        <w:pStyle w:val="76"/>
        <w:keepNext w:val="0"/>
        <w:keepLines w:val="0"/>
        <w:pageBreakBefore w:val="0"/>
        <w:widowControl w:val="0"/>
        <w:numPr>
          <w:ilvl w:val="0"/>
          <w:numId w:val="0"/>
        </w:numPr>
        <w:kinsoku/>
        <w:wordWrap/>
        <w:overflowPunct/>
        <w:topLinePunct w:val="0"/>
        <w:autoSpaceDE/>
        <w:autoSpaceDN/>
        <w:bidi w:val="0"/>
        <w:adjustRightInd/>
        <w:snapToGrid/>
        <w:spacing w:afterAutospacing="0" w:line="440" w:lineRule="exact"/>
        <w:ind w:leftChars="0" w:firstLine="420" w:firstLineChars="200"/>
        <w:textAlignment w:val="auto"/>
        <w:outlineLvl w:val="9"/>
        <w:rPr>
          <w:rFonts w:hint="eastAsia" w:ascii="宋体" w:hAnsi="宋体" w:eastAsia="宋体" w:cs="宋体"/>
          <w:i w:val="0"/>
          <w:iCs w:val="0"/>
          <w:caps w:val="0"/>
          <w:color w:val="0F1115"/>
          <w:spacing w:val="0"/>
          <w:sz w:val="21"/>
          <w:szCs w:val="21"/>
          <w:shd w:val="clear" w:fill="FFFFFF"/>
          <w:lang w:val="en-US" w:eastAsia="zh-CN"/>
        </w:rPr>
      </w:pPr>
      <w:r>
        <w:rPr>
          <w:rFonts w:hint="eastAsia" w:ascii="宋体" w:hAnsi="宋体" w:eastAsia="宋体" w:cs="宋体"/>
          <w:i w:val="0"/>
          <w:iCs w:val="0"/>
          <w:caps w:val="0"/>
          <w:color w:val="0F1115"/>
          <w:spacing w:val="0"/>
          <w:sz w:val="21"/>
          <w:szCs w:val="21"/>
          <w:shd w:val="clear" w:fill="FFFFFF"/>
        </w:rPr>
        <w:t>投标文件须按招标文件规定的组成顺序装订成册，资格证明文件、技术标文件、商务标文件</w:t>
      </w:r>
      <w:r>
        <w:rPr>
          <w:rFonts w:hint="default" w:ascii="宋体" w:hAnsi="宋体" w:eastAsia="宋体" w:cs="宋体"/>
          <w:i w:val="0"/>
          <w:iCs w:val="0"/>
          <w:caps w:val="0"/>
          <w:color w:val="0F1115"/>
          <w:spacing w:val="0"/>
          <w:sz w:val="21"/>
          <w:szCs w:val="21"/>
          <w:shd w:val="clear" w:fill="FFFFFF"/>
        </w:rPr>
        <w:t>各自独立成册。每类文件的总册数不得超过两册。所有文件册须分别进行胶装，不得采用活页、散页形式。</w:t>
      </w:r>
    </w:p>
    <w:p w14:paraId="475ED35B">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纸质文件要求</w:t>
      </w:r>
    </w:p>
    <w:p w14:paraId="66F169CB">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投标文件正面封皮应标明投标人单位名称、地址，并在单位名称处加盖公章，详见附件10。</w:t>
      </w:r>
    </w:p>
    <w:p w14:paraId="222BD920">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资质标书、技术标书、商务标书：均须提供一式3份，包括正本1份、副本2份，正、副本均须在封面显著位置明确标注“正本”或“副本”字样。保证正本与副本的内容一致。若正本与副本内容不一致，以正本为准。</w:t>
      </w:r>
    </w:p>
    <w:p w14:paraId="16405799">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开标一览表，另外单独提供1份。</w:t>
      </w:r>
    </w:p>
    <w:p w14:paraId="7D7024FD">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电子文件要求</w:t>
      </w:r>
    </w:p>
    <w:p w14:paraId="071D460A">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U盘存储版：包含资格标文件、技术标文件、商务标文件的加盖公章的完整电子版文件1份。</w:t>
      </w:r>
    </w:p>
    <w:p w14:paraId="69203C93">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系统上传版：投标人须将加盖公章的完整电子标书（含资格、技术、商务标书）扫描件上传至“中国重汽e采通”平台。</w:t>
      </w:r>
      <w:r>
        <w:rPr>
          <w:rFonts w:hint="eastAsia" w:ascii="宋体" w:hAnsi="宋体" w:eastAsia="宋体" w:cs="宋体"/>
          <w:b w:val="0"/>
          <w:bCs w:val="0"/>
          <w:color w:val="auto"/>
          <w:sz w:val="21"/>
          <w:szCs w:val="21"/>
          <w:highlight w:val="none"/>
          <w:lang w:val="en-US" w:eastAsia="zh-CN"/>
        </w:rPr>
        <w:t>若</w:t>
      </w:r>
      <w:r>
        <w:rPr>
          <w:rFonts w:hint="eastAsia" w:ascii="宋体" w:hAnsi="宋体" w:eastAsia="宋体" w:cs="宋体"/>
          <w:b w:val="0"/>
          <w:bCs w:val="0"/>
          <w:i w:val="0"/>
          <w:iCs w:val="0"/>
          <w:caps w:val="0"/>
          <w:color w:val="0F1115"/>
          <w:spacing w:val="0"/>
          <w:sz w:val="21"/>
          <w:szCs w:val="21"/>
          <w:shd w:val="clear" w:fill="FFFFFF"/>
          <w:lang w:val="en-US" w:eastAsia="zh-CN"/>
        </w:rPr>
        <w:t>纸质版与电子版内容不一致，以系统上传的电子版为准。</w:t>
      </w:r>
    </w:p>
    <w:p w14:paraId="1857CAEE">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封装要求</w:t>
      </w:r>
    </w:p>
    <w:p w14:paraId="41EC5F96">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U盘须单独密封于一个袋内；</w:t>
      </w:r>
    </w:p>
    <w:p w14:paraId="0D6C0F9B">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资质、技术与商务投标书应分别单独包封。即：所有资质投标书（正副本）封装为一包，所有技术投标书（正副本）封装为一包，所有商务投标书（正副本）封装为一包，共三个包封；</w:t>
      </w:r>
    </w:p>
    <w:p w14:paraId="62D6CEE1">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开标一览表须单独密封于一个袋内。</w:t>
      </w:r>
    </w:p>
    <w:p w14:paraId="34BAC3BB">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lang w:val="en-US" w:eastAsia="zh-CN"/>
        </w:rPr>
      </w:pPr>
      <w:r>
        <w:rPr>
          <w:rFonts w:hint="eastAsia" w:ascii="黑体" w:hAnsi="黑体" w:eastAsia="黑体" w:cs="黑体"/>
          <w:b w:val="0"/>
          <w:sz w:val="24"/>
          <w:szCs w:val="24"/>
          <w:lang w:val="en-US" w:eastAsia="zh-CN"/>
        </w:rPr>
        <w:t>投标文件的投递</w:t>
      </w:r>
    </w:p>
    <w:p w14:paraId="73C09FD1">
      <w:pPr>
        <w:pStyle w:val="76"/>
        <w:keepNext w:val="0"/>
        <w:keepLines w:val="0"/>
        <w:pageBreakBefore w:val="0"/>
        <w:widowControl w:val="0"/>
        <w:numPr>
          <w:ilvl w:val="1"/>
          <w:numId w:val="15"/>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投标方式</w:t>
      </w:r>
    </w:p>
    <w:p w14:paraId="21E9CBEF">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在中国重汽e采通平台应标成功后，进入“供应商投标”环节：</w:t>
      </w:r>
    </w:p>
    <w:p w14:paraId="6CC927AF">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b/>
          <w:bCs/>
          <w:color w:val="auto"/>
          <w:lang w:val="en-US" w:eastAsia="zh-CN"/>
        </w:rPr>
      </w:pPr>
      <w:r>
        <w:rPr>
          <w:rFonts w:hint="eastAsia" w:ascii="Times New Roman" w:hAnsi="Times New Roman" w:cs="Times New Roman"/>
          <w:color w:val="auto"/>
          <w:lang w:val="en-US" w:eastAsia="zh-CN"/>
        </w:rPr>
        <w:t>投递盖章扫描版电子标书（包含资质标书、</w:t>
      </w:r>
      <w:r>
        <w:rPr>
          <w:rFonts w:hint="eastAsia" w:ascii="Times New Roman" w:hAnsi="Times New Roman" w:cs="Times New Roman"/>
          <w:color w:val="auto"/>
          <w:highlight w:val="none"/>
          <w:lang w:val="en-US" w:eastAsia="zh-CN"/>
        </w:rPr>
        <w:t>技术标书、</w:t>
      </w:r>
      <w:r>
        <w:rPr>
          <w:rFonts w:hint="eastAsia" w:ascii="Times New Roman" w:hAnsi="Times New Roman" w:cs="Times New Roman"/>
          <w:color w:val="auto"/>
          <w:lang w:val="en-US" w:eastAsia="zh-CN"/>
        </w:rPr>
        <w:t>商务标书）</w:t>
      </w:r>
      <w:r>
        <w:rPr>
          <w:rFonts w:hint="eastAsia" w:ascii="宋体" w:hAnsi="宋体" w:eastAsia="宋体" w:cs="宋体"/>
          <w:sz w:val="24"/>
          <w:szCs w:val="24"/>
        </w:rPr>
        <w:t>，</w:t>
      </w:r>
      <w:r>
        <w:rPr>
          <w:rFonts w:hint="eastAsia" w:ascii="Times New Roman" w:hAnsi="Times New Roman" w:cs="Times New Roman"/>
          <w:color w:val="auto"/>
          <w:lang w:val="en-US" w:eastAsia="zh-CN"/>
        </w:rPr>
        <w:t>用“公司名称+文件名称”命名。</w:t>
      </w:r>
      <w:r>
        <w:rPr>
          <w:rFonts w:hint="eastAsia" w:ascii="Times New Roman" w:hAnsi="Times New Roman" w:cs="Times New Roman"/>
          <w:b/>
          <w:bCs/>
          <w:color w:val="auto"/>
          <w:lang w:val="en-US" w:eastAsia="zh-CN"/>
        </w:rPr>
        <w:t>若逾期未在中国重汽e采通平台上传电子标书，即便递交了纸质版投标文件，一律视为无效投标。</w:t>
      </w:r>
    </w:p>
    <w:p w14:paraId="602B6D62">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2"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cs="Times New Roman"/>
          <w:b/>
          <w:bCs/>
          <w:color w:val="auto"/>
          <w:highlight w:val="none"/>
          <w:lang w:val="en-US" w:eastAsia="zh-CN"/>
        </w:rPr>
        <w:t>纸质版投标文件</w:t>
      </w:r>
      <w:r>
        <w:rPr>
          <w:rFonts w:hint="eastAsia" w:ascii="Times New Roman" w:hAnsi="Times New Roman" w:cs="Times New Roman"/>
          <w:b/>
          <w:bCs/>
          <w:color w:val="auto"/>
          <w:highlight w:val="none"/>
          <w:lang w:val="en-US" w:eastAsia="zh-CN"/>
        </w:rPr>
        <w:t>、U盘电子版由投标人在开标日前邮寄到</w:t>
      </w:r>
      <w:r>
        <w:rPr>
          <w:rFonts w:hint="default" w:ascii="Times New Roman" w:hAnsi="Times New Roman" w:cs="Times New Roman"/>
          <w:b/>
          <w:bCs/>
          <w:color w:val="auto"/>
          <w:highlight w:val="none"/>
          <w:lang w:val="en-US" w:eastAsia="zh-CN"/>
        </w:rPr>
        <w:t>指定地址</w:t>
      </w:r>
      <w:r>
        <w:rPr>
          <w:rFonts w:hint="eastAsia" w:ascii="Times New Roman" w:hAnsi="Times New Roman" w:cs="Times New Roman"/>
          <w:b/>
          <w:bCs/>
          <w:color w:val="auto"/>
          <w:highlight w:val="none"/>
          <w:lang w:val="en-US" w:eastAsia="zh-CN"/>
        </w:rPr>
        <w:t>；或由投标人自行带到开标现场，在开标时当场交予招标负责人。</w:t>
      </w:r>
    </w:p>
    <w:p w14:paraId="295BDBC5">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eastAsia" w:ascii="宋体" w:hAnsi="Courier New" w:eastAsia="宋体" w:cs="Times New Roman"/>
          <w:highlight w:val="none"/>
          <w:lang w:val="en-US" w:eastAsia="zh-CN"/>
        </w:rPr>
      </w:pPr>
      <w:r>
        <w:rPr>
          <w:rFonts w:hint="default" w:ascii="宋体" w:hAnsi="Courier New" w:eastAsia="宋体" w:cs="Times New Roman"/>
          <w:highlight w:val="none"/>
          <w:lang w:val="en-US" w:eastAsia="zh-CN"/>
        </w:rPr>
        <w:t>邮寄地址：</w:t>
      </w:r>
      <w:r>
        <w:rPr>
          <w:rFonts w:hint="eastAsia" w:hAnsi="Courier New" w:cs="Times New Roman"/>
          <w:highlight w:val="none"/>
          <w:lang w:val="en-US" w:eastAsia="zh-CN"/>
        </w:rPr>
        <w:t>山东省济南市槐荫区经十西路3100号重汽特种车公司</w:t>
      </w:r>
      <w:r>
        <w:rPr>
          <w:rFonts w:hint="eastAsia" w:ascii="宋体" w:hAnsi="Courier New" w:eastAsia="宋体" w:cs="Times New Roman"/>
          <w:highlight w:val="none"/>
          <w:lang w:val="en-US" w:eastAsia="zh-CN"/>
        </w:rPr>
        <w:t>；</w:t>
      </w:r>
    </w:p>
    <w:p w14:paraId="7168CD1C">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default" w:ascii="宋体" w:hAnsi="Courier New" w:eastAsia="宋体" w:cs="Times New Roman"/>
          <w:highlight w:val="none"/>
          <w:lang w:val="en-US" w:eastAsia="zh-CN"/>
        </w:rPr>
      </w:pPr>
      <w:r>
        <w:rPr>
          <w:rFonts w:hint="default" w:ascii="宋体" w:hAnsi="Courier New" w:eastAsia="宋体" w:cs="Times New Roman"/>
          <w:highlight w:val="none"/>
          <w:lang w:val="en-US" w:eastAsia="zh-CN"/>
        </w:rPr>
        <w:t>联系人及联系方式：</w:t>
      </w:r>
      <w:r>
        <w:rPr>
          <w:rFonts w:hint="eastAsia" w:cs="Times New Roman"/>
          <w:highlight w:val="none"/>
          <w:lang w:val="en-US" w:eastAsia="zh-CN"/>
        </w:rPr>
        <w:t>李苗13854132324</w:t>
      </w:r>
    </w:p>
    <w:p w14:paraId="283BB20C">
      <w:pPr>
        <w:pStyle w:val="76"/>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lang w:val="en-US" w:eastAsia="zh-CN"/>
        </w:rPr>
      </w:pPr>
      <w:r>
        <w:rPr>
          <w:rFonts w:hint="eastAsia"/>
          <w:lang w:val="en-US" w:eastAsia="zh-CN"/>
        </w:rPr>
        <w:t>投标文件</w:t>
      </w:r>
      <w:r>
        <w:rPr>
          <w:rFonts w:hint="eastAsia" w:ascii="宋体" w:hAnsi="Courier New" w:eastAsia="宋体" w:cs="Times New Roman"/>
          <w:highlight w:val="none"/>
          <w:lang w:val="en-US" w:eastAsia="zh-CN"/>
        </w:rPr>
        <w:t>递交</w:t>
      </w:r>
      <w:r>
        <w:rPr>
          <w:rFonts w:hint="eastAsia"/>
          <w:lang w:val="en-US" w:eastAsia="zh-CN"/>
        </w:rPr>
        <w:t>截止时间：</w:t>
      </w:r>
      <w:r>
        <w:rPr>
          <w:rFonts w:hint="eastAsia"/>
          <w:highlight w:val="yellow"/>
          <w:u w:val="single"/>
          <w:lang w:val="en-US" w:eastAsia="zh-CN"/>
        </w:rPr>
        <w:t>2026年9月17日17:00:00</w:t>
      </w:r>
      <w:r>
        <w:rPr>
          <w:rFonts w:hint="default"/>
          <w:highlight w:val="yellow"/>
          <w:u w:val="single"/>
          <w:lang w:val="en-US" w:eastAsia="zh-CN"/>
        </w:rPr>
        <w:t>（</w:t>
      </w:r>
      <w:r>
        <w:rPr>
          <w:rFonts w:hint="default" w:ascii="宋体" w:hAnsi="Courier New" w:eastAsia="宋体" w:cs="Times New Roman"/>
          <w:highlight w:val="yellow"/>
          <w:u w:val="single"/>
          <w:lang w:val="en-US" w:eastAsia="zh-CN"/>
        </w:rPr>
        <w:t>北京时间）</w:t>
      </w:r>
    </w:p>
    <w:p w14:paraId="4DD94439">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bookmarkStart w:id="5"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1CBBFAEC">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u w:val="single"/>
          <w:lang w:val="en-US" w:eastAsia="zh-CN"/>
        </w:rPr>
      </w:pPr>
      <w:r>
        <w:rPr>
          <w:rFonts w:hint="eastAsia" w:ascii="黑体" w:hAnsi="黑体" w:eastAsia="黑体" w:cs="黑体"/>
          <w:b w:val="0"/>
          <w:bCs w:val="0"/>
          <w:sz w:val="24"/>
          <w:szCs w:val="24"/>
          <w:highlight w:val="none"/>
        </w:rPr>
        <w:t>投标保证金的缴纳</w:t>
      </w:r>
    </w:p>
    <w:p w14:paraId="424E0393">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提交银行投标保函或从银行基本账户转账</w:t>
      </w:r>
    </w:p>
    <w:p w14:paraId="17F02680">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选择</w:t>
      </w:r>
      <w:r>
        <w:rPr>
          <w:rFonts w:hint="eastAsia" w:ascii="宋体" w:hAnsi="宋体" w:eastAsia="宋体" w:cs="宋体"/>
          <w:b w:val="0"/>
          <w:bCs w:val="0"/>
          <w:sz w:val="21"/>
          <w:szCs w:val="21"/>
          <w:highlight w:val="none"/>
        </w:rPr>
        <w:t>提交银行投标保函的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投标人，应在开标时提交投标保函正本，作为《投标文件》的一部分，该投标保函应是不可撤销的“见索即付”保函，保函有效期应满足投标有效期要求，</w:t>
      </w:r>
      <w:r>
        <w:rPr>
          <w:rFonts w:hint="eastAsia" w:ascii="宋体" w:hAnsi="宋体" w:eastAsia="宋体" w:cs="宋体"/>
          <w:b w:val="0"/>
          <w:bCs w:val="0"/>
          <w:sz w:val="21"/>
          <w:szCs w:val="21"/>
          <w:highlight w:val="none"/>
          <w:lang w:val="en-US" w:eastAsia="zh-CN"/>
        </w:rPr>
        <w:t>由招标人</w:t>
      </w:r>
      <w:r>
        <w:rPr>
          <w:rFonts w:hint="eastAsia" w:ascii="宋体" w:hAnsi="宋体" w:eastAsia="宋体" w:cs="宋体"/>
          <w:b w:val="0"/>
          <w:bCs w:val="0"/>
          <w:sz w:val="21"/>
          <w:szCs w:val="21"/>
          <w:highlight w:val="none"/>
        </w:rPr>
        <w:t>留存保函正本</w:t>
      </w:r>
      <w:r>
        <w:rPr>
          <w:rFonts w:hint="eastAsia" w:ascii="宋体" w:hAnsi="宋体" w:eastAsia="宋体" w:cs="宋体"/>
          <w:b w:val="0"/>
          <w:bCs w:val="0"/>
          <w:sz w:val="21"/>
          <w:szCs w:val="21"/>
          <w:highlight w:val="none"/>
          <w:lang w:eastAsia="zh-CN"/>
        </w:rPr>
        <w:t>。</w:t>
      </w:r>
    </w:p>
    <w:p w14:paraId="3A260CC1">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选择从银行基本账户转账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r>
        <w:rPr>
          <w:rFonts w:hint="eastAsia" w:hAnsi="宋体" w:cs="宋体"/>
          <w:b w:val="0"/>
          <w:bCs w:val="0"/>
          <w:sz w:val="21"/>
          <w:szCs w:val="21"/>
          <w:highlight w:val="none"/>
          <w:lang w:eastAsia="zh-CN"/>
        </w:rPr>
        <w:t>。</w:t>
      </w:r>
    </w:p>
    <w:p w14:paraId="3718397D">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highlight w:val="none"/>
          <w:lang w:val="en-US" w:eastAsia="zh-CN"/>
        </w:rPr>
      </w:pPr>
      <w:r>
        <w:rPr>
          <w:rFonts w:hint="eastAsia"/>
          <w:highlight w:val="none"/>
        </w:rPr>
        <w:t>投标保证金的金额：人民币</w:t>
      </w:r>
      <w:r>
        <w:rPr>
          <w:rFonts w:hint="eastAsia"/>
          <w:highlight w:val="none"/>
          <w:lang w:val="en-US" w:eastAsia="zh-CN"/>
        </w:rPr>
        <w:t>5000</w:t>
      </w:r>
      <w:r>
        <w:rPr>
          <w:rFonts w:hint="eastAsia"/>
          <w:highlight w:val="none"/>
        </w:rPr>
        <w:t>元</w:t>
      </w:r>
    </w:p>
    <w:p w14:paraId="2C259DE9">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 xml:space="preserve">开 户 行：中信银行济南舜耕支行 </w:t>
      </w:r>
    </w:p>
    <w:p w14:paraId="216D959F">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 xml:space="preserve">开户名称：中国重汽集团济南特种车有限公司 </w:t>
      </w:r>
    </w:p>
    <w:p w14:paraId="5E876793">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 xml:space="preserve">账    号：7372610182600060547 </w:t>
      </w:r>
    </w:p>
    <w:p w14:paraId="146D8AD8">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纳税人识别号：913701007806234860</w:t>
      </w:r>
    </w:p>
    <w:p w14:paraId="46C73B96">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 xml:space="preserve"> 转账附言：公司名称+项目名称+投标保证金。</w:t>
      </w:r>
    </w:p>
    <w:p w14:paraId="390C636C">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yellow"/>
        </w:rPr>
      </w:pPr>
      <w:r>
        <w:rPr>
          <w:rFonts w:hint="eastAsia" w:ascii="宋体" w:hAnsi="宋体" w:eastAsia="宋体" w:cs="宋体"/>
          <w:b w:val="0"/>
          <w:bCs w:val="0"/>
          <w:sz w:val="21"/>
          <w:szCs w:val="21"/>
          <w:highlight w:val="none"/>
        </w:rPr>
        <w:t>保证金缴纳</w:t>
      </w:r>
      <w:r>
        <w:rPr>
          <w:rFonts w:hint="eastAsia" w:cs="Times New Roman"/>
        </w:rPr>
        <w:t>截止</w:t>
      </w:r>
      <w:r>
        <w:rPr>
          <w:rFonts w:hint="eastAsia" w:ascii="宋体" w:hAnsi="宋体" w:eastAsia="宋体" w:cs="宋体"/>
          <w:b w:val="0"/>
          <w:bCs w:val="0"/>
          <w:sz w:val="21"/>
          <w:szCs w:val="21"/>
          <w:highlight w:val="none"/>
        </w:rPr>
        <w:t>时间：</w:t>
      </w:r>
      <w:r>
        <w:rPr>
          <w:rFonts w:hint="eastAsia" w:ascii="宋体" w:hAnsi="宋体" w:eastAsia="宋体" w:cs="宋体"/>
          <w:b w:val="0"/>
          <w:bCs w:val="0"/>
          <w:sz w:val="21"/>
          <w:szCs w:val="21"/>
          <w:highlight w:val="yellow"/>
        </w:rPr>
        <w:t>202</w:t>
      </w:r>
      <w:r>
        <w:rPr>
          <w:rFonts w:hint="eastAsia" w:hAnsi="宋体" w:cs="宋体"/>
          <w:b w:val="0"/>
          <w:bCs w:val="0"/>
          <w:sz w:val="21"/>
          <w:szCs w:val="21"/>
          <w:highlight w:val="yellow"/>
          <w:lang w:val="en-US" w:eastAsia="zh-CN"/>
        </w:rPr>
        <w:t>6</w:t>
      </w:r>
      <w:r>
        <w:rPr>
          <w:rFonts w:hint="eastAsia" w:ascii="宋体" w:hAnsi="宋体" w:eastAsia="宋体" w:cs="宋体"/>
          <w:b w:val="0"/>
          <w:bCs w:val="0"/>
          <w:sz w:val="21"/>
          <w:szCs w:val="21"/>
          <w:highlight w:val="yellow"/>
        </w:rPr>
        <w:t>年</w:t>
      </w:r>
      <w:r>
        <w:rPr>
          <w:rFonts w:hint="eastAsia" w:hAnsi="宋体" w:cs="宋体"/>
          <w:b w:val="0"/>
          <w:bCs w:val="0"/>
          <w:sz w:val="21"/>
          <w:szCs w:val="21"/>
          <w:highlight w:val="yellow"/>
          <w:lang w:val="en-US" w:eastAsia="zh-CN"/>
        </w:rPr>
        <w:t>9</w:t>
      </w:r>
      <w:r>
        <w:rPr>
          <w:rFonts w:hint="eastAsia" w:ascii="宋体" w:hAnsi="宋体" w:eastAsia="宋体" w:cs="宋体"/>
          <w:b w:val="0"/>
          <w:bCs w:val="0"/>
          <w:sz w:val="21"/>
          <w:szCs w:val="21"/>
          <w:highlight w:val="yellow"/>
        </w:rPr>
        <w:t>月</w:t>
      </w:r>
      <w:r>
        <w:rPr>
          <w:rFonts w:hint="eastAsia" w:hAnsi="宋体" w:cs="宋体"/>
          <w:b w:val="0"/>
          <w:bCs w:val="0"/>
          <w:sz w:val="21"/>
          <w:szCs w:val="21"/>
          <w:highlight w:val="yellow"/>
          <w:lang w:val="en-US" w:eastAsia="zh-CN"/>
        </w:rPr>
        <w:t>12</w:t>
      </w:r>
      <w:r>
        <w:rPr>
          <w:rFonts w:hint="eastAsia" w:ascii="宋体" w:hAnsi="宋体" w:eastAsia="宋体" w:cs="宋体"/>
          <w:b w:val="0"/>
          <w:bCs w:val="0"/>
          <w:sz w:val="21"/>
          <w:szCs w:val="21"/>
          <w:highlight w:val="yellow"/>
        </w:rPr>
        <w:t>日</w:t>
      </w:r>
      <w:r>
        <w:rPr>
          <w:rFonts w:hint="eastAsia" w:hAnsi="宋体" w:cs="宋体"/>
          <w:b w:val="0"/>
          <w:bCs w:val="0"/>
          <w:sz w:val="21"/>
          <w:szCs w:val="21"/>
          <w:highlight w:val="yellow"/>
          <w:lang w:val="en-US" w:eastAsia="zh-CN"/>
        </w:rPr>
        <w:t>17</w:t>
      </w:r>
      <w:r>
        <w:rPr>
          <w:rFonts w:hint="eastAsia"/>
          <w:highlight w:val="yellow"/>
          <w:u w:val="none"/>
          <w:lang w:val="en-US" w:eastAsia="zh-CN"/>
        </w:rPr>
        <w:t>:00:00</w:t>
      </w:r>
      <w:r>
        <w:rPr>
          <w:rFonts w:hint="default" w:ascii="宋体" w:hAnsi="Courier New" w:eastAsia="宋体" w:cs="Times New Roman"/>
          <w:highlight w:val="yellow"/>
          <w:u w:val="none"/>
          <w:lang w:val="en-US" w:eastAsia="zh-CN"/>
        </w:rPr>
        <w:t>（北京时间）</w:t>
      </w:r>
    </w:p>
    <w:p w14:paraId="35561B07">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对于没有中标的</w:t>
      </w:r>
      <w:r>
        <w:rPr>
          <w:rFonts w:hint="eastAsia" w:ascii="黑体" w:hAnsi="黑体" w:eastAsia="黑体" w:cs="黑体"/>
          <w:b w:val="0"/>
          <w:bCs w:val="0"/>
          <w:sz w:val="24"/>
          <w:szCs w:val="24"/>
          <w:highlight w:val="none"/>
          <w:lang w:eastAsia="zh-CN"/>
        </w:rPr>
        <w:t>投标人</w:t>
      </w:r>
      <w:r>
        <w:rPr>
          <w:rFonts w:hint="eastAsia" w:ascii="黑体" w:hAnsi="黑体" w:eastAsia="黑体" w:cs="黑体"/>
          <w:b w:val="0"/>
          <w:bCs w:val="0"/>
          <w:sz w:val="24"/>
          <w:szCs w:val="24"/>
          <w:highlight w:val="none"/>
        </w:rPr>
        <w:t>，投标保证金将于招标人内部完成中标人评审并确认最终中标人后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予以原路返还（无息）；对于中标方，投标保证金将在签订合同后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原路返还（无息）。</w:t>
      </w:r>
    </w:p>
    <w:p w14:paraId="29176843">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发生</w:t>
      </w:r>
      <w:r>
        <w:rPr>
          <w:rFonts w:hint="eastAsia" w:ascii="黑体" w:hAnsi="黑体" w:eastAsia="黑体" w:cs="黑体"/>
          <w:b w:val="0"/>
          <w:bCs w:val="0"/>
          <w:sz w:val="24"/>
          <w:szCs w:val="24"/>
          <w:highlight w:val="none"/>
          <w:lang w:val="en-US" w:eastAsia="zh-CN"/>
        </w:rPr>
        <w:t>以下</w:t>
      </w:r>
      <w:r>
        <w:rPr>
          <w:rFonts w:hint="eastAsia" w:ascii="黑体" w:hAnsi="黑体" w:eastAsia="黑体" w:cs="黑体"/>
          <w:b w:val="0"/>
          <w:bCs w:val="0"/>
          <w:sz w:val="24"/>
          <w:szCs w:val="24"/>
          <w:highlight w:val="none"/>
        </w:rPr>
        <w:t>情况时，有权没收保证金：</w:t>
      </w:r>
    </w:p>
    <w:p w14:paraId="5C1F6577">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ascii="宋体" w:hAnsi="宋体" w:eastAsia="宋体" w:cs="宋体"/>
          <w:b w:val="0"/>
          <w:bCs w:val="0"/>
          <w:szCs w:val="21"/>
          <w:highlight w:val="none"/>
        </w:rPr>
        <w:t>供</w:t>
      </w:r>
      <w:r>
        <w:rPr>
          <w:rFonts w:hint="eastAsia"/>
        </w:rPr>
        <w:t>应商在提交响应文件截止时间后撤回响应文件的；</w:t>
      </w:r>
    </w:p>
    <w:p w14:paraId="4EE76847">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供应商在响应文件中提供虚假材料的；</w:t>
      </w:r>
    </w:p>
    <w:p w14:paraId="27CE1808">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除因不可抗力或谈判文件、询价通知书认可的情形以外，成交供应商不与采购人签订合同的；</w:t>
      </w:r>
    </w:p>
    <w:p w14:paraId="1DFBEEC1">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供应商与采购人、其他供应商或者采购代理机构恶意串通、围标、陪标的；</w:t>
      </w:r>
    </w:p>
    <w:p w14:paraId="008D8287">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供应商有违约违规行为或被投诉、举报的，在调查处理期间，保证金暂不退还，待调查处理结束后按有关规定处理。</w:t>
      </w:r>
    </w:p>
    <w:p w14:paraId="1E4C7743">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截至开标前3天，投标人无正当理由、未以书面形式向招标人递交说明而在投标截止日不来投标的。</w:t>
      </w:r>
    </w:p>
    <w:p w14:paraId="5AE21F76">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自中标通知书发出之日起30日内，中标人无正当理由投标人无正当签订合同的；</w:t>
      </w:r>
    </w:p>
    <w:p w14:paraId="0AE4B48B">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仿宋_GB2312" w:cs="宋体"/>
          <w:b w:val="0"/>
          <w:bCs w:val="0"/>
          <w:szCs w:val="24"/>
          <w:highlight w:val="none"/>
          <w:lang w:val="en-US" w:eastAsia="zh-CN"/>
        </w:rPr>
      </w:pPr>
      <w:r>
        <w:rPr>
          <w:rFonts w:hint="eastAsia"/>
        </w:rPr>
        <w:t>采购文件规定</w:t>
      </w:r>
      <w:r>
        <w:rPr>
          <w:rFonts w:hint="eastAsia" w:ascii="宋体" w:hAnsi="宋体" w:eastAsia="宋体" w:cs="宋体"/>
          <w:b w:val="0"/>
          <w:bCs w:val="0"/>
          <w:szCs w:val="21"/>
          <w:highlight w:val="none"/>
        </w:rPr>
        <w:t>的其他情形</w:t>
      </w:r>
      <w:r>
        <w:rPr>
          <w:rFonts w:hint="eastAsia" w:ascii="宋体" w:hAnsi="宋体" w:eastAsia="宋体" w:cs="宋体"/>
          <w:b w:val="0"/>
          <w:bCs w:val="0"/>
          <w:szCs w:val="21"/>
          <w:highlight w:val="none"/>
          <w:lang w:eastAsia="zh-CN"/>
        </w:rPr>
        <w:t>。</w:t>
      </w:r>
    </w:p>
    <w:bookmarkEnd w:id="5"/>
    <w:p w14:paraId="2830FDC1">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开评标</w:t>
      </w:r>
    </w:p>
    <w:p w14:paraId="0B9D42EE">
      <w:pPr>
        <w:pStyle w:val="72"/>
        <w:keepNext w:val="0"/>
        <w:keepLines w:val="0"/>
        <w:pageBreakBefore w:val="0"/>
        <w:widowControl w:val="0"/>
        <w:numPr>
          <w:ilvl w:val="0"/>
          <w:numId w:val="21"/>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开标时间和地点</w:t>
      </w:r>
    </w:p>
    <w:p w14:paraId="082B93D9">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hAnsi="宋体" w:cs="宋体"/>
          <w:b w:val="0"/>
          <w:bCs w:val="0"/>
          <w:sz w:val="21"/>
          <w:szCs w:val="21"/>
          <w:highlight w:val="yellow"/>
          <w:lang w:val="en-US" w:eastAsia="zh-CN"/>
        </w:rPr>
        <w:t>2026年9</w:t>
      </w:r>
      <w:r>
        <w:rPr>
          <w:rFonts w:hint="eastAsia" w:ascii="宋体" w:hAnsi="宋体" w:eastAsia="宋体" w:cs="宋体"/>
          <w:b w:val="0"/>
          <w:bCs w:val="0"/>
          <w:sz w:val="21"/>
          <w:szCs w:val="21"/>
          <w:highlight w:val="yellow"/>
          <w:lang w:val="en-US" w:eastAsia="zh-CN"/>
        </w:rPr>
        <w:t>月</w:t>
      </w:r>
      <w:r>
        <w:rPr>
          <w:rFonts w:hint="eastAsia" w:hAnsi="宋体" w:cs="宋体"/>
          <w:b w:val="0"/>
          <w:bCs w:val="0"/>
          <w:sz w:val="21"/>
          <w:szCs w:val="21"/>
          <w:highlight w:val="yellow"/>
          <w:lang w:val="en-US" w:eastAsia="zh-CN"/>
        </w:rPr>
        <w:t>18</w:t>
      </w:r>
      <w:bookmarkStart w:id="33" w:name="_GoBack"/>
      <w:bookmarkEnd w:id="33"/>
      <w:r>
        <w:rPr>
          <w:rFonts w:hint="eastAsia" w:ascii="宋体" w:hAnsi="宋体" w:eastAsia="宋体" w:cs="宋体"/>
          <w:b w:val="0"/>
          <w:bCs w:val="0"/>
          <w:sz w:val="21"/>
          <w:szCs w:val="21"/>
          <w:highlight w:val="yellow"/>
          <w:lang w:val="en-US" w:eastAsia="zh-CN"/>
        </w:rPr>
        <w:t>日</w:t>
      </w:r>
      <w:r>
        <w:rPr>
          <w:rFonts w:hint="default" w:ascii="宋体" w:hAnsi="宋体" w:eastAsia="宋体" w:cs="宋体"/>
          <w:b w:val="0"/>
          <w:bCs w:val="0"/>
          <w:sz w:val="21"/>
          <w:szCs w:val="21"/>
          <w:highlight w:val="yellow"/>
          <w:lang w:val="en-US" w:eastAsia="zh-CN"/>
        </w:rPr>
        <w:t>9:00:00（北京时间）(暂定，以实际通知为准)</w:t>
      </w:r>
      <w:r>
        <w:rPr>
          <w:rFonts w:hint="default" w:ascii="宋体" w:hAnsi="宋体" w:eastAsia="宋体" w:cs="宋体"/>
          <w:b w:val="0"/>
          <w:bCs w:val="0"/>
          <w:sz w:val="21"/>
          <w:szCs w:val="21"/>
          <w:highlight w:val="none"/>
          <w:lang w:val="en-US" w:eastAsia="zh-CN"/>
        </w:rPr>
        <w:t>。</w:t>
      </w:r>
    </w:p>
    <w:p w14:paraId="53595D3C">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default" w:ascii="宋体" w:hAnsi="宋体" w:eastAsia="仿宋" w:cs="宋体"/>
          <w:b/>
          <w:bCs/>
          <w:sz w:val="21"/>
          <w:szCs w:val="21"/>
          <w:highlight w:val="none"/>
          <w:lang w:val="en-US" w:eastAsia="zh-CN"/>
        </w:rPr>
      </w:pPr>
      <w:r>
        <w:rPr>
          <w:rFonts w:hint="eastAsia" w:ascii="宋体" w:hAnsi="宋体" w:eastAsia="宋体" w:cs="宋体"/>
          <w:b w:val="0"/>
          <w:bCs w:val="0"/>
          <w:sz w:val="21"/>
          <w:szCs w:val="21"/>
          <w:highlight w:val="none"/>
          <w:lang w:val="en-US" w:eastAsia="zh-CN"/>
        </w:rPr>
        <w:t>开标地点：</w:t>
      </w:r>
      <w:r>
        <w:rPr>
          <w:rFonts w:hint="eastAsia" w:hAnsi="Courier New" w:cs="Times New Roman"/>
          <w:highlight w:val="none"/>
          <w:lang w:val="en-US" w:eastAsia="zh-CN"/>
        </w:rPr>
        <w:t>山东省济南市槐荫区经十西路3100号重汽特种车公司北楼</w:t>
      </w:r>
      <w:r>
        <w:rPr>
          <w:rFonts w:hint="eastAsia" w:hAnsi="Courier New" w:cs="Times New Roman"/>
          <w:highlight w:val="yellow"/>
          <w:lang w:val="en-US" w:eastAsia="zh-CN"/>
        </w:rPr>
        <w:t>208</w:t>
      </w:r>
      <w:r>
        <w:rPr>
          <w:rFonts w:hint="eastAsia" w:hAnsi="Courier New" w:cs="Times New Roman"/>
          <w:highlight w:val="none"/>
          <w:lang w:val="en-US" w:eastAsia="zh-CN"/>
        </w:rPr>
        <w:t>会议室</w:t>
      </w:r>
      <w:r>
        <w:rPr>
          <w:rFonts w:hint="eastAsia" w:ascii="宋体" w:hAnsi="宋体" w:eastAsia="宋体" w:cs="宋体"/>
          <w:b w:val="0"/>
          <w:bCs w:val="0"/>
          <w:sz w:val="21"/>
          <w:szCs w:val="21"/>
          <w:highlight w:val="none"/>
          <w:lang w:val="en-US" w:eastAsia="zh-CN"/>
        </w:rPr>
        <w:t xml:space="preserve"> </w:t>
      </w:r>
    </w:p>
    <w:p w14:paraId="56D98896">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color w:val="000000"/>
          <w:sz w:val="21"/>
          <w:szCs w:val="21"/>
          <w:highlight w:val="none"/>
          <w:u w:val="single"/>
        </w:rPr>
      </w:pPr>
      <w:r>
        <w:rPr>
          <w:rFonts w:hint="eastAsia" w:ascii="宋体" w:hAnsi="宋体" w:eastAsia="宋体" w:cs="宋体"/>
          <w:b w:val="0"/>
          <w:bCs w:val="0"/>
          <w:sz w:val="21"/>
          <w:szCs w:val="21"/>
          <w:highlight w:val="none"/>
          <w:lang w:val="en-US" w:eastAsia="zh-CN"/>
        </w:rPr>
        <w:t>开标方式：</w:t>
      </w:r>
      <w:r>
        <w:rPr>
          <w:rFonts w:hint="eastAsia" w:cs="Times New Roman"/>
          <w:b/>
          <w:bCs w:val="0"/>
          <w:color w:val="auto"/>
          <w:highlight w:val="yellow"/>
          <w:u w:val="none"/>
          <w:lang w:val="en-US" w:eastAsia="zh-CN"/>
        </w:rPr>
        <w:t>线上</w:t>
      </w:r>
      <w:r>
        <w:rPr>
          <w:rFonts w:hint="eastAsia" w:ascii="宋体" w:hAnsi="Courier New" w:eastAsia="宋体" w:cs="Times New Roman"/>
          <w:b/>
          <w:bCs w:val="0"/>
          <w:color w:val="auto"/>
          <w:kern w:val="2"/>
          <w:sz w:val="21"/>
          <w:highlight w:val="yellow"/>
          <w:u w:val="none"/>
          <w:lang w:val="en-US" w:eastAsia="zh-CN" w:bidi="ar-SA"/>
        </w:rPr>
        <w:t>招标</w:t>
      </w:r>
      <w:r>
        <w:rPr>
          <w:rFonts w:hint="eastAsia" w:cs="Times New Roman"/>
          <w:b/>
          <w:bCs w:val="0"/>
          <w:color w:val="auto"/>
          <w:kern w:val="2"/>
          <w:sz w:val="21"/>
          <w:highlight w:val="yellow"/>
          <w:u w:val="none"/>
          <w:lang w:val="en-US" w:eastAsia="zh-CN" w:bidi="ar-SA"/>
        </w:rPr>
        <w:t>（钉钉视频会议）</w:t>
      </w:r>
    </w:p>
    <w:p w14:paraId="5566FC15">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842" w:leftChars="200" w:hanging="422" w:hangingChars="200"/>
        <w:textAlignment w:val="auto"/>
        <w:rPr>
          <w:rFonts w:hint="eastAsia" w:ascii="宋体" w:hAnsi="宋体" w:eastAsia="宋体" w:cs="宋体"/>
          <w:b/>
          <w:bCs/>
          <w:color w:val="000000"/>
          <w:sz w:val="21"/>
          <w:szCs w:val="21"/>
          <w:highlight w:val="none"/>
          <w:u w:val="single"/>
          <w:lang w:val="en-US" w:eastAsia="zh-CN"/>
        </w:rPr>
      </w:pPr>
      <w:r>
        <w:rPr>
          <w:rFonts w:hint="eastAsia" w:ascii="宋体" w:hAnsi="宋体" w:eastAsia="宋体" w:cs="宋体"/>
          <w:b/>
          <w:bCs/>
          <w:sz w:val="21"/>
          <w:szCs w:val="21"/>
          <w:lang w:val="en-US" w:eastAsia="zh-CN"/>
        </w:rPr>
        <w:t>注：请各投标单位在开标前，先添加</w:t>
      </w:r>
      <w:r>
        <w:rPr>
          <w:rFonts w:hint="eastAsia" w:ascii="宋体" w:hAnsi="宋体" w:eastAsia="宋体" w:cs="宋体"/>
          <w:b/>
          <w:bCs/>
          <w:sz w:val="21"/>
          <w:szCs w:val="21"/>
          <w:highlight w:val="yellow"/>
          <w:lang w:val="en-US" w:eastAsia="zh-CN"/>
        </w:rPr>
        <w:t>商务联系人微信（微信号：</w:t>
      </w:r>
      <w:r>
        <w:rPr>
          <w:rFonts w:hint="eastAsia" w:hAnsi="宋体" w:cs="宋体"/>
          <w:b/>
          <w:bCs/>
          <w:sz w:val="21"/>
          <w:szCs w:val="21"/>
          <w:highlight w:val="yellow"/>
          <w:lang w:val="en-US" w:eastAsia="zh-CN"/>
        </w:rPr>
        <w:t>13854132324</w:t>
      </w:r>
      <w:r>
        <w:rPr>
          <w:rFonts w:hint="eastAsia" w:ascii="宋体" w:hAnsi="宋体" w:eastAsia="宋体" w:cs="宋体"/>
          <w:b/>
          <w:bCs/>
          <w:sz w:val="21"/>
          <w:szCs w:val="21"/>
          <w:highlight w:val="yellow"/>
          <w:lang w:val="en-US" w:eastAsia="zh-CN"/>
        </w:rPr>
        <w:t>）</w:t>
      </w:r>
      <w:r>
        <w:rPr>
          <w:rFonts w:hint="eastAsia" w:ascii="宋体" w:hAnsi="宋体" w:eastAsia="宋体" w:cs="宋体"/>
          <w:b/>
          <w:bCs/>
          <w:sz w:val="21"/>
          <w:szCs w:val="21"/>
          <w:lang w:val="en-US" w:eastAsia="zh-CN"/>
        </w:rPr>
        <w:t>，并发送保证金缴纳凭证。</w:t>
      </w:r>
    </w:p>
    <w:p w14:paraId="08E6E1C4">
      <w:pPr>
        <w:pStyle w:val="72"/>
        <w:keepNext w:val="0"/>
        <w:keepLines w:val="0"/>
        <w:pageBreakBefore w:val="0"/>
        <w:widowControl w:val="0"/>
        <w:numPr>
          <w:ilvl w:val="0"/>
          <w:numId w:val="21"/>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评标</w:t>
      </w:r>
    </w:p>
    <w:p w14:paraId="6E8A287E">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评标方法</w:t>
      </w:r>
    </w:p>
    <w:p w14:paraId="00E8C48A">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本次招标采用综合评分法评标，即在最大限度地满足招标文件实质性要求的前提下，按照评分标准中规定的评分因素和评分细则进行综合评价、评分。</w:t>
      </w:r>
    </w:p>
    <w:p w14:paraId="590E5253">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评标委员会各成员独立对每一份有效投标文件进行评价并对除报价以外的评分项目进行评分，报价得分由工作人员通过计算得出。</w:t>
      </w:r>
    </w:p>
    <w:p w14:paraId="17D5B6A8">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eastAsia="宋体" w:cs="宋体"/>
          <w:b w:val="0"/>
          <w:bCs w:val="0"/>
          <w:sz w:val="21"/>
          <w:szCs w:val="21"/>
          <w:highlight w:val="yellow"/>
          <w:u w:val="none"/>
          <w:lang w:val="en-US" w:eastAsia="zh-CN"/>
        </w:rPr>
      </w:pPr>
      <w:r>
        <w:rPr>
          <w:rFonts w:hint="eastAsia" w:ascii="宋体" w:hAnsi="宋体" w:eastAsia="宋体" w:cs="宋体"/>
          <w:b w:val="0"/>
          <w:bCs w:val="0"/>
          <w:sz w:val="21"/>
          <w:szCs w:val="21"/>
          <w:highlight w:val="yellow"/>
          <w:u w:val="none"/>
          <w:lang w:val="en-US" w:eastAsia="zh-CN"/>
        </w:rPr>
        <w:t>投标人得分＝∑评委评价得分/评委人数×40%＋(投标报价最低价/供方投标价）×100×60%</w:t>
      </w:r>
    </w:p>
    <w:p w14:paraId="35C24E97">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评标流程</w:t>
      </w:r>
    </w:p>
    <w:p w14:paraId="3C9C6623">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应标资格审查：在“中国重汽e采通”应标报名时，按照</w:t>
      </w:r>
      <w:r>
        <w:rPr>
          <w:rFonts w:hint="eastAsia" w:ascii="宋体" w:hAnsi="宋体" w:cs="宋体"/>
          <w:b w:val="0"/>
          <w:bCs/>
          <w:color w:val="000000"/>
          <w:sz w:val="21"/>
          <w:szCs w:val="21"/>
          <w:highlight w:val="none"/>
          <w:lang w:val="en-US" w:eastAsia="zh-CN"/>
        </w:rPr>
        <w:t>招标公告</w:t>
      </w:r>
      <w:r>
        <w:rPr>
          <w:rFonts w:hint="eastAsia" w:ascii="宋体" w:hAnsi="宋体" w:eastAsia="宋体" w:cs="宋体"/>
          <w:b w:val="0"/>
          <w:bCs/>
          <w:color w:val="000000"/>
          <w:sz w:val="21"/>
          <w:szCs w:val="21"/>
          <w:highlight w:val="none"/>
          <w:lang w:val="en-US" w:eastAsia="zh-CN"/>
        </w:rPr>
        <w:t>编制</w:t>
      </w:r>
      <w:r>
        <w:rPr>
          <w:rFonts w:hint="eastAsia" w:ascii="宋体" w:hAnsi="宋体" w:eastAsia="宋体" w:cs="宋体"/>
          <w:b w:val="0"/>
          <w:bCs/>
          <w:color w:val="000000"/>
          <w:sz w:val="21"/>
          <w:szCs w:val="21"/>
          <w:highlight w:val="none"/>
        </w:rPr>
        <w:t>资料，上传完毕后，等待审核；</w:t>
      </w:r>
    </w:p>
    <w:p w14:paraId="6DE65115">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通过应标资格审查的单位进入投标环节，按照“SRM系统供应商用户手册</w:t>
      </w:r>
      <w:r>
        <w:rPr>
          <w:rFonts w:hint="eastAsia" w:ascii="宋体" w:hAnsi="宋体" w:cs="宋体"/>
          <w:b w:val="0"/>
          <w:bCs/>
          <w:color w:val="000000"/>
          <w:sz w:val="21"/>
          <w:szCs w:val="21"/>
          <w:highlight w:val="none"/>
          <w:lang w:eastAsia="zh-CN"/>
        </w:rPr>
        <w:t>（</w:t>
      </w:r>
      <w:r>
        <w:rPr>
          <w:rFonts w:hint="eastAsia" w:ascii="宋体" w:hAnsi="宋体" w:cs="宋体"/>
          <w:b w:val="0"/>
          <w:bCs/>
          <w:color w:val="000000"/>
          <w:sz w:val="21"/>
          <w:szCs w:val="21"/>
          <w:highlight w:val="none"/>
          <w:lang w:val="en-US" w:eastAsia="zh-CN"/>
        </w:rPr>
        <w:t>附件9</w:t>
      </w:r>
      <w:r>
        <w:rPr>
          <w:rFonts w:hint="eastAsia" w:ascii="宋体" w:hAnsi="宋体" w:cs="宋体"/>
          <w:b w:val="0"/>
          <w:bCs/>
          <w:color w:val="000000"/>
          <w:sz w:val="21"/>
          <w:szCs w:val="21"/>
          <w:highlight w:val="none"/>
          <w:lang w:eastAsia="zh-CN"/>
        </w:rPr>
        <w:t>）</w:t>
      </w:r>
      <w:r>
        <w:rPr>
          <w:rFonts w:hint="eastAsia" w:ascii="宋体" w:hAnsi="宋体" w:eastAsia="宋体" w:cs="宋体"/>
          <w:b w:val="0"/>
          <w:bCs/>
          <w:color w:val="000000"/>
          <w:sz w:val="21"/>
          <w:szCs w:val="21"/>
          <w:highlight w:val="none"/>
        </w:rPr>
        <w:t>”，在重汽e采通平台投递电子标书（包含资质标、技术标、商务标）；没有通过应标资质审查的单位不能进入投标环节；</w:t>
      </w:r>
    </w:p>
    <w:p w14:paraId="049A060F">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资质标评审：资质标审核通过的单位，可以进入公开唱标环节；</w:t>
      </w:r>
    </w:p>
    <w:p w14:paraId="632E0839">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ascii="宋体" w:hAnsi="宋体" w:eastAsia="宋体" w:cs="宋体"/>
          <w:b w:val="0"/>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w:t>
      </w:r>
      <w:r>
        <w:rPr>
          <w:rFonts w:hint="eastAsia" w:ascii="宋体" w:hAnsi="宋体" w:cs="宋体"/>
          <w:b w:val="0"/>
          <w:bCs/>
          <w:color w:val="000000"/>
          <w:sz w:val="21"/>
          <w:szCs w:val="21"/>
          <w:highlight w:val="none"/>
          <w:lang w:eastAsia="zh-CN"/>
        </w:rPr>
        <w:t>（</w:t>
      </w:r>
      <w:r>
        <w:rPr>
          <w:rFonts w:hint="eastAsia" w:ascii="宋体" w:hAnsi="宋体" w:cs="宋体"/>
          <w:b w:val="0"/>
          <w:bCs/>
          <w:color w:val="000000"/>
          <w:sz w:val="21"/>
          <w:szCs w:val="21"/>
          <w:highlight w:val="none"/>
          <w:lang w:val="en-US" w:eastAsia="zh-CN"/>
        </w:rPr>
        <w:t>技术标得分≥70分即合格</w:t>
      </w:r>
      <w:r>
        <w:rPr>
          <w:rFonts w:hint="eastAsia" w:ascii="宋体" w:hAnsi="宋体" w:cs="宋体"/>
          <w:b w:val="0"/>
          <w:bCs/>
          <w:color w:val="000000"/>
          <w:sz w:val="21"/>
          <w:szCs w:val="21"/>
          <w:highlight w:val="none"/>
          <w:lang w:eastAsia="zh-CN"/>
        </w:rPr>
        <w:t>）</w:t>
      </w:r>
      <w:r>
        <w:rPr>
          <w:rFonts w:hint="eastAsia" w:ascii="宋体" w:hAnsi="宋体" w:eastAsia="宋体" w:cs="宋体"/>
          <w:b w:val="0"/>
          <w:bCs/>
          <w:color w:val="000000"/>
          <w:sz w:val="21"/>
          <w:szCs w:val="21"/>
          <w:highlight w:val="none"/>
        </w:rPr>
        <w:t>，评审不合格的单位被淘汰；具体</w:t>
      </w:r>
      <w:r>
        <w:rPr>
          <w:rFonts w:hint="eastAsia" w:ascii="宋体" w:hAnsi="宋体" w:eastAsia="宋体" w:cs="宋体"/>
          <w:b w:val="0"/>
          <w:bCs/>
          <w:color w:val="000000"/>
          <w:sz w:val="21"/>
          <w:szCs w:val="21"/>
          <w:highlight w:val="none"/>
          <w:lang w:val="en-US" w:eastAsia="zh-CN"/>
        </w:rPr>
        <w:t>评分详见</w:t>
      </w:r>
      <w:r>
        <w:rPr>
          <w:rFonts w:hint="eastAsia" w:ascii="宋体" w:hAnsi="宋体" w:eastAsia="宋体" w:cs="宋体"/>
          <w:b w:val="0"/>
          <w:bCs/>
          <w:color w:val="000000"/>
          <w:sz w:val="21"/>
          <w:szCs w:val="21"/>
          <w:highlight w:val="none"/>
        </w:rPr>
        <w:t>评分标准；</w:t>
      </w:r>
    </w:p>
    <w:p w14:paraId="5D6DD569">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ascii="宋体" w:hAnsi="宋体" w:eastAsia="宋体" w:cs="宋体"/>
          <w:b w:val="0"/>
          <w:bCs/>
          <w:color w:val="000000"/>
          <w:sz w:val="21"/>
          <w:szCs w:val="21"/>
          <w:highlight w:val="none"/>
        </w:rPr>
        <w:t>公开唱标：公示</w:t>
      </w:r>
      <w:r>
        <w:rPr>
          <w:rFonts w:hint="eastAsia" w:ascii="宋体" w:hAnsi="宋体" w:eastAsia="宋体" w:cs="宋体"/>
          <w:b w:val="0"/>
          <w:bCs/>
          <w:color w:val="000000"/>
          <w:sz w:val="21"/>
          <w:szCs w:val="21"/>
          <w:highlight w:val="none"/>
          <w:lang w:val="en-US" w:eastAsia="zh-CN"/>
        </w:rPr>
        <w:t>技术</w:t>
      </w:r>
      <w:r>
        <w:rPr>
          <w:rFonts w:hint="eastAsia" w:ascii="宋体" w:hAnsi="宋体" w:eastAsia="宋体" w:cs="宋体"/>
          <w:b w:val="0"/>
          <w:bCs/>
          <w:color w:val="000000"/>
          <w:sz w:val="21"/>
          <w:szCs w:val="21"/>
          <w:highlight w:val="none"/>
        </w:rPr>
        <w:t>标入围单位的开标价格及商务条款响应情况；</w:t>
      </w:r>
    </w:p>
    <w:p w14:paraId="6505D3E7">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商务标评审：商务条款</w:t>
      </w:r>
      <w:r>
        <w:rPr>
          <w:rFonts w:hint="eastAsia" w:ascii="宋体" w:hAnsi="宋体" w:cs="宋体"/>
          <w:b w:val="0"/>
          <w:bCs/>
          <w:color w:val="000000"/>
          <w:sz w:val="21"/>
          <w:szCs w:val="21"/>
          <w:highlight w:val="none"/>
          <w:lang w:val="en-US" w:eastAsia="zh-CN"/>
        </w:rPr>
        <w:t>相</w:t>
      </w:r>
      <w:r>
        <w:rPr>
          <w:rFonts w:hint="eastAsia" w:ascii="宋体" w:hAnsi="宋体" w:eastAsia="宋体" w:cs="宋体"/>
          <w:b w:val="0"/>
          <w:bCs/>
          <w:color w:val="000000"/>
          <w:sz w:val="21"/>
          <w:szCs w:val="21"/>
          <w:highlight w:val="none"/>
        </w:rPr>
        <w:t>应确认→价格澄清→商务标评审</w:t>
      </w:r>
      <w:r>
        <w:rPr>
          <w:rFonts w:hint="eastAsia" w:ascii="宋体" w:hAnsi="宋体" w:eastAsia="宋体" w:cs="宋体"/>
          <w:b w:val="0"/>
          <w:bCs/>
          <w:color w:val="000000"/>
          <w:sz w:val="21"/>
          <w:szCs w:val="21"/>
          <w:highlight w:val="none"/>
          <w:lang w:val="en-US" w:eastAsia="zh-CN"/>
        </w:rPr>
        <w:t>；采用多轮商务谈判评审，</w:t>
      </w:r>
      <w:r>
        <w:rPr>
          <w:rFonts w:hint="eastAsia" w:ascii="宋体" w:hAnsi="宋体" w:eastAsia="宋体" w:cs="宋体"/>
          <w:b w:val="0"/>
          <w:bCs/>
          <w:color w:val="000000"/>
          <w:sz w:val="21"/>
          <w:szCs w:val="21"/>
          <w:highlight w:val="none"/>
        </w:rPr>
        <w:t>期间产生的商务价格澄清均由投标人在重汽e采通平台限时内完成提交；</w:t>
      </w:r>
    </w:p>
    <w:p w14:paraId="73F5A7A2">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注意：所有参与现场投标的投标人，需要自带笔记本电脑在</w:t>
      </w:r>
      <w:r>
        <w:rPr>
          <w:rFonts w:hint="eastAsia"/>
          <w:lang w:eastAsia="zh-CN"/>
        </w:rPr>
        <w:t>“</w:t>
      </w:r>
      <w:r>
        <w:rPr>
          <w:rFonts w:hint="eastAsia"/>
        </w:rPr>
        <w:t>重汽e采通</w:t>
      </w:r>
      <w:r>
        <w:rPr>
          <w:rFonts w:hint="eastAsia"/>
          <w:lang w:eastAsia="zh-CN"/>
        </w:rPr>
        <w:t>”</w:t>
      </w:r>
      <w:r>
        <w:rPr>
          <w:rFonts w:hint="eastAsia"/>
        </w:rPr>
        <w:t>进行自主投标和提交澄清函；投标和提交澄清函均有时间限制，超时未提交的按无效处理。</w:t>
      </w:r>
    </w:p>
    <w:p w14:paraId="7517ADEC">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评分标准</w:t>
      </w:r>
      <w:r>
        <w:rPr>
          <w:rFonts w:hint="eastAsia" w:hAnsi="黑体" w:cs="黑体"/>
          <w:b w:val="0"/>
          <w:bCs w:val="0"/>
          <w:sz w:val="21"/>
          <w:szCs w:val="21"/>
          <w:highlight w:val="none"/>
          <w:lang w:val="en-US" w:eastAsia="zh-CN"/>
        </w:rPr>
        <w:t xml:space="preserve"> </w:t>
      </w:r>
    </w:p>
    <w:p w14:paraId="27A4B0DD">
      <w:pPr>
        <w:spacing w:line="320" w:lineRule="exact"/>
        <w:ind w:right="34" w:rightChars="16"/>
        <w:jc w:val="left"/>
        <w:rPr>
          <w:rFonts w:hint="eastAsia" w:ascii="仿宋_GB2312" w:hAnsi="仿宋_GB2312" w:cs="仿宋_GB2312"/>
          <w:b/>
          <w:bCs w:val="0"/>
          <w:sz w:val="22"/>
          <w:szCs w:val="21"/>
          <w:highlight w:val="none"/>
        </w:rPr>
      </w:pPr>
      <w:r>
        <w:rPr>
          <w:rFonts w:hint="eastAsia" w:ascii="仿宋_GB2312" w:hAnsi="仿宋_GB2312" w:cs="仿宋_GB2312"/>
          <w:b/>
          <w:bCs w:val="0"/>
          <w:sz w:val="22"/>
          <w:szCs w:val="21"/>
          <w:highlight w:val="none"/>
        </w:rPr>
        <w:t>评标</w:t>
      </w:r>
      <w:r>
        <w:rPr>
          <w:rFonts w:hint="eastAsia" w:ascii="仿宋_GB2312" w:hAnsi="仿宋_GB2312" w:cs="仿宋_GB2312"/>
          <w:b/>
          <w:bCs w:val="0"/>
          <w:sz w:val="22"/>
          <w:szCs w:val="21"/>
          <w:highlight w:val="none"/>
          <w:lang w:val="en-US" w:eastAsia="zh-CN"/>
        </w:rPr>
        <w:t>标准</w:t>
      </w:r>
      <w:r>
        <w:rPr>
          <w:rFonts w:hint="eastAsia" w:ascii="仿宋_GB2312" w:hAnsi="仿宋_GB2312" w:cs="仿宋_GB2312"/>
          <w:b/>
          <w:bCs w:val="0"/>
          <w:sz w:val="22"/>
          <w:szCs w:val="21"/>
          <w:highlight w:val="none"/>
        </w:rPr>
        <w:t>：综合评标</w:t>
      </w:r>
      <w:r>
        <w:rPr>
          <w:rFonts w:hint="eastAsia" w:ascii="仿宋_GB2312" w:hAnsi="仿宋_GB2312" w:cs="仿宋_GB2312"/>
          <w:b/>
          <w:bCs w:val="0"/>
          <w:sz w:val="22"/>
          <w:szCs w:val="21"/>
          <w:highlight w:val="none"/>
          <w:lang w:eastAsia="zh-CN"/>
        </w:rPr>
        <w:t>，</w:t>
      </w:r>
      <w:r>
        <w:rPr>
          <w:rFonts w:hint="eastAsia" w:ascii="仿宋_GB2312" w:hAnsi="仿宋_GB2312" w:cs="仿宋_GB2312"/>
          <w:b/>
          <w:bCs w:val="0"/>
          <w:sz w:val="22"/>
          <w:szCs w:val="21"/>
          <w:highlight w:val="none"/>
        </w:rPr>
        <w:t>技术部分占比</w:t>
      </w:r>
      <w:r>
        <w:rPr>
          <w:rFonts w:hint="eastAsia" w:ascii="仿宋_GB2312" w:hAnsi="仿宋_GB2312" w:cs="仿宋_GB2312"/>
          <w:b/>
          <w:bCs w:val="0"/>
          <w:sz w:val="22"/>
          <w:szCs w:val="21"/>
          <w:highlight w:val="none"/>
          <w:lang w:val="en-US" w:eastAsia="zh-CN"/>
        </w:rPr>
        <w:t>4</w:t>
      </w:r>
      <w:r>
        <w:rPr>
          <w:rFonts w:hint="eastAsia" w:ascii="仿宋_GB2312" w:hAnsi="仿宋_GB2312" w:cs="仿宋_GB2312"/>
          <w:b/>
          <w:bCs w:val="0"/>
          <w:sz w:val="22"/>
          <w:szCs w:val="21"/>
          <w:highlight w:val="none"/>
        </w:rPr>
        <w:t>0%，商务部分占比</w:t>
      </w:r>
      <w:r>
        <w:rPr>
          <w:rFonts w:hint="eastAsia" w:ascii="仿宋_GB2312" w:hAnsi="仿宋_GB2312" w:cs="仿宋_GB2312"/>
          <w:b/>
          <w:bCs w:val="0"/>
          <w:sz w:val="22"/>
          <w:szCs w:val="21"/>
          <w:highlight w:val="none"/>
          <w:lang w:val="en-US" w:eastAsia="zh-CN"/>
        </w:rPr>
        <w:t>6</w:t>
      </w:r>
      <w:r>
        <w:rPr>
          <w:rFonts w:hint="eastAsia" w:ascii="仿宋_GB2312" w:hAnsi="仿宋_GB2312" w:cs="仿宋_GB2312"/>
          <w:b/>
          <w:bCs w:val="0"/>
          <w:sz w:val="22"/>
          <w:szCs w:val="21"/>
          <w:highlight w:val="none"/>
        </w:rPr>
        <w:t>0%。</w:t>
      </w:r>
    </w:p>
    <w:tbl>
      <w:tblPr>
        <w:tblStyle w:val="31"/>
        <w:tblW w:w="56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938"/>
        <w:gridCol w:w="2244"/>
        <w:gridCol w:w="674"/>
        <w:gridCol w:w="5208"/>
      </w:tblGrid>
      <w:tr w14:paraId="39759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pct"/>
            <w:vAlign w:val="center"/>
          </w:tcPr>
          <w:p w14:paraId="6E38A75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b/>
                <w:bCs/>
                <w:highlight w:val="none"/>
              </w:rPr>
            </w:pPr>
            <w:r>
              <w:rPr>
                <w:rFonts w:hint="eastAsia" w:ascii="宋体" w:hAnsi="Times New Roman" w:eastAsia="宋体" w:cs="Times New Roman"/>
                <w:b/>
                <w:bCs/>
                <w:highlight w:val="none"/>
              </w:rPr>
              <w:t>评价类型</w:t>
            </w:r>
          </w:p>
        </w:tc>
        <w:tc>
          <w:tcPr>
            <w:tcW w:w="473" w:type="pct"/>
            <w:vAlign w:val="center"/>
          </w:tcPr>
          <w:p w14:paraId="15AD017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b/>
                <w:bCs/>
                <w:highlight w:val="none"/>
              </w:rPr>
            </w:pPr>
            <w:r>
              <w:rPr>
                <w:rFonts w:hint="eastAsia" w:ascii="宋体" w:hAnsi="Times New Roman" w:eastAsia="宋体" w:cs="Times New Roman"/>
                <w:b/>
                <w:bCs/>
                <w:highlight w:val="none"/>
              </w:rPr>
              <w:t>评审内容</w:t>
            </w:r>
          </w:p>
        </w:tc>
        <w:tc>
          <w:tcPr>
            <w:tcW w:w="1132" w:type="pct"/>
            <w:vAlign w:val="center"/>
          </w:tcPr>
          <w:p w14:paraId="6F3AAF0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b/>
                <w:bCs/>
                <w:highlight w:val="none"/>
              </w:rPr>
            </w:pPr>
            <w:r>
              <w:rPr>
                <w:rFonts w:hint="eastAsia" w:ascii="宋体" w:hAnsi="Times New Roman" w:eastAsia="宋体" w:cs="Times New Roman"/>
                <w:b/>
                <w:bCs/>
                <w:highlight w:val="none"/>
              </w:rPr>
              <w:t>内容</w:t>
            </w:r>
          </w:p>
        </w:tc>
        <w:tc>
          <w:tcPr>
            <w:tcW w:w="340" w:type="pct"/>
            <w:vAlign w:val="center"/>
          </w:tcPr>
          <w:p w14:paraId="3BED4A3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b/>
                <w:bCs/>
                <w:highlight w:val="none"/>
              </w:rPr>
            </w:pPr>
            <w:r>
              <w:rPr>
                <w:rFonts w:hint="eastAsia" w:ascii="宋体" w:hAnsi="Times New Roman" w:eastAsia="宋体" w:cs="Times New Roman"/>
                <w:b/>
                <w:bCs/>
                <w:highlight w:val="none"/>
                <w:lang w:val="en-US" w:eastAsia="zh-CN"/>
              </w:rPr>
              <w:t>最高得</w:t>
            </w:r>
            <w:r>
              <w:rPr>
                <w:rFonts w:hint="eastAsia" w:ascii="宋体" w:hAnsi="Times New Roman" w:eastAsia="宋体" w:cs="Times New Roman"/>
                <w:b/>
                <w:bCs/>
                <w:highlight w:val="none"/>
              </w:rPr>
              <w:t>分</w:t>
            </w:r>
          </w:p>
        </w:tc>
        <w:tc>
          <w:tcPr>
            <w:tcW w:w="2624" w:type="pct"/>
            <w:vAlign w:val="center"/>
          </w:tcPr>
          <w:p w14:paraId="6E74303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b/>
                <w:bCs/>
                <w:highlight w:val="none"/>
              </w:rPr>
            </w:pPr>
            <w:r>
              <w:rPr>
                <w:rFonts w:hint="eastAsia" w:ascii="宋体" w:hAnsi="Times New Roman" w:eastAsia="宋体" w:cs="Times New Roman"/>
                <w:b/>
                <w:bCs/>
                <w:highlight w:val="none"/>
              </w:rPr>
              <w:t>评分标准</w:t>
            </w:r>
          </w:p>
        </w:tc>
      </w:tr>
      <w:tr w14:paraId="3A945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pct"/>
            <w:vMerge w:val="restart"/>
            <w:vAlign w:val="center"/>
          </w:tcPr>
          <w:p w14:paraId="156DA5C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lang w:val="en-US" w:eastAsia="zh-CN"/>
              </w:rPr>
            </w:pPr>
            <w:r>
              <w:rPr>
                <w:rFonts w:hint="eastAsia" w:ascii="宋体" w:hAnsi="Times New Roman" w:eastAsia="宋体" w:cs="Times New Roman"/>
                <w:highlight w:val="none"/>
              </w:rPr>
              <w:t>技术</w:t>
            </w:r>
            <w:r>
              <w:rPr>
                <w:rFonts w:hint="eastAsia" w:ascii="宋体" w:hAnsi="Times New Roman" w:eastAsia="宋体" w:cs="Times New Roman"/>
                <w:highlight w:val="none"/>
                <w:lang w:val="en-US" w:eastAsia="zh-CN"/>
              </w:rPr>
              <w:t>标</w:t>
            </w:r>
          </w:p>
          <w:p w14:paraId="742B48A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lang w:val="en-US" w:eastAsia="zh-CN"/>
              </w:rPr>
              <w:t>满分</w:t>
            </w:r>
            <w:r>
              <w:rPr>
                <w:rFonts w:hint="eastAsia" w:ascii="宋体" w:hAnsi="Times New Roman" w:eastAsia="宋体" w:cs="Times New Roman"/>
                <w:highlight w:val="none"/>
              </w:rPr>
              <w:t>100分</w:t>
            </w:r>
          </w:p>
        </w:tc>
        <w:tc>
          <w:tcPr>
            <w:tcW w:w="473" w:type="pct"/>
            <w:vAlign w:val="center"/>
          </w:tcPr>
          <w:p w14:paraId="68949C6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业绩</w:t>
            </w:r>
          </w:p>
        </w:tc>
        <w:tc>
          <w:tcPr>
            <w:tcW w:w="1132" w:type="pct"/>
            <w:vAlign w:val="center"/>
          </w:tcPr>
          <w:p w14:paraId="6515BC9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制造商同类型项目业绩</w:t>
            </w:r>
          </w:p>
        </w:tc>
        <w:tc>
          <w:tcPr>
            <w:tcW w:w="340" w:type="pct"/>
            <w:vAlign w:val="center"/>
          </w:tcPr>
          <w:p w14:paraId="316DD22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Times New Roman" w:eastAsia="宋体" w:cs="Times New Roman"/>
                <w:highlight w:val="none"/>
                <w:lang w:val="en-US" w:eastAsia="zh-CN"/>
              </w:rPr>
            </w:pPr>
            <w:r>
              <w:rPr>
                <w:rFonts w:hint="eastAsia" w:ascii="宋体" w:cs="Times New Roman"/>
                <w:highlight w:val="none"/>
                <w:lang w:val="en-US" w:eastAsia="zh-CN"/>
              </w:rPr>
              <w:t>15</w:t>
            </w:r>
          </w:p>
        </w:tc>
        <w:tc>
          <w:tcPr>
            <w:tcW w:w="2624" w:type="pct"/>
            <w:vAlign w:val="center"/>
          </w:tcPr>
          <w:p w14:paraId="6DC82E5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由评标委员会成员独立进行客观、公正的评价，按照优、良、一般进行赋分，优得</w:t>
            </w:r>
            <w:r>
              <w:rPr>
                <w:rFonts w:hint="eastAsia" w:ascii="宋体" w:cs="Times New Roman"/>
                <w:highlight w:val="none"/>
                <w:lang w:val="en-US" w:eastAsia="zh-CN"/>
              </w:rPr>
              <w:t>15</w:t>
            </w:r>
            <w:r>
              <w:rPr>
                <w:rFonts w:hint="eastAsia" w:ascii="宋体" w:hAnsi="Times New Roman" w:eastAsia="宋体" w:cs="Times New Roman"/>
                <w:highlight w:val="none"/>
              </w:rPr>
              <w:t>分，良得</w:t>
            </w:r>
            <w:r>
              <w:rPr>
                <w:rFonts w:hint="eastAsia" w:ascii="宋体" w:cs="Times New Roman"/>
                <w:highlight w:val="none"/>
                <w:lang w:val="en-US" w:eastAsia="zh-CN"/>
              </w:rPr>
              <w:t>10</w:t>
            </w:r>
            <w:r>
              <w:rPr>
                <w:rFonts w:hint="eastAsia" w:ascii="宋体" w:hAnsi="Times New Roman" w:eastAsia="宋体" w:cs="Times New Roman"/>
                <w:highlight w:val="none"/>
              </w:rPr>
              <w:t>分，一般得</w:t>
            </w:r>
            <w:r>
              <w:rPr>
                <w:rFonts w:hint="eastAsia" w:ascii="宋体" w:cs="Times New Roman"/>
                <w:highlight w:val="none"/>
                <w:lang w:val="en-US" w:eastAsia="zh-CN"/>
              </w:rPr>
              <w:t>4</w:t>
            </w:r>
            <w:r>
              <w:rPr>
                <w:rFonts w:hint="eastAsia" w:ascii="宋体" w:hAnsi="Times New Roman" w:eastAsia="宋体" w:cs="Times New Roman"/>
                <w:highlight w:val="none"/>
              </w:rPr>
              <w:t>分(时间以签订日期为准)。投标人在202</w:t>
            </w:r>
            <w:r>
              <w:rPr>
                <w:rFonts w:hint="eastAsia" w:ascii="宋体" w:cs="Times New Roman"/>
                <w:highlight w:val="none"/>
                <w:lang w:val="en-US" w:eastAsia="zh-CN"/>
              </w:rPr>
              <w:t>3</w:t>
            </w:r>
            <w:r>
              <w:rPr>
                <w:rFonts w:hint="eastAsia" w:ascii="宋体" w:hAnsi="Times New Roman" w:eastAsia="宋体" w:cs="Times New Roman"/>
                <w:highlight w:val="none"/>
              </w:rPr>
              <w:t>年1月1日以来在中国与本标同类规格产品的业绩，以合同复印件加盖公章为准(须有客户联系方式及联系人以供招标人核实确认)。</w:t>
            </w:r>
          </w:p>
        </w:tc>
      </w:tr>
      <w:tr w14:paraId="485CB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pct"/>
            <w:vMerge w:val="continue"/>
            <w:vAlign w:val="center"/>
          </w:tcPr>
          <w:p w14:paraId="47434D4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p>
        </w:tc>
        <w:tc>
          <w:tcPr>
            <w:tcW w:w="473" w:type="pct"/>
            <w:vMerge w:val="restart"/>
            <w:vAlign w:val="center"/>
          </w:tcPr>
          <w:p w14:paraId="6D8F3AB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产品技术</w:t>
            </w:r>
          </w:p>
        </w:tc>
        <w:tc>
          <w:tcPr>
            <w:tcW w:w="1132" w:type="pct"/>
            <w:vAlign w:val="center"/>
          </w:tcPr>
          <w:p w14:paraId="1A23EA7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制造商装备制造能力、生产设备、加工工艺、完善程度</w:t>
            </w:r>
          </w:p>
        </w:tc>
        <w:tc>
          <w:tcPr>
            <w:tcW w:w="340" w:type="pct"/>
            <w:vAlign w:val="center"/>
          </w:tcPr>
          <w:p w14:paraId="12D55C5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Times New Roman" w:eastAsia="宋体" w:cs="Times New Roman"/>
                <w:highlight w:val="none"/>
                <w:lang w:val="en-US" w:eastAsia="zh-CN"/>
              </w:rPr>
            </w:pPr>
            <w:r>
              <w:rPr>
                <w:rFonts w:hint="eastAsia" w:ascii="宋体" w:cs="Times New Roman"/>
                <w:highlight w:val="none"/>
                <w:lang w:val="en-US" w:eastAsia="zh-CN"/>
              </w:rPr>
              <w:t>15</w:t>
            </w:r>
          </w:p>
        </w:tc>
        <w:tc>
          <w:tcPr>
            <w:tcW w:w="2624" w:type="pct"/>
            <w:vAlign w:val="center"/>
          </w:tcPr>
          <w:p w14:paraId="37D03D7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由评标委员会成员独立进行客观、公正的评价，按照优、良、一般进行赋分，优得</w:t>
            </w:r>
            <w:r>
              <w:rPr>
                <w:rFonts w:hint="eastAsia" w:ascii="宋体" w:cs="Times New Roman"/>
                <w:highlight w:val="none"/>
                <w:lang w:val="en-US" w:eastAsia="zh-CN"/>
              </w:rPr>
              <w:t>15</w:t>
            </w:r>
            <w:r>
              <w:rPr>
                <w:rFonts w:hint="eastAsia" w:ascii="宋体" w:hAnsi="Times New Roman" w:eastAsia="宋体" w:cs="Times New Roman"/>
                <w:highlight w:val="none"/>
              </w:rPr>
              <w:t>分，良得</w:t>
            </w:r>
            <w:r>
              <w:rPr>
                <w:rFonts w:hint="eastAsia" w:ascii="宋体" w:cs="Times New Roman"/>
                <w:highlight w:val="none"/>
                <w:lang w:val="en-US" w:eastAsia="zh-CN"/>
              </w:rPr>
              <w:t>10</w:t>
            </w:r>
            <w:r>
              <w:rPr>
                <w:rFonts w:hint="eastAsia" w:ascii="宋体" w:hAnsi="Times New Roman" w:eastAsia="宋体" w:cs="Times New Roman"/>
                <w:highlight w:val="none"/>
              </w:rPr>
              <w:t>分，一般得</w:t>
            </w:r>
            <w:r>
              <w:rPr>
                <w:rFonts w:hint="eastAsia" w:ascii="宋体" w:cs="Times New Roman"/>
                <w:highlight w:val="none"/>
                <w:lang w:val="en-US" w:eastAsia="zh-CN"/>
              </w:rPr>
              <w:t>4</w:t>
            </w:r>
            <w:r>
              <w:rPr>
                <w:rFonts w:hint="eastAsia" w:ascii="宋体" w:hAnsi="Times New Roman" w:eastAsia="宋体" w:cs="Times New Roman"/>
                <w:highlight w:val="none"/>
              </w:rPr>
              <w:t>分。</w:t>
            </w:r>
          </w:p>
        </w:tc>
      </w:tr>
      <w:tr w14:paraId="3256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pct"/>
            <w:vMerge w:val="continue"/>
            <w:vAlign w:val="center"/>
          </w:tcPr>
          <w:p w14:paraId="56B8700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p>
        </w:tc>
        <w:tc>
          <w:tcPr>
            <w:tcW w:w="473" w:type="pct"/>
            <w:vMerge w:val="continue"/>
            <w:vAlign w:val="center"/>
          </w:tcPr>
          <w:p w14:paraId="68EF210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p>
        </w:tc>
        <w:tc>
          <w:tcPr>
            <w:tcW w:w="1132" w:type="pct"/>
            <w:vAlign w:val="center"/>
          </w:tcPr>
          <w:p w14:paraId="62ECC3C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产品方案技术先进、各系统完善、性能可</w:t>
            </w:r>
          </w:p>
          <w:p w14:paraId="090A105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靠，设备主要核心部件，具备自身技术优势</w:t>
            </w:r>
          </w:p>
        </w:tc>
        <w:tc>
          <w:tcPr>
            <w:tcW w:w="340" w:type="pct"/>
            <w:vAlign w:val="center"/>
          </w:tcPr>
          <w:p w14:paraId="6E72FE2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Times New Roman" w:eastAsia="宋体" w:cs="Times New Roman"/>
                <w:highlight w:val="none"/>
                <w:lang w:val="en-US" w:eastAsia="zh-CN"/>
              </w:rPr>
            </w:pPr>
            <w:r>
              <w:rPr>
                <w:rFonts w:hint="eastAsia" w:ascii="宋体" w:cs="Times New Roman"/>
                <w:highlight w:val="none"/>
                <w:lang w:val="en-US" w:eastAsia="zh-CN"/>
              </w:rPr>
              <w:t>30</w:t>
            </w:r>
          </w:p>
        </w:tc>
        <w:tc>
          <w:tcPr>
            <w:tcW w:w="2624" w:type="pct"/>
            <w:vAlign w:val="center"/>
          </w:tcPr>
          <w:p w14:paraId="4CC127A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以下各项由评标委员会成员独立进行客观、公正的评价打分。</w:t>
            </w:r>
          </w:p>
          <w:p w14:paraId="5748C04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①定制系统方案已到达招标要求，设备主要核心部件，具备自身技术优势，打分0-</w:t>
            </w:r>
            <w:r>
              <w:rPr>
                <w:rFonts w:hint="eastAsia" w:ascii="宋体" w:cs="Times New Roman"/>
                <w:highlight w:val="none"/>
                <w:lang w:val="en-US" w:eastAsia="zh-CN"/>
              </w:rPr>
              <w:t>10</w:t>
            </w:r>
            <w:r>
              <w:rPr>
                <w:rFonts w:hint="eastAsia" w:ascii="宋体" w:hAnsi="Times New Roman" w:eastAsia="宋体" w:cs="Times New Roman"/>
                <w:highlight w:val="none"/>
              </w:rPr>
              <w:t>分。</w:t>
            </w:r>
          </w:p>
          <w:p w14:paraId="43B6E6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②系统配置齐全，其精度、参数、技术水平、可靠性等优势明显，打分0-</w:t>
            </w:r>
            <w:r>
              <w:rPr>
                <w:rFonts w:hint="eastAsia" w:ascii="宋体" w:cs="Times New Roman"/>
                <w:highlight w:val="none"/>
                <w:lang w:val="en-US" w:eastAsia="zh-CN"/>
              </w:rPr>
              <w:t>10</w:t>
            </w:r>
            <w:r>
              <w:rPr>
                <w:rFonts w:hint="eastAsia" w:ascii="宋体" w:hAnsi="Times New Roman" w:eastAsia="宋体" w:cs="Times New Roman"/>
                <w:highlight w:val="none"/>
              </w:rPr>
              <w:t>分。</w:t>
            </w:r>
          </w:p>
          <w:p w14:paraId="590FDAE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cs="Times New Roman"/>
                <w:highlight w:val="none"/>
                <w:lang w:val="en-US" w:eastAsia="zh-CN"/>
              </w:rPr>
              <w:t>③</w:t>
            </w:r>
            <w:r>
              <w:rPr>
                <w:rFonts w:hint="eastAsia" w:ascii="宋体" w:hAnsi="Times New Roman" w:eastAsia="宋体" w:cs="Times New Roman"/>
                <w:highlight w:val="none"/>
              </w:rPr>
              <w:t>综合评价，打分0-</w:t>
            </w:r>
            <w:r>
              <w:rPr>
                <w:rFonts w:hint="eastAsia" w:ascii="宋体" w:cs="Times New Roman"/>
                <w:highlight w:val="none"/>
                <w:lang w:val="en-US" w:eastAsia="zh-CN"/>
              </w:rPr>
              <w:t>10</w:t>
            </w:r>
            <w:r>
              <w:rPr>
                <w:rFonts w:hint="eastAsia" w:ascii="宋体" w:hAnsi="Times New Roman" w:eastAsia="宋体" w:cs="Times New Roman"/>
                <w:highlight w:val="none"/>
              </w:rPr>
              <w:t>分。</w:t>
            </w:r>
          </w:p>
        </w:tc>
      </w:tr>
      <w:tr w14:paraId="1993C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428" w:type="pct"/>
            <w:vMerge w:val="continue"/>
            <w:vAlign w:val="center"/>
          </w:tcPr>
          <w:p w14:paraId="310CEF7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p>
        </w:tc>
        <w:tc>
          <w:tcPr>
            <w:tcW w:w="473" w:type="pct"/>
            <w:vAlign w:val="center"/>
          </w:tcPr>
          <w:p w14:paraId="3B99A40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答疑</w:t>
            </w:r>
          </w:p>
        </w:tc>
        <w:tc>
          <w:tcPr>
            <w:tcW w:w="1132" w:type="pct"/>
            <w:vAlign w:val="center"/>
          </w:tcPr>
          <w:p w14:paraId="7C9C610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现场答疑</w:t>
            </w:r>
          </w:p>
        </w:tc>
        <w:tc>
          <w:tcPr>
            <w:tcW w:w="340" w:type="pct"/>
            <w:vAlign w:val="center"/>
          </w:tcPr>
          <w:p w14:paraId="08B9CE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Times New Roman" w:eastAsia="宋体" w:cs="Times New Roman"/>
                <w:highlight w:val="none"/>
                <w:lang w:val="en-US" w:eastAsia="zh-CN"/>
              </w:rPr>
            </w:pPr>
            <w:r>
              <w:rPr>
                <w:rFonts w:hint="eastAsia" w:ascii="宋体" w:cs="Times New Roman"/>
                <w:highlight w:val="none"/>
                <w:lang w:val="en-US" w:eastAsia="zh-CN"/>
              </w:rPr>
              <w:t>15</w:t>
            </w:r>
          </w:p>
        </w:tc>
        <w:tc>
          <w:tcPr>
            <w:tcW w:w="2624" w:type="pct"/>
            <w:vAlign w:val="center"/>
          </w:tcPr>
          <w:p w14:paraId="53AA1FA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投标人代表对方案、技术优势的讲解，以及就该项目难点回答评标专家现场提问，打分0-</w:t>
            </w:r>
            <w:r>
              <w:rPr>
                <w:rFonts w:hint="eastAsia" w:ascii="宋体" w:cs="Times New Roman"/>
                <w:highlight w:val="none"/>
                <w:lang w:val="en-US" w:eastAsia="zh-CN"/>
              </w:rPr>
              <w:t>15</w:t>
            </w:r>
            <w:r>
              <w:rPr>
                <w:rFonts w:hint="eastAsia" w:ascii="宋体" w:hAnsi="Times New Roman" w:eastAsia="宋体" w:cs="Times New Roman"/>
                <w:highlight w:val="none"/>
              </w:rPr>
              <w:t>分。</w:t>
            </w:r>
          </w:p>
        </w:tc>
      </w:tr>
      <w:tr w14:paraId="3F975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6" w:hRule="atLeast"/>
          <w:jc w:val="center"/>
        </w:trPr>
        <w:tc>
          <w:tcPr>
            <w:tcW w:w="428" w:type="pct"/>
            <w:vMerge w:val="continue"/>
            <w:vAlign w:val="center"/>
          </w:tcPr>
          <w:p w14:paraId="2129B59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p>
        </w:tc>
        <w:tc>
          <w:tcPr>
            <w:tcW w:w="473" w:type="pct"/>
            <w:vAlign w:val="center"/>
          </w:tcPr>
          <w:p w14:paraId="77E712C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技术偏离</w:t>
            </w:r>
          </w:p>
        </w:tc>
        <w:tc>
          <w:tcPr>
            <w:tcW w:w="1132" w:type="pct"/>
            <w:vAlign w:val="center"/>
          </w:tcPr>
          <w:p w14:paraId="1F1C140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技术偏离</w:t>
            </w:r>
          </w:p>
        </w:tc>
        <w:tc>
          <w:tcPr>
            <w:tcW w:w="340" w:type="pct"/>
            <w:vAlign w:val="center"/>
          </w:tcPr>
          <w:p w14:paraId="5A45176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Times New Roman" w:eastAsia="宋体" w:cs="Times New Roman"/>
                <w:highlight w:val="none"/>
                <w:lang w:eastAsia="zh-CN"/>
              </w:rPr>
            </w:pPr>
            <w:r>
              <w:rPr>
                <w:rFonts w:hint="eastAsia" w:ascii="宋体" w:hAnsi="Times New Roman" w:eastAsia="宋体" w:cs="Times New Roman"/>
                <w:highlight w:val="none"/>
              </w:rPr>
              <w:t>1</w:t>
            </w:r>
            <w:r>
              <w:rPr>
                <w:rFonts w:hint="eastAsia" w:ascii="宋体" w:cs="Times New Roman"/>
                <w:highlight w:val="none"/>
                <w:lang w:val="en-US" w:eastAsia="zh-CN"/>
              </w:rPr>
              <w:t>5</w:t>
            </w:r>
          </w:p>
        </w:tc>
        <w:tc>
          <w:tcPr>
            <w:tcW w:w="2624" w:type="pct"/>
            <w:vAlign w:val="center"/>
          </w:tcPr>
          <w:p w14:paraId="7DF7DD0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由评标委员会成员独立进行客观、公正的评价，根据各投标人的核心产品的配置参数、技术偏离情况，在满足我司技术基本要求的前提下偏离，无偏离得满分1</w:t>
            </w:r>
            <w:r>
              <w:rPr>
                <w:rFonts w:hint="eastAsia" w:ascii="宋体" w:cs="Times New Roman"/>
                <w:highlight w:val="none"/>
                <w:lang w:val="en-US" w:eastAsia="zh-CN"/>
              </w:rPr>
              <w:t>5</w:t>
            </w:r>
            <w:r>
              <w:rPr>
                <w:rFonts w:hint="eastAsia" w:ascii="宋体" w:hAnsi="Times New Roman" w:eastAsia="宋体" w:cs="Times New Roman"/>
                <w:highlight w:val="none"/>
              </w:rPr>
              <w:t>分，较大偏离每一项扣4分，一般偏离每一项扣2分，最低0分。</w:t>
            </w:r>
          </w:p>
        </w:tc>
      </w:tr>
      <w:tr w14:paraId="6616D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pct"/>
            <w:vMerge w:val="continue"/>
            <w:vAlign w:val="center"/>
          </w:tcPr>
          <w:p w14:paraId="0CB7B40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p>
        </w:tc>
        <w:tc>
          <w:tcPr>
            <w:tcW w:w="473" w:type="pct"/>
            <w:vMerge w:val="restart"/>
            <w:vAlign w:val="center"/>
          </w:tcPr>
          <w:p w14:paraId="753CE2D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售后服务</w:t>
            </w:r>
          </w:p>
        </w:tc>
        <w:tc>
          <w:tcPr>
            <w:tcW w:w="1132" w:type="pct"/>
            <w:vAlign w:val="center"/>
          </w:tcPr>
          <w:p w14:paraId="6D31ECE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技术培训方案：对采购方人员的技术培训方案安排科学、合理、可行</w:t>
            </w:r>
          </w:p>
        </w:tc>
        <w:tc>
          <w:tcPr>
            <w:tcW w:w="340" w:type="pct"/>
            <w:vAlign w:val="center"/>
          </w:tcPr>
          <w:p w14:paraId="25EDAA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Times New Roman" w:eastAsia="宋体" w:cs="Times New Roman"/>
                <w:highlight w:val="none"/>
                <w:lang w:val="en-US" w:eastAsia="zh-CN"/>
              </w:rPr>
            </w:pPr>
            <w:r>
              <w:rPr>
                <w:rFonts w:hint="eastAsia" w:ascii="宋体" w:cs="Times New Roman"/>
                <w:highlight w:val="none"/>
                <w:lang w:val="en-US" w:eastAsia="zh-CN"/>
              </w:rPr>
              <w:t>5</w:t>
            </w:r>
          </w:p>
        </w:tc>
        <w:tc>
          <w:tcPr>
            <w:tcW w:w="2624" w:type="pct"/>
            <w:vAlign w:val="center"/>
          </w:tcPr>
          <w:p w14:paraId="386A4F3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由评标委员会成员独立进行客观、公正的评价，按照优、良、一般进行赋分，优得</w:t>
            </w:r>
            <w:r>
              <w:rPr>
                <w:rFonts w:hint="eastAsia" w:ascii="宋体" w:cs="Times New Roman"/>
                <w:highlight w:val="none"/>
                <w:lang w:val="en-US" w:eastAsia="zh-CN"/>
              </w:rPr>
              <w:t>5</w:t>
            </w:r>
            <w:r>
              <w:rPr>
                <w:rFonts w:hint="eastAsia" w:ascii="宋体" w:hAnsi="Times New Roman" w:eastAsia="宋体" w:cs="Times New Roman"/>
                <w:highlight w:val="none"/>
              </w:rPr>
              <w:t>分，良得</w:t>
            </w:r>
            <w:r>
              <w:rPr>
                <w:rFonts w:hint="eastAsia" w:ascii="宋体" w:cs="Times New Roman"/>
                <w:highlight w:val="none"/>
                <w:lang w:val="en-US" w:eastAsia="zh-CN"/>
              </w:rPr>
              <w:t>3</w:t>
            </w:r>
            <w:r>
              <w:rPr>
                <w:rFonts w:hint="eastAsia" w:ascii="宋体" w:hAnsi="Times New Roman" w:eastAsia="宋体" w:cs="Times New Roman"/>
                <w:highlight w:val="none"/>
              </w:rPr>
              <w:t>分，一般得</w:t>
            </w:r>
            <w:r>
              <w:rPr>
                <w:rFonts w:hint="eastAsia" w:ascii="宋体" w:cs="Times New Roman"/>
                <w:highlight w:val="none"/>
                <w:lang w:val="en-US" w:eastAsia="zh-CN"/>
              </w:rPr>
              <w:t>1</w:t>
            </w:r>
            <w:r>
              <w:rPr>
                <w:rFonts w:hint="eastAsia" w:ascii="宋体" w:hAnsi="Times New Roman" w:eastAsia="宋体" w:cs="Times New Roman"/>
                <w:highlight w:val="none"/>
              </w:rPr>
              <w:t>分。</w:t>
            </w:r>
          </w:p>
        </w:tc>
      </w:tr>
      <w:tr w14:paraId="02D1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pct"/>
            <w:vMerge w:val="continue"/>
            <w:vAlign w:val="center"/>
          </w:tcPr>
          <w:p w14:paraId="2C6F35E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p>
        </w:tc>
        <w:tc>
          <w:tcPr>
            <w:tcW w:w="473" w:type="pct"/>
            <w:vMerge w:val="continue"/>
            <w:vAlign w:val="center"/>
          </w:tcPr>
          <w:p w14:paraId="55CC35D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p>
        </w:tc>
        <w:tc>
          <w:tcPr>
            <w:tcW w:w="1132" w:type="pct"/>
            <w:vAlign w:val="center"/>
          </w:tcPr>
          <w:p w14:paraId="568FF7D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售后服务及时周到，有相应的服务承诺和具体的保证措施</w:t>
            </w:r>
          </w:p>
        </w:tc>
        <w:tc>
          <w:tcPr>
            <w:tcW w:w="340" w:type="pct"/>
            <w:vAlign w:val="center"/>
          </w:tcPr>
          <w:p w14:paraId="6503EDF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Times New Roman" w:eastAsia="宋体" w:cs="Times New Roman"/>
                <w:highlight w:val="none"/>
                <w:lang w:val="en-US" w:eastAsia="zh-CN"/>
              </w:rPr>
            </w:pPr>
            <w:r>
              <w:rPr>
                <w:rFonts w:hint="eastAsia" w:ascii="宋体" w:cs="Times New Roman"/>
                <w:highlight w:val="none"/>
                <w:lang w:val="en-US" w:eastAsia="zh-CN"/>
              </w:rPr>
              <w:t>5</w:t>
            </w:r>
          </w:p>
        </w:tc>
        <w:tc>
          <w:tcPr>
            <w:tcW w:w="2624" w:type="pct"/>
            <w:vAlign w:val="center"/>
          </w:tcPr>
          <w:p w14:paraId="7CF6DF9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highlight w:val="none"/>
              </w:rPr>
            </w:pPr>
            <w:r>
              <w:rPr>
                <w:rFonts w:hint="eastAsia" w:ascii="宋体" w:hAnsi="Times New Roman" w:eastAsia="宋体" w:cs="Times New Roman"/>
                <w:highlight w:val="none"/>
              </w:rPr>
              <w:t>由评标委员会成员独立进行客观、公正的评价，按照优、良、一般进行赋分，优得</w:t>
            </w:r>
            <w:r>
              <w:rPr>
                <w:rFonts w:hint="eastAsia" w:ascii="宋体" w:cs="Times New Roman"/>
                <w:highlight w:val="none"/>
                <w:lang w:val="en-US" w:eastAsia="zh-CN"/>
              </w:rPr>
              <w:t>5</w:t>
            </w:r>
            <w:r>
              <w:rPr>
                <w:rFonts w:hint="eastAsia" w:ascii="宋体" w:hAnsi="Times New Roman" w:eastAsia="宋体" w:cs="Times New Roman"/>
                <w:highlight w:val="none"/>
              </w:rPr>
              <w:t>分，良得</w:t>
            </w:r>
            <w:r>
              <w:rPr>
                <w:rFonts w:hint="eastAsia" w:ascii="宋体" w:cs="Times New Roman"/>
                <w:highlight w:val="none"/>
                <w:lang w:val="en-US" w:eastAsia="zh-CN"/>
              </w:rPr>
              <w:t>3</w:t>
            </w:r>
            <w:r>
              <w:rPr>
                <w:rFonts w:hint="eastAsia" w:ascii="宋体" w:hAnsi="Times New Roman" w:eastAsia="宋体" w:cs="Times New Roman"/>
                <w:highlight w:val="none"/>
              </w:rPr>
              <w:t>分，一般得</w:t>
            </w:r>
            <w:r>
              <w:rPr>
                <w:rFonts w:hint="eastAsia" w:ascii="宋体" w:cs="Times New Roman"/>
                <w:highlight w:val="none"/>
                <w:lang w:val="en-US" w:eastAsia="zh-CN"/>
              </w:rPr>
              <w:t>1</w:t>
            </w:r>
            <w:r>
              <w:rPr>
                <w:rFonts w:hint="eastAsia" w:ascii="宋体" w:hAnsi="Times New Roman" w:eastAsia="宋体" w:cs="Times New Roman"/>
                <w:highlight w:val="none"/>
              </w:rPr>
              <w:t>分。</w:t>
            </w:r>
          </w:p>
        </w:tc>
      </w:tr>
      <w:tr w14:paraId="6EE4A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pct"/>
            <w:gridSpan w:val="2"/>
            <w:vAlign w:val="center"/>
          </w:tcPr>
          <w:p w14:paraId="5048A432">
            <w:pPr>
              <w:jc w:val="center"/>
              <w:rPr>
                <w:rFonts w:hint="eastAsia" w:ascii="宋体" w:hAnsi="Times New Roman" w:eastAsia="宋体" w:cs="Times New Roman"/>
                <w:highlight w:val="none"/>
              </w:rPr>
            </w:pPr>
            <w:r>
              <w:rPr>
                <w:rFonts w:hint="eastAsia" w:ascii="宋体"/>
                <w:szCs w:val="21"/>
                <w:highlight w:val="none"/>
              </w:rPr>
              <w:t>商务标</w:t>
            </w:r>
          </w:p>
        </w:tc>
        <w:tc>
          <w:tcPr>
            <w:tcW w:w="1132" w:type="pct"/>
            <w:vAlign w:val="center"/>
          </w:tcPr>
          <w:p w14:paraId="20BD1CDF">
            <w:pPr>
              <w:jc w:val="center"/>
              <w:rPr>
                <w:rFonts w:hint="eastAsia" w:ascii="宋体" w:hAnsi="Times New Roman" w:eastAsia="宋体" w:cs="Times New Roman"/>
                <w:highlight w:val="none"/>
              </w:rPr>
            </w:pPr>
            <w:r>
              <w:rPr>
                <w:rFonts w:hint="eastAsia" w:ascii="宋体" w:hAnsi="宋体"/>
                <w:highlight w:val="none"/>
              </w:rPr>
              <w:t>投标报价</w:t>
            </w:r>
          </w:p>
        </w:tc>
        <w:tc>
          <w:tcPr>
            <w:tcW w:w="340" w:type="pct"/>
            <w:vAlign w:val="center"/>
          </w:tcPr>
          <w:p w14:paraId="30C59F56">
            <w:pPr>
              <w:spacing w:line="440" w:lineRule="exact"/>
              <w:jc w:val="center"/>
              <w:rPr>
                <w:rFonts w:hint="eastAsia" w:ascii="宋体" w:hAnsi="Times New Roman" w:eastAsia="宋体" w:cs="Times New Roman"/>
                <w:highlight w:val="none"/>
              </w:rPr>
            </w:pPr>
            <w:r>
              <w:rPr>
                <w:rFonts w:hint="eastAsia" w:ascii="宋体"/>
                <w:highlight w:val="none"/>
                <w:lang w:val="en-US" w:eastAsia="zh-CN"/>
              </w:rPr>
              <w:t>100</w:t>
            </w:r>
          </w:p>
        </w:tc>
        <w:tc>
          <w:tcPr>
            <w:tcW w:w="2624" w:type="pct"/>
            <w:vAlign w:val="center"/>
          </w:tcPr>
          <w:p w14:paraId="787D68E3">
            <w:pPr>
              <w:tabs>
                <w:tab w:val="left" w:pos="7854"/>
              </w:tabs>
              <w:spacing w:line="280" w:lineRule="exact"/>
              <w:rPr>
                <w:rFonts w:hint="eastAsia" w:ascii="宋体" w:hAnsi="Times New Roman" w:eastAsia="宋体" w:cs="Times New Roman"/>
                <w:highlight w:val="none"/>
              </w:rPr>
            </w:pPr>
            <w:r>
              <w:rPr>
                <w:rFonts w:hint="eastAsia" w:ascii="仿宋_GB2312" w:hAnsi="仿宋_GB2312" w:cs="仿宋_GB2312"/>
                <w:color w:val="000000"/>
                <w:szCs w:val="28"/>
                <w:highlight w:val="none"/>
              </w:rPr>
              <w:t>商</w:t>
            </w:r>
            <w:r>
              <w:rPr>
                <w:rFonts w:hint="eastAsia" w:ascii="仿宋_GB2312" w:hAnsi="仿宋_GB2312" w:cs="仿宋_GB2312"/>
                <w:bCs/>
                <w:highlight w:val="none"/>
              </w:rPr>
              <w:t>务标得分=当前轮次最低价/供方投标价×商务标总分。</w:t>
            </w:r>
          </w:p>
        </w:tc>
      </w:tr>
      <w:tr w14:paraId="09FED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5" w:hRule="atLeast"/>
          <w:jc w:val="center"/>
        </w:trPr>
        <w:tc>
          <w:tcPr>
            <w:tcW w:w="5000" w:type="pct"/>
            <w:gridSpan w:val="5"/>
            <w:vAlign w:val="center"/>
          </w:tcPr>
          <w:p w14:paraId="16CB87AB">
            <w:pPr>
              <w:rPr>
                <w:rFonts w:ascii="宋体"/>
                <w:szCs w:val="21"/>
                <w:highlight w:val="none"/>
              </w:rPr>
            </w:pPr>
            <w:r>
              <w:rPr>
                <w:rFonts w:hint="eastAsia" w:ascii="宋体" w:hAnsi="宋体"/>
                <w:highlight w:val="none"/>
              </w:rPr>
              <w:t>备注：</w:t>
            </w:r>
          </w:p>
          <w:p w14:paraId="700E211C">
            <w:pPr>
              <w:rPr>
                <w:rFonts w:ascii="宋体"/>
                <w:highlight w:val="none"/>
              </w:rPr>
            </w:pPr>
            <w:r>
              <w:rPr>
                <w:rFonts w:hint="eastAsia" w:ascii="宋体" w:hAnsi="宋体"/>
                <w:highlight w:val="none"/>
              </w:rPr>
              <w:t>1、通过初审者为有效投标。</w:t>
            </w:r>
          </w:p>
          <w:p w14:paraId="720A3CF9">
            <w:pPr>
              <w:rPr>
                <w:rFonts w:hint="eastAsia" w:ascii="宋体" w:eastAsia="宋体"/>
                <w:b/>
                <w:bCs/>
                <w:color w:val="FF0000"/>
                <w:sz w:val="18"/>
                <w:szCs w:val="18"/>
                <w:highlight w:val="none"/>
                <w:lang w:eastAsia="zh-CN"/>
              </w:rPr>
            </w:pPr>
            <w:r>
              <w:rPr>
                <w:rFonts w:hint="eastAsia" w:ascii="宋体" w:hAnsi="宋体"/>
                <w:highlight w:val="none"/>
              </w:rPr>
              <w:t>2、</w:t>
            </w:r>
            <w:r>
              <w:rPr>
                <w:rFonts w:hint="eastAsia" w:ascii="??" w:hAnsi="??"/>
                <w:highlight w:val="none"/>
              </w:rPr>
              <w:t>综合评价值相同的，依照</w:t>
            </w:r>
            <w:r>
              <w:rPr>
                <w:rFonts w:hint="eastAsia" w:ascii="??" w:hAnsi="??"/>
                <w:highlight w:val="none"/>
                <w:lang w:val="en-US" w:eastAsia="zh-CN"/>
              </w:rPr>
              <w:t>业绩</w:t>
            </w:r>
            <w:r>
              <w:rPr>
                <w:rFonts w:hint="eastAsia" w:ascii="??" w:hAnsi="??"/>
                <w:highlight w:val="none"/>
              </w:rPr>
              <w:t>、技术、</w:t>
            </w:r>
            <w:r>
              <w:rPr>
                <w:rFonts w:hint="eastAsia" w:ascii="??" w:hAnsi="??"/>
                <w:highlight w:val="none"/>
                <w:lang w:val="en-US" w:eastAsia="zh-CN"/>
              </w:rPr>
              <w:t>答疑</w:t>
            </w:r>
            <w:r>
              <w:rPr>
                <w:rFonts w:hint="eastAsia" w:ascii="??" w:hAnsi="??"/>
                <w:highlight w:val="none"/>
              </w:rPr>
              <w:t>、</w:t>
            </w:r>
            <w:r>
              <w:rPr>
                <w:rFonts w:hint="eastAsia" w:ascii="??" w:hAnsi="??"/>
                <w:highlight w:val="none"/>
                <w:lang w:val="en-US" w:eastAsia="zh-CN"/>
              </w:rPr>
              <w:t>技术偏离及</w:t>
            </w:r>
            <w:r>
              <w:rPr>
                <w:rFonts w:hint="eastAsia" w:ascii="??" w:hAnsi="??"/>
                <w:highlight w:val="none"/>
              </w:rPr>
              <w:t>服务</w:t>
            </w:r>
            <w:r>
              <w:rPr>
                <w:rFonts w:hint="eastAsia" w:ascii="??" w:hAnsi="??"/>
                <w:highlight w:val="none"/>
                <w:lang w:val="en-US" w:eastAsia="zh-CN"/>
              </w:rPr>
              <w:t>等</w:t>
            </w:r>
            <w:r>
              <w:rPr>
                <w:rFonts w:hint="eastAsia" w:ascii="??" w:hAnsi="??"/>
                <w:highlight w:val="none"/>
              </w:rPr>
              <w:t>内容的优先次序，根据分项评价值进行排名。</w:t>
            </w:r>
            <w:r>
              <w:rPr>
                <w:rFonts w:hint="eastAsia" w:ascii="宋体" w:hAnsi="宋体"/>
                <w:highlight w:val="none"/>
              </w:rPr>
              <w:t>若上述排名皆相同的，则由全体评委成员无记名投票，得票高者排序在前。</w:t>
            </w:r>
          </w:p>
          <w:p w14:paraId="24D35203">
            <w:pPr>
              <w:rPr>
                <w:rFonts w:hint="eastAsia" w:ascii="宋体" w:hAnsi="宋体"/>
                <w:highlight w:val="none"/>
              </w:rPr>
            </w:pPr>
            <w:r>
              <w:rPr>
                <w:rFonts w:hint="eastAsia" w:ascii="宋体" w:hAnsi="宋体"/>
                <w:highlight w:val="none"/>
              </w:rPr>
              <w:t>3、评委打分超过得分界限或未按本方法赋分时，该评委的打分按废票处理。</w:t>
            </w:r>
          </w:p>
          <w:p w14:paraId="51FE70FC">
            <w:pPr>
              <w:tabs>
                <w:tab w:val="left" w:pos="7854"/>
              </w:tabs>
              <w:spacing w:line="280" w:lineRule="exact"/>
              <w:rPr>
                <w:rFonts w:hint="eastAsia" w:ascii="仿宋_GB2312" w:hAnsi="仿宋_GB2312" w:cs="仿宋_GB2312"/>
                <w:color w:val="000000"/>
                <w:szCs w:val="28"/>
                <w:highlight w:val="yellow"/>
              </w:rPr>
            </w:pPr>
            <w:r>
              <w:rPr>
                <w:rFonts w:hint="eastAsia" w:ascii="宋体" w:hAnsi="宋体"/>
                <w:highlight w:val="none"/>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36B4799B">
      <w:pPr>
        <w:pStyle w:val="72"/>
        <w:keepNext w:val="0"/>
        <w:keepLines w:val="0"/>
        <w:pageBreakBefore w:val="0"/>
        <w:widowControl w:val="0"/>
        <w:numPr>
          <w:ilvl w:val="0"/>
          <w:numId w:val="0"/>
        </w:numPr>
        <w:kinsoku/>
        <w:wordWrap/>
        <w:overflowPunct/>
        <w:topLinePunct w:val="0"/>
        <w:autoSpaceDE/>
        <w:autoSpaceDN/>
        <w:bidi w:val="0"/>
        <w:adjustRightInd/>
        <w:snapToGrid/>
        <w:spacing w:before="79" w:beforeLines="25" w:line="440" w:lineRule="exact"/>
        <w:ind w:leftChars="0"/>
        <w:textAlignment w:val="auto"/>
        <w:outlineLvl w:val="3"/>
        <w:rPr>
          <w:rFonts w:hint="eastAsia" w:ascii="黑体" w:hAnsi="黑体" w:eastAsia="黑体" w:cs="黑体"/>
          <w:b w:val="0"/>
          <w:bCs w:val="0"/>
          <w:sz w:val="21"/>
          <w:szCs w:val="21"/>
          <w:highlight w:val="yellow"/>
          <w:lang w:val="en-US" w:eastAsia="zh-CN"/>
        </w:rPr>
      </w:pPr>
    </w:p>
    <w:p w14:paraId="7ABFF7F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cs="Times New Roman"/>
          <w:lang w:val="en-US" w:eastAsia="zh-CN"/>
        </w:rPr>
        <w:t>定标</w:t>
      </w:r>
    </w:p>
    <w:p w14:paraId="128E4AB3">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lang w:eastAsia="zh-CN"/>
        </w:rPr>
      </w:pPr>
      <w:r>
        <w:rPr>
          <w:rFonts w:hint="eastAsia"/>
        </w:rPr>
        <w:t>本项目只产生</w:t>
      </w:r>
      <w:r>
        <w:rPr>
          <w:rFonts w:hint="eastAsia"/>
          <w:lang w:val="en-US" w:eastAsia="zh-CN"/>
        </w:rPr>
        <w:t>1</w:t>
      </w:r>
      <w:r>
        <w:rPr>
          <w:rFonts w:hint="eastAsia"/>
        </w:rPr>
        <w:t>个中标人。中标人签订合同前须进行最终审查。最终审查的对象</w:t>
      </w:r>
      <w:r>
        <w:rPr>
          <w:rFonts w:hint="eastAsia"/>
          <w:lang w:val="en-US" w:eastAsia="zh-CN"/>
        </w:rPr>
        <w:t>是</w:t>
      </w:r>
      <w:r>
        <w:rPr>
          <w:rFonts w:hint="eastAsia"/>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lang w:val="en-US" w:eastAsia="zh-CN"/>
        </w:rPr>
        <w:t>的</w:t>
      </w:r>
      <w:r>
        <w:rPr>
          <w:rFonts w:hint="eastAsia"/>
        </w:rPr>
        <w:t>，则本次评标作废</w:t>
      </w:r>
      <w:r>
        <w:rPr>
          <w:rFonts w:hint="eastAsia"/>
          <w:lang w:val="en-US" w:eastAsia="zh-CN"/>
        </w:rPr>
        <w:t>或变更意向中标人</w:t>
      </w:r>
      <w:r>
        <w:rPr>
          <w:rFonts w:hint="eastAsia"/>
          <w:lang w:eastAsia="zh-CN"/>
        </w:rPr>
        <w:t>。</w:t>
      </w:r>
    </w:p>
    <w:p w14:paraId="3AA77D44">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废标及终止招标</w:t>
      </w:r>
    </w:p>
    <w:p w14:paraId="142C2ED1">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10D8CE2A">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投标人提供的有关资格、资质证明文件不合格、不真实或提供虚假投标材料；</w:t>
      </w:r>
    </w:p>
    <w:p w14:paraId="11CD6759">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投标人在报价有效期内撤回投标；</w:t>
      </w:r>
    </w:p>
    <w:p w14:paraId="36828C32">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lang w:eastAsia="zh-CN"/>
        </w:rPr>
      </w:pPr>
      <w:r>
        <w:rPr>
          <w:rFonts w:hint="eastAsia"/>
        </w:rPr>
        <w:t>在整个评标过程中，投标人有企图影响评标结果公正性的任何活动；</w:t>
      </w:r>
    </w:p>
    <w:p w14:paraId="180B5EA9">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投标人以任何方式诋毁其他投标人；</w:t>
      </w:r>
    </w:p>
    <w:p w14:paraId="1C13F936">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投标人串通投标；</w:t>
      </w:r>
    </w:p>
    <w:p w14:paraId="6F972373">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投标人被举报、检举，并经招标人查实无误的；</w:t>
      </w:r>
    </w:p>
    <w:p w14:paraId="594F9003">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以他人名义投标或者以其他方式弄虚作假，骗取中标的；</w:t>
      </w:r>
    </w:p>
    <w:p w14:paraId="2F150EBC">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投标人负责人为同一人或者存在控股、管理关系的不同单位；</w:t>
      </w:r>
    </w:p>
    <w:p w14:paraId="682EE2C2">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有效投标不足三家；</w:t>
      </w:r>
    </w:p>
    <w:p w14:paraId="26910968">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不同投标人的投标文件异常一致或者投标报价呈规律性差异的；</w:t>
      </w:r>
    </w:p>
    <w:p w14:paraId="19D209E4">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投标人报价均超过</w:t>
      </w:r>
      <w:r>
        <w:rPr>
          <w:rFonts w:hint="eastAsia"/>
          <w:lang w:val="en-US" w:eastAsia="zh-CN"/>
        </w:rPr>
        <w:t>最高限价</w:t>
      </w:r>
      <w:r>
        <w:rPr>
          <w:rFonts w:hint="eastAsia"/>
        </w:rPr>
        <w:t>的；</w:t>
      </w:r>
    </w:p>
    <w:p w14:paraId="524419BB">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未按要求填报商务报价资料，对招标开展造成较大影响；</w:t>
      </w:r>
    </w:p>
    <w:p w14:paraId="1E18AA30">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lang w:val="en-US" w:eastAsia="zh-CN"/>
        </w:rPr>
        <w:t>未按照招标人规定的时间内在中国重汽e采通完成投标的；</w:t>
      </w:r>
    </w:p>
    <w:p w14:paraId="3867D464">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法律、法规规定的其他情况。</w:t>
      </w:r>
    </w:p>
    <w:p w14:paraId="3B3DBA28">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出现下列情形之一，招标人有权否决所有投标人的投标，并终止招标。</w:t>
      </w:r>
    </w:p>
    <w:p w14:paraId="308BCC6D">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符合条件的投标人或者对招标文件做实质响应的投标人不足三家的；</w:t>
      </w:r>
    </w:p>
    <w:p w14:paraId="4D3DAFC5">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出现影响采购公正的违法、违规行为的；</w:t>
      </w:r>
    </w:p>
    <w:p w14:paraId="3A2A7097">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评标委员会经评审，认为所有投标都不符合招标文件要求的；</w:t>
      </w:r>
    </w:p>
    <w:p w14:paraId="6AEA7C18">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因重大变故，采购任务取消的</w:t>
      </w:r>
      <w:bookmarkStart w:id="6" w:name="OLE_LINK29"/>
      <w:bookmarkStart w:id="7" w:name="OLE_LINK26"/>
      <w:bookmarkStart w:id="8" w:name="OLE_LINK25"/>
      <w:bookmarkStart w:id="9" w:name="OLE_LINK28"/>
      <w:bookmarkStart w:id="10" w:name="OLE_LINK27"/>
      <w:r>
        <w:rPr>
          <w:rFonts w:hint="eastAsia" w:ascii="宋体" w:hAnsi="宋体" w:eastAsia="宋体" w:cs="宋体"/>
          <w:sz w:val="21"/>
          <w:szCs w:val="21"/>
          <w:highlight w:val="none"/>
        </w:rPr>
        <w:t>；</w:t>
      </w:r>
      <w:bookmarkEnd w:id="6"/>
      <w:bookmarkEnd w:id="7"/>
      <w:bookmarkEnd w:id="8"/>
      <w:bookmarkEnd w:id="9"/>
      <w:bookmarkEnd w:id="10"/>
    </w:p>
    <w:p w14:paraId="4E6479C0">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招标人认为其他应终止招标的情形。</w:t>
      </w:r>
    </w:p>
    <w:p w14:paraId="1980805A">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6581518F">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hAnsi="Courier New" w:cs="Times New Roman"/>
          <w:highlight w:val="none"/>
          <w:lang w:val="en-US" w:eastAsia="zh-CN"/>
        </w:rPr>
        <w:t>合同</w:t>
      </w:r>
      <w:r>
        <w:rPr>
          <w:rFonts w:hint="eastAsia"/>
          <w:lang w:val="en-US" w:eastAsia="zh-CN"/>
        </w:rPr>
        <w:t>签订</w:t>
      </w:r>
    </w:p>
    <w:p w14:paraId="4AF7D27B">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rPr>
      </w:pPr>
      <w:r>
        <w:rPr>
          <w:rFonts w:hint="eastAsia" w:ascii="宋体" w:hAnsi="宋体" w:cs="宋体"/>
          <w:color w:val="000000"/>
          <w:sz w:val="21"/>
          <w:szCs w:val="21"/>
        </w:rPr>
        <w:t>招标人根据评标工作小组的评标结果确定中标人，在重汽e采通平台公布中标结果，并发送中标通知。</w:t>
      </w:r>
    </w:p>
    <w:p w14:paraId="2C6AECD2">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rPr>
      </w:pPr>
      <w:r>
        <w:rPr>
          <w:rFonts w:hint="eastAsia" w:ascii="宋体" w:hAnsi="宋体" w:cs="宋体"/>
          <w:color w:val="000000"/>
          <w:sz w:val="21"/>
          <w:szCs w:val="21"/>
        </w:rPr>
        <w:t>中标人应该在中标通知书规定的时间、地点与招标人签订采购合同，否则按照开标后撤回投标处理。</w:t>
      </w:r>
    </w:p>
    <w:p w14:paraId="6711716E">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b w:val="0"/>
          <w:bCs w:val="0"/>
          <w:sz w:val="21"/>
          <w:szCs w:val="21"/>
        </w:rPr>
      </w:pPr>
      <w:r>
        <w:rPr>
          <w:rFonts w:hint="eastAsia" w:ascii="宋体" w:hAnsi="宋体" w:cs="宋体"/>
          <w:b w:val="0"/>
          <w:bCs w:val="0"/>
          <w:color w:val="000000"/>
          <w:sz w:val="21"/>
          <w:szCs w:val="21"/>
        </w:rPr>
        <w:t>中标人应当按照合同约定的履约责任，在保证质量的前提下完成中标项目，不得将中标项目转包或分包给他人，否则视为违约，招标人有权解除合同。</w:t>
      </w:r>
    </w:p>
    <w:p w14:paraId="1725041F">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pPr>
      <w:r>
        <w:rPr>
          <w:rFonts w:hint="eastAsia" w:ascii="宋体" w:hAnsi="宋体" w:cs="宋体"/>
          <w:b w:val="0"/>
          <w:bCs w:val="0"/>
          <w:color w:val="000000"/>
          <w:sz w:val="21"/>
          <w:szCs w:val="21"/>
        </w:rPr>
        <w:t>招标人有权指定招标人的关联单位作为合同签订人，与中标人签署相关合同，且具体权利义务以中标人与招标人的关联公司最终签署的合同为准</w:t>
      </w:r>
      <w:r>
        <w:rPr>
          <w:rFonts w:hint="eastAsia" w:ascii="宋体" w:hAnsi="宋体" w:cs="宋体"/>
          <w:b w:val="0"/>
          <w:bCs w:val="0"/>
          <w:color w:val="000000"/>
          <w:sz w:val="21"/>
          <w:szCs w:val="21"/>
          <w:lang w:eastAsia="zh-CN"/>
        </w:rPr>
        <w:t>。</w:t>
      </w:r>
    </w:p>
    <w:p w14:paraId="3820B38B">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rPr>
        <w:t>中标人由于履行义务的能力或信用有严重缺陷，招标人有权取消其中标资格，招标人将从中标候选单位中依序重新确定中标人，或重新组织招标；</w:t>
      </w:r>
    </w:p>
    <w:p w14:paraId="19BF2E5D">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rPr>
        <w:t>合同以双方最终签署的版本为准。</w:t>
      </w:r>
    </w:p>
    <w:p w14:paraId="677CFA2B">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交货及付款</w:t>
      </w:r>
    </w:p>
    <w:p w14:paraId="4EFFA559">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交货期：以最终签署的协议（或合同）约定为准。</w:t>
      </w:r>
    </w:p>
    <w:p w14:paraId="5E840CB0">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交货地点：详见技术要求。</w:t>
      </w:r>
    </w:p>
    <w:p w14:paraId="06E2E0E4">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交货方式：详见技术要求。</w:t>
      </w:r>
    </w:p>
    <w:p w14:paraId="14476669">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highlight w:val="none"/>
          <w:lang w:val="en-US" w:eastAsia="zh-CN"/>
        </w:rPr>
        <w:t>质保期：12个月</w:t>
      </w:r>
      <w:r>
        <w:rPr>
          <w:rFonts w:hint="eastAsia" w:cs="Times New Roman"/>
          <w:lang w:val="en-US" w:eastAsia="zh-CN"/>
        </w:rPr>
        <w:t>。</w:t>
      </w:r>
    </w:p>
    <w:p w14:paraId="3CCE52AC">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付款方式：半年期商业汇票（包括银行承兑汇票和商业承兑汇票）</w:t>
      </w:r>
    </w:p>
    <w:p w14:paraId="1D849218">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付款节点：</w:t>
      </w:r>
    </w:p>
    <w:p w14:paraId="585062CA">
      <w:pPr>
        <w:pStyle w:val="63"/>
        <w:keepNext w:val="0"/>
        <w:keepLines w:val="0"/>
        <w:pageBreakBefore w:val="0"/>
        <w:widowControl w:val="0"/>
        <w:kinsoku/>
        <w:wordWrap/>
        <w:overflowPunct/>
        <w:topLinePunct w:val="0"/>
        <w:autoSpaceDE/>
        <w:autoSpaceDN/>
        <w:bidi w:val="0"/>
        <w:adjustRightInd/>
        <w:snapToGrid w:val="0"/>
        <w:spacing w:line="440" w:lineRule="exact"/>
        <w:ind w:left="420" w:leftChars="200" w:firstLine="560"/>
        <w:jc w:val="left"/>
        <w:textAlignment w:val="auto"/>
        <w:rPr>
          <w:rFonts w:ascii="仿宋_GB2312" w:hAnsi="仿宋_GB2312" w:cs="仿宋_GB2312"/>
          <w:bCs/>
        </w:rPr>
      </w:pPr>
      <w:r>
        <w:rPr>
          <w:rFonts w:ascii="仿宋_GB2312" w:hAnsi="仿宋_GB2312" w:cs="仿宋_GB2312"/>
          <w:bCs/>
        </w:rPr>
        <w:t>A.设备全部到货</w:t>
      </w:r>
      <w:r>
        <w:rPr>
          <w:rFonts w:hint="eastAsia" w:ascii="仿宋_GB2312" w:hAnsi="仿宋_GB2312" w:cs="仿宋_GB2312"/>
          <w:bCs/>
        </w:rPr>
        <w:t>且无质量问题</w:t>
      </w:r>
      <w:r>
        <w:rPr>
          <w:rFonts w:ascii="仿宋_GB2312" w:hAnsi="仿宋_GB2312" w:cs="仿宋_GB2312"/>
          <w:bCs/>
        </w:rPr>
        <w:t>，</w:t>
      </w:r>
      <w:r>
        <w:rPr>
          <w:rFonts w:hint="eastAsia" w:ascii="仿宋_GB2312" w:hAnsi="仿宋_GB2312" w:cs="仿宋_GB2312"/>
          <w:bCs/>
        </w:rPr>
        <w:t>经现场安装、调试、终</w:t>
      </w:r>
      <w:r>
        <w:rPr>
          <w:rFonts w:ascii="仿宋_GB2312" w:hAnsi="仿宋_GB2312" w:cs="仿宋_GB2312"/>
          <w:bCs/>
        </w:rPr>
        <w:t>验收合格</w:t>
      </w:r>
      <w:r>
        <w:rPr>
          <w:rFonts w:hint="eastAsia" w:ascii="仿宋_GB2312" w:hAnsi="仿宋_GB2312" w:cs="仿宋_GB2312"/>
          <w:bCs/>
        </w:rPr>
        <w:t>交付使用</w:t>
      </w:r>
      <w:r>
        <w:rPr>
          <w:rFonts w:ascii="仿宋_GB2312" w:hAnsi="仿宋_GB2312" w:cs="仿宋_GB2312"/>
          <w:bCs/>
        </w:rPr>
        <w:t>后，中标人提交金额为合同价款</w:t>
      </w:r>
      <w:r>
        <w:rPr>
          <w:rFonts w:hint="eastAsia" w:ascii="仿宋_GB2312" w:hAnsi="仿宋_GB2312" w:cs="仿宋_GB2312"/>
          <w:bCs/>
          <w:lang w:val="en-US" w:eastAsia="zh-CN"/>
        </w:rPr>
        <w:t>9</w:t>
      </w:r>
      <w:r>
        <w:rPr>
          <w:rFonts w:ascii="仿宋_GB2312" w:hAnsi="仿宋_GB2312" w:cs="仿宋_GB2312"/>
          <w:bCs/>
        </w:rPr>
        <w:t>0%的收据并提供合同价款</w:t>
      </w:r>
      <w:r>
        <w:rPr>
          <w:rFonts w:hint="eastAsia" w:ascii="仿宋_GB2312" w:hAnsi="仿宋_GB2312" w:cs="仿宋_GB2312"/>
          <w:bCs/>
          <w:lang w:val="en-US" w:eastAsia="zh-CN"/>
        </w:rPr>
        <w:t>10</w:t>
      </w:r>
      <w:r>
        <w:rPr>
          <w:rFonts w:ascii="仿宋_GB2312" w:hAnsi="仿宋_GB2312" w:cs="仿宋_GB2312"/>
          <w:bCs/>
        </w:rPr>
        <w:t>0%的增值税专用发票（含复印件二份），经招标人依照财务制度审核通过后30日支付；</w:t>
      </w:r>
    </w:p>
    <w:p w14:paraId="2FD2BE48">
      <w:pPr>
        <w:pStyle w:val="63"/>
        <w:keepNext w:val="0"/>
        <w:keepLines w:val="0"/>
        <w:pageBreakBefore w:val="0"/>
        <w:widowControl w:val="0"/>
        <w:kinsoku/>
        <w:wordWrap/>
        <w:overflowPunct/>
        <w:topLinePunct w:val="0"/>
        <w:autoSpaceDE/>
        <w:autoSpaceDN/>
        <w:bidi w:val="0"/>
        <w:adjustRightInd/>
        <w:snapToGrid w:val="0"/>
        <w:spacing w:line="440" w:lineRule="exact"/>
        <w:ind w:left="420" w:leftChars="200" w:firstLine="560"/>
        <w:jc w:val="left"/>
        <w:textAlignment w:val="auto"/>
        <w:rPr>
          <w:rFonts w:hint="default" w:cs="Times New Roman"/>
          <w:highlight w:val="cyan"/>
          <w:lang w:val="en-US" w:eastAsia="zh-CN"/>
        </w:rPr>
      </w:pPr>
      <w:r>
        <w:rPr>
          <w:rFonts w:hint="eastAsia" w:ascii="仿宋_GB2312" w:hAnsi="仿宋_GB2312" w:cs="仿宋_GB2312"/>
          <w:bCs/>
          <w:lang w:val="en-US" w:eastAsia="zh-CN"/>
        </w:rPr>
        <w:t>B</w:t>
      </w:r>
      <w:r>
        <w:rPr>
          <w:rFonts w:ascii="仿宋_GB2312" w:hAnsi="仿宋_GB2312" w:cs="仿宋_GB2312"/>
          <w:bCs/>
        </w:rPr>
        <w:t>.合同总价款的10%作为本合同约定设备的质量保证金，质量保证金在质量保证期内不计利息。</w:t>
      </w:r>
      <w:r>
        <w:rPr>
          <w:rFonts w:hint="eastAsia" w:ascii="仿宋_GB2312" w:hAnsi="仿宋_GB2312" w:cs="仿宋_GB2312"/>
          <w:bCs/>
        </w:rPr>
        <w:t>待所有合同设备</w:t>
      </w:r>
      <w:r>
        <w:rPr>
          <w:rFonts w:ascii="仿宋_GB2312" w:hAnsi="仿宋_GB2312" w:cs="仿宋_GB2312"/>
          <w:bCs/>
        </w:rPr>
        <w:t>质</w:t>
      </w:r>
      <w:r>
        <w:rPr>
          <w:rFonts w:hint="eastAsia" w:ascii="仿宋_GB2312" w:hAnsi="仿宋_GB2312" w:cs="仿宋_GB2312"/>
          <w:bCs/>
        </w:rPr>
        <w:t>量</w:t>
      </w:r>
      <w:r>
        <w:rPr>
          <w:rFonts w:ascii="仿宋_GB2312" w:hAnsi="仿宋_GB2312" w:cs="仿宋_GB2312"/>
          <w:bCs/>
        </w:rPr>
        <w:t>保</w:t>
      </w:r>
      <w:r>
        <w:rPr>
          <w:rFonts w:hint="eastAsia" w:ascii="仿宋_GB2312" w:hAnsi="仿宋_GB2312" w:cs="仿宋_GB2312"/>
          <w:bCs/>
        </w:rPr>
        <w:t>证</w:t>
      </w:r>
      <w:r>
        <w:rPr>
          <w:rFonts w:ascii="仿宋_GB2312" w:hAnsi="仿宋_GB2312" w:cs="仿宋_GB2312"/>
          <w:bCs/>
        </w:rPr>
        <w:t>期届满后支付。</w:t>
      </w:r>
    </w:p>
    <w:p w14:paraId="730DAE28">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lang w:val="en-US" w:eastAsia="zh-CN"/>
        </w:rPr>
      </w:pPr>
      <w:r>
        <w:rPr>
          <w:rFonts w:hint="eastAsia" w:cs="Times New Roman"/>
          <w:lang w:val="en-US" w:eastAsia="zh-CN"/>
        </w:rPr>
        <w:t>付款方式和付款比例不允许偏离</w:t>
      </w:r>
    </w:p>
    <w:p w14:paraId="444DC49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lang w:val="en-US" w:eastAsia="zh-CN"/>
        </w:rPr>
      </w:pPr>
      <w:r>
        <w:rPr>
          <w:rFonts w:hint="eastAsia"/>
          <w:lang w:val="en-US" w:eastAsia="zh-CN"/>
        </w:rPr>
        <w:t>本次招标最终解释权归</w:t>
      </w:r>
      <w:r>
        <w:rPr>
          <w:rFonts w:hint="eastAsia"/>
          <w:highlight w:val="none"/>
          <w:lang w:val="en-US" w:eastAsia="zh-CN"/>
        </w:rPr>
        <w:t>中国重汽集团济南特种车有限公司</w:t>
      </w:r>
      <w:r>
        <w:rPr>
          <w:rFonts w:hint="eastAsia"/>
          <w:lang w:val="en-US" w:eastAsia="zh-CN"/>
        </w:rPr>
        <w:t>。</w:t>
      </w:r>
    </w:p>
    <w:p w14:paraId="5B4333D1">
      <w:pPr>
        <w:pStyle w:val="76"/>
        <w:bidi w:val="0"/>
      </w:pPr>
    </w:p>
    <w:p w14:paraId="1B2FD786">
      <w:pPr>
        <w:pStyle w:val="76"/>
        <w:bidi w:val="0"/>
        <w:rPr>
          <w:rFonts w:hint="eastAsia"/>
        </w:rPr>
      </w:pPr>
      <w:bookmarkStart w:id="11" w:name="_Toc47976607"/>
    </w:p>
    <w:p w14:paraId="6458B34B">
      <w:pPr>
        <w:pStyle w:val="76"/>
        <w:bidi w:val="0"/>
        <w:rPr>
          <w:rFonts w:hint="eastAsia"/>
        </w:rPr>
      </w:pPr>
    </w:p>
    <w:p w14:paraId="30B03086">
      <w:pPr>
        <w:pStyle w:val="76"/>
        <w:bidi w:val="0"/>
        <w:rPr>
          <w:rFonts w:hint="eastAsia"/>
        </w:rPr>
      </w:pPr>
    </w:p>
    <w:p w14:paraId="7F58C71F">
      <w:pPr>
        <w:pStyle w:val="76"/>
        <w:bidi w:val="0"/>
        <w:rPr>
          <w:rFonts w:hint="eastAsia"/>
        </w:rPr>
      </w:pPr>
    </w:p>
    <w:p w14:paraId="28FDC350">
      <w:pPr>
        <w:pStyle w:val="76"/>
        <w:bidi w:val="0"/>
        <w:rPr>
          <w:rFonts w:hint="eastAsia"/>
        </w:rPr>
      </w:pPr>
    </w:p>
    <w:p w14:paraId="42843AC2">
      <w:pPr>
        <w:pStyle w:val="76"/>
        <w:bidi w:val="0"/>
        <w:rPr>
          <w:rFonts w:hint="eastAsia"/>
        </w:rPr>
      </w:pPr>
    </w:p>
    <w:p w14:paraId="553C944D">
      <w:pPr>
        <w:pStyle w:val="76"/>
        <w:bidi w:val="0"/>
        <w:rPr>
          <w:rFonts w:hint="eastAsia"/>
        </w:rPr>
      </w:pPr>
    </w:p>
    <w:p w14:paraId="0E67254E">
      <w:pPr>
        <w:pStyle w:val="76"/>
        <w:bidi w:val="0"/>
        <w:rPr>
          <w:rFonts w:hint="eastAsia"/>
        </w:rPr>
      </w:pPr>
    </w:p>
    <w:p w14:paraId="1B6D3E04">
      <w:pPr>
        <w:pStyle w:val="76"/>
        <w:bidi w:val="0"/>
        <w:rPr>
          <w:rFonts w:hint="eastAsia"/>
        </w:rPr>
      </w:pPr>
    </w:p>
    <w:p w14:paraId="74005A28">
      <w:pPr>
        <w:rPr>
          <w:rFonts w:hint="eastAsia"/>
        </w:rPr>
      </w:pPr>
    </w:p>
    <w:p w14:paraId="1F0A6675">
      <w:pPr>
        <w:rPr>
          <w:rFonts w:hint="eastAsia"/>
        </w:rPr>
      </w:pPr>
      <w:r>
        <w:rPr>
          <w:rFonts w:hint="eastAsia"/>
        </w:rPr>
        <w:br w:type="page"/>
      </w:r>
    </w:p>
    <w:p w14:paraId="3C5F72C0">
      <w:pPr>
        <w:pStyle w:val="71"/>
        <w:rPr>
          <w:rFonts w:hint="eastAsia" w:ascii="宋体" w:hAnsi="宋体"/>
        </w:rPr>
      </w:pPr>
      <w:bookmarkStart w:id="12" w:name="_Toc16839"/>
      <w:r>
        <w:rPr>
          <w:rFonts w:hint="eastAsia" w:cs="Times New Roman"/>
          <w:highlight w:val="none"/>
        </w:rPr>
        <w:t>第二部分　</w:t>
      </w:r>
      <w:bookmarkEnd w:id="11"/>
      <w:bookmarkEnd w:id="12"/>
      <w:r>
        <w:rPr>
          <w:rFonts w:hint="eastAsia" w:cs="Times New Roman"/>
          <w:highlight w:val="none"/>
        </w:rPr>
        <w:t>技术要求</w:t>
      </w:r>
      <w:bookmarkStart w:id="13" w:name="_Toc8030"/>
      <w:bookmarkStart w:id="14" w:name="_Toc47976609"/>
    </w:p>
    <w:p w14:paraId="5502235A">
      <w:pPr>
        <w:pStyle w:val="4"/>
        <w:spacing w:before="120" w:after="120" w:line="480" w:lineRule="exact"/>
        <w:jc w:val="center"/>
        <w:rPr>
          <w:rFonts w:hint="eastAsia"/>
          <w:b/>
          <w:bCs w:val="0"/>
          <w:sz w:val="24"/>
          <w:szCs w:val="24"/>
        </w:rPr>
      </w:pPr>
      <w:bookmarkStart w:id="15" w:name="_Toc13018"/>
      <w:bookmarkStart w:id="16" w:name="_Toc27088"/>
      <w:bookmarkStart w:id="17" w:name="_Toc19068"/>
      <w:bookmarkStart w:id="18" w:name="_Toc9838"/>
      <w:bookmarkStart w:id="19" w:name="_Toc137705867"/>
      <w:r>
        <w:rPr>
          <w:rFonts w:hint="eastAsia"/>
          <w:b/>
          <w:bCs w:val="0"/>
          <w:sz w:val="24"/>
          <w:szCs w:val="24"/>
        </w:rPr>
        <w:t>第</w:t>
      </w:r>
      <w:r>
        <w:rPr>
          <w:rFonts w:hint="eastAsia"/>
          <w:b/>
          <w:bCs w:val="0"/>
          <w:sz w:val="24"/>
          <w:szCs w:val="24"/>
          <w:lang w:val="en-US" w:eastAsia="zh-CN"/>
        </w:rPr>
        <w:t>一章</w:t>
      </w:r>
      <w:r>
        <w:rPr>
          <w:rFonts w:hint="eastAsia"/>
          <w:b/>
          <w:bCs w:val="0"/>
          <w:sz w:val="24"/>
          <w:szCs w:val="24"/>
        </w:rPr>
        <w:t xml:space="preserve">  采购货物概况</w:t>
      </w:r>
      <w:bookmarkEnd w:id="15"/>
      <w:bookmarkEnd w:id="16"/>
      <w:bookmarkEnd w:id="17"/>
      <w:bookmarkEnd w:id="18"/>
      <w:bookmarkEnd w:id="19"/>
    </w:p>
    <w:p w14:paraId="00074539">
      <w:pPr>
        <w:spacing w:line="480" w:lineRule="exact"/>
        <w:ind w:firstLine="420" w:firstLineChars="200"/>
        <w:jc w:val="left"/>
        <w:rPr>
          <w:rFonts w:hint="eastAsia" w:ascii="宋体" w:hAnsi="宋体"/>
        </w:rPr>
      </w:pPr>
      <w:r>
        <w:rPr>
          <w:rFonts w:hint="eastAsia" w:ascii="黑体" w:hAnsi="宋体" w:eastAsia="黑体"/>
        </w:rPr>
        <w:t>一、设备名称：</w:t>
      </w:r>
      <w:r>
        <w:rPr>
          <w:rFonts w:hint="eastAsia" w:ascii="黑体" w:hAnsi="宋体" w:eastAsia="黑体"/>
          <w:lang w:val="en-US" w:eastAsia="zh-CN"/>
        </w:rPr>
        <w:t>特种车公司</w:t>
      </w:r>
      <w:r>
        <w:rPr>
          <w:rFonts w:hint="eastAsia" w:ascii="宋体" w:hAnsi="宋体" w:cs="Times New Roman"/>
          <w:u w:val="single"/>
          <w:shd w:val="pct10" w:color="auto" w:fill="FFFFFF"/>
          <w:lang w:val="en-US" w:eastAsia="zh-CN"/>
        </w:rPr>
        <w:t>新建废物库技改</w:t>
      </w:r>
      <w:r>
        <w:rPr>
          <w:rFonts w:hint="eastAsia" w:ascii="宋体" w:hAnsi="宋体" w:eastAsia="宋体" w:cs="Times New Roman"/>
          <w:u w:val="single"/>
          <w:shd w:val="pct10" w:color="auto" w:fill="FFFFFF"/>
          <w:lang w:val="en-US" w:eastAsia="zh-CN"/>
        </w:rPr>
        <w:t>项目</w:t>
      </w:r>
      <w:r>
        <w:rPr>
          <w:rFonts w:hint="eastAsia" w:ascii="宋体" w:hAnsi="宋体"/>
        </w:rPr>
        <w:t>（详见下表）</w:t>
      </w:r>
    </w:p>
    <w:p w14:paraId="20186599">
      <w:pPr>
        <w:spacing w:line="480" w:lineRule="exact"/>
        <w:ind w:firstLine="420" w:firstLineChars="200"/>
        <w:rPr>
          <w:rFonts w:hint="eastAsia" w:ascii="宋体" w:hAnsi="宋体"/>
        </w:rPr>
      </w:pPr>
      <w:r>
        <w:rPr>
          <w:rFonts w:hint="eastAsia" w:ascii="黑体" w:hAnsi="宋体" w:eastAsia="黑体"/>
        </w:rPr>
        <w:t>二、设备数量：</w:t>
      </w:r>
      <w:r>
        <w:rPr>
          <w:rFonts w:hint="eastAsia" w:ascii="宋体" w:hAnsi="宋体"/>
          <w:u w:val="single"/>
          <w:shd w:val="pct10" w:color="auto" w:fill="FFFFFF"/>
        </w:rPr>
        <w:t xml:space="preserve"> </w:t>
      </w:r>
      <w:r>
        <w:rPr>
          <w:rFonts w:hint="eastAsia" w:ascii="宋体" w:hAnsi="宋体"/>
          <w:u w:val="single"/>
          <w:shd w:val="pct10" w:color="auto" w:fill="FFFFFF"/>
          <w:lang w:val="en-US" w:eastAsia="zh-CN"/>
        </w:rPr>
        <w:t>1</w:t>
      </w:r>
      <w:r>
        <w:rPr>
          <w:rFonts w:hint="eastAsia" w:ascii="宋体" w:hAnsi="宋体"/>
          <w:u w:val="single"/>
          <w:shd w:val="pct10" w:color="auto" w:fill="FFFFFF"/>
        </w:rPr>
        <w:t xml:space="preserve">套 </w:t>
      </w:r>
      <w:r>
        <w:rPr>
          <w:rFonts w:hint="eastAsia" w:ascii="宋体" w:hAnsi="宋体"/>
        </w:rPr>
        <w:t>（详见下表）</w:t>
      </w:r>
    </w:p>
    <w:p w14:paraId="4279AFDD">
      <w:pPr>
        <w:spacing w:line="480" w:lineRule="exact"/>
        <w:ind w:firstLine="420" w:firstLineChars="200"/>
        <w:rPr>
          <w:rFonts w:hint="eastAsia" w:ascii="宋体" w:hAnsi="宋体"/>
          <w:u w:val="single"/>
          <w:shd w:val="pct10" w:color="auto" w:fill="FFFFFF"/>
          <w:lang w:val="en-US" w:eastAsia="zh-CN"/>
        </w:rPr>
      </w:pPr>
      <w:r>
        <w:rPr>
          <w:rFonts w:hint="eastAsia" w:ascii="黑体" w:hAnsi="宋体" w:eastAsia="黑体"/>
          <w:lang w:val="en-US" w:eastAsia="zh-CN"/>
        </w:rPr>
        <w:t>三</w:t>
      </w:r>
      <w:r>
        <w:rPr>
          <w:rFonts w:hint="eastAsia" w:ascii="黑体" w:hAnsi="宋体" w:eastAsia="黑体"/>
        </w:rPr>
        <w:t>、设备</w:t>
      </w:r>
      <w:r>
        <w:rPr>
          <w:rFonts w:hint="eastAsia" w:ascii="黑体" w:hAnsi="宋体" w:eastAsia="黑体"/>
          <w:lang w:val="en-US" w:eastAsia="zh-CN"/>
        </w:rPr>
        <w:t>整体尺寸</w:t>
      </w:r>
      <w:r>
        <w:rPr>
          <w:rFonts w:hint="eastAsia" w:ascii="黑体" w:hAnsi="宋体" w:eastAsia="黑体"/>
        </w:rPr>
        <w:t>：</w:t>
      </w:r>
      <w:r>
        <w:rPr>
          <w:rFonts w:hint="eastAsia" w:ascii="宋体" w:hAnsi="宋体"/>
          <w:u w:val="single"/>
          <w:shd w:val="pct10" w:color="auto" w:fill="FFFFFF"/>
        </w:rPr>
        <w:t xml:space="preserve"> </w:t>
      </w:r>
      <w:r>
        <w:rPr>
          <w:rFonts w:hint="eastAsia" w:ascii="宋体" w:hAnsi="宋体"/>
          <w:u w:val="single"/>
          <w:shd w:val="pct10" w:color="auto" w:fill="FFFFFF"/>
          <w:lang w:val="en-US" w:eastAsia="zh-CN"/>
        </w:rPr>
        <w:t>长8000mm × 宽8000mm × 高3200mm</w:t>
      </w:r>
    </w:p>
    <w:p w14:paraId="552DD776">
      <w:pPr>
        <w:spacing w:line="480" w:lineRule="exact"/>
        <w:ind w:firstLine="420" w:firstLineChars="200"/>
        <w:rPr>
          <w:rFonts w:hint="default"/>
          <w:lang w:val="en-US" w:eastAsia="zh-CN"/>
        </w:rPr>
      </w:pPr>
      <w:r>
        <w:rPr>
          <w:rFonts w:hint="eastAsia" w:ascii="黑体" w:hAnsi="宋体" w:eastAsia="黑体"/>
          <w:lang w:val="en-US" w:eastAsia="zh-CN"/>
        </w:rPr>
        <w:t>四</w:t>
      </w:r>
      <w:r>
        <w:rPr>
          <w:rFonts w:hint="eastAsia" w:ascii="黑体" w:hAnsi="宋体" w:eastAsia="黑体"/>
        </w:rPr>
        <w:t>、设备</w:t>
      </w:r>
      <w:r>
        <w:rPr>
          <w:rFonts w:hint="eastAsia" w:ascii="黑体" w:hAnsi="宋体" w:eastAsia="黑体"/>
          <w:lang w:val="en-US" w:eastAsia="zh-CN"/>
        </w:rPr>
        <w:t>用途</w:t>
      </w:r>
      <w:r>
        <w:rPr>
          <w:rFonts w:hint="eastAsia" w:ascii="黑体" w:hAnsi="宋体" w:eastAsia="黑体"/>
        </w:rPr>
        <w:t>：</w:t>
      </w:r>
      <w:r>
        <w:rPr>
          <w:rFonts w:hint="eastAsia" w:ascii="宋体" w:hAnsi="宋体"/>
        </w:rPr>
        <w:t>用于</w:t>
      </w:r>
      <w:r>
        <w:rPr>
          <w:rFonts w:hint="eastAsia" w:ascii="宋体" w:hAnsi="宋体"/>
          <w:lang w:val="en-US" w:eastAsia="zh-CN"/>
        </w:rPr>
        <w:t>公司</w:t>
      </w:r>
      <w:r>
        <w:rPr>
          <w:rFonts w:hint="eastAsia" w:ascii="宋体" w:hAnsi="宋体"/>
        </w:rPr>
        <w:t>危险废物</w:t>
      </w:r>
      <w:r>
        <w:rPr>
          <w:rFonts w:hint="eastAsia" w:ascii="宋体" w:hAnsi="宋体"/>
          <w:lang w:eastAsia="zh-CN"/>
        </w:rPr>
        <w:t>（</w:t>
      </w:r>
      <w:r>
        <w:rPr>
          <w:rFonts w:hint="eastAsia" w:ascii="宋体" w:hAnsi="宋体"/>
          <w:lang w:val="en-US" w:eastAsia="zh-CN"/>
        </w:rPr>
        <w:t>废矿物油、废油桶、废铅酸蓄电池等</w:t>
      </w:r>
      <w:r>
        <w:rPr>
          <w:rFonts w:hint="eastAsia" w:ascii="宋体" w:hAnsi="宋体"/>
          <w:lang w:eastAsia="zh-CN"/>
        </w:rPr>
        <w:t>）</w:t>
      </w:r>
      <w:r>
        <w:rPr>
          <w:rFonts w:hint="eastAsia" w:ascii="宋体" w:hAnsi="宋体"/>
        </w:rPr>
        <w:t>密闭贮存；设备集成防爆、耐火、监测预警、自动联动、防渗、泄爆、防雷防静电</w:t>
      </w:r>
      <w:r>
        <w:rPr>
          <w:rFonts w:hint="eastAsia" w:ascii="宋体" w:hAnsi="宋体"/>
          <w:lang w:val="en-US" w:eastAsia="zh-CN"/>
        </w:rPr>
        <w:t>等</w:t>
      </w:r>
      <w:r>
        <w:rPr>
          <w:rFonts w:hint="eastAsia" w:ascii="宋体" w:hAnsi="宋体"/>
        </w:rPr>
        <w:t>全套安全功能，满足生态环境、应急管理、</w:t>
      </w:r>
      <w:r>
        <w:rPr>
          <w:rFonts w:hint="eastAsia" w:ascii="宋体" w:hAnsi="宋体"/>
          <w:lang w:val="en-US" w:eastAsia="zh-CN"/>
        </w:rPr>
        <w:t>消防安全</w:t>
      </w:r>
      <w:r>
        <w:rPr>
          <w:rFonts w:hint="eastAsia" w:ascii="宋体" w:hAnsi="宋体"/>
        </w:rPr>
        <w:t>现场核查要求，支持24小时无人值守在线监控。</w:t>
      </w:r>
    </w:p>
    <w:p w14:paraId="714E2FBE">
      <w:pPr>
        <w:spacing w:line="560" w:lineRule="exact"/>
        <w:ind w:firstLine="420" w:firstLineChars="200"/>
        <w:rPr>
          <w:rFonts w:hint="eastAsia" w:ascii="宋体" w:hAnsi="宋体"/>
        </w:rPr>
      </w:pPr>
      <w:r>
        <w:rPr>
          <w:rFonts w:hint="eastAsia" w:ascii="黑体" w:hAnsi="宋体" w:eastAsia="黑体"/>
          <w:lang w:val="en-US" w:eastAsia="zh-CN"/>
        </w:rPr>
        <w:t>五</w:t>
      </w:r>
      <w:r>
        <w:rPr>
          <w:rFonts w:hint="eastAsia" w:ascii="黑体" w:hAnsi="宋体" w:eastAsia="黑体"/>
        </w:rPr>
        <w:t>、分投分中：</w:t>
      </w:r>
      <w:r>
        <w:rPr>
          <w:rFonts w:hint="eastAsia" w:ascii="宋体" w:hAnsi="宋体"/>
        </w:rPr>
        <w:t>不允许。</w:t>
      </w:r>
    </w:p>
    <w:p w14:paraId="39030890">
      <w:pPr>
        <w:pStyle w:val="12"/>
        <w:rPr>
          <w:rFonts w:hint="eastAsia"/>
        </w:rPr>
      </w:pPr>
    </w:p>
    <w:p w14:paraId="2E73508E">
      <w:pPr>
        <w:widowControl/>
        <w:jc w:val="center"/>
        <w:rPr>
          <w:rFonts w:hint="eastAsia" w:ascii="宋体" w:hAnsi="宋体"/>
        </w:rPr>
      </w:pPr>
      <w:r>
        <w:rPr>
          <w:rFonts w:hint="eastAsia" w:ascii="宋体" w:hAnsi="宋体" w:eastAsia="宋体" w:cs="Times New Roman"/>
        </w:rPr>
        <w:t>采购货物主要构成一</w:t>
      </w:r>
      <w:r>
        <w:rPr>
          <w:rFonts w:hint="eastAsia" w:ascii="宋体" w:hAnsi="宋体"/>
        </w:rPr>
        <w:t>览表</w:t>
      </w:r>
    </w:p>
    <w:tbl>
      <w:tblPr>
        <w:tblStyle w:val="30"/>
        <w:tblW w:w="47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4"/>
        <w:gridCol w:w="646"/>
        <w:gridCol w:w="1920"/>
        <w:gridCol w:w="1919"/>
        <w:gridCol w:w="663"/>
        <w:gridCol w:w="724"/>
        <w:gridCol w:w="1022"/>
        <w:gridCol w:w="1022"/>
      </w:tblGrid>
      <w:tr w14:paraId="1E9DD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4" w:type="pct"/>
            <w:noWrap w:val="0"/>
            <w:vAlign w:val="center"/>
          </w:tcPr>
          <w:p w14:paraId="40AD48D6">
            <w:pPr>
              <w:overflowPunct w:val="0"/>
              <w:jc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384" w:type="pct"/>
            <w:noWrap w:val="0"/>
            <w:vAlign w:val="center"/>
          </w:tcPr>
          <w:p w14:paraId="1002C71D">
            <w:pPr>
              <w:overflowPunct w:val="0"/>
              <w:jc w:val="center"/>
              <w:rPr>
                <w:rFonts w:hint="eastAsia" w:ascii="宋体" w:hAnsi="宋体" w:eastAsia="宋体" w:cs="宋体"/>
                <w:b/>
                <w:sz w:val="21"/>
                <w:szCs w:val="21"/>
                <w:lang w:val="en-US" w:eastAsia="zh-CN"/>
              </w:rPr>
            </w:pPr>
            <w:r>
              <w:rPr>
                <w:rFonts w:hint="eastAsia" w:ascii="宋体" w:hAnsi="宋体" w:cs="宋体"/>
                <w:b/>
                <w:sz w:val="21"/>
                <w:szCs w:val="21"/>
                <w:lang w:val="en-US" w:eastAsia="zh-CN"/>
              </w:rPr>
              <w:t>项目</w:t>
            </w:r>
            <w:r>
              <w:rPr>
                <w:rFonts w:hint="eastAsia" w:ascii="宋体" w:hAnsi="宋体" w:eastAsia="宋体" w:cs="宋体"/>
                <w:b/>
                <w:sz w:val="21"/>
                <w:szCs w:val="21"/>
                <w:lang w:val="en-US" w:eastAsia="zh-CN"/>
              </w:rPr>
              <w:t>名称</w:t>
            </w:r>
          </w:p>
        </w:tc>
        <w:tc>
          <w:tcPr>
            <w:tcW w:w="1141" w:type="pct"/>
            <w:noWrap w:val="0"/>
            <w:vAlign w:val="center"/>
          </w:tcPr>
          <w:p w14:paraId="14938B25">
            <w:pPr>
              <w:overflowPunct w:val="0"/>
              <w:jc w:val="center"/>
              <w:rPr>
                <w:rFonts w:hint="default" w:ascii="宋体" w:hAnsi="宋体" w:eastAsia="宋体" w:cs="宋体"/>
                <w:b/>
                <w:sz w:val="21"/>
                <w:szCs w:val="21"/>
                <w:lang w:val="en-US"/>
              </w:rPr>
            </w:pPr>
            <w:r>
              <w:rPr>
                <w:rFonts w:hint="eastAsia" w:ascii="宋体" w:hAnsi="宋体" w:cs="宋体"/>
                <w:b/>
                <w:sz w:val="21"/>
                <w:szCs w:val="21"/>
                <w:lang w:val="en-US" w:eastAsia="zh-CN"/>
              </w:rPr>
              <w:t>主要内容</w:t>
            </w:r>
          </w:p>
        </w:tc>
        <w:tc>
          <w:tcPr>
            <w:tcW w:w="1140" w:type="pct"/>
            <w:noWrap w:val="0"/>
            <w:vAlign w:val="center"/>
          </w:tcPr>
          <w:p w14:paraId="62986AA0">
            <w:pPr>
              <w:overflowPunct w:val="0"/>
              <w:jc w:val="center"/>
              <w:rPr>
                <w:rFonts w:hint="default" w:ascii="宋体" w:hAnsi="宋体" w:eastAsia="宋体" w:cs="宋体"/>
                <w:b/>
                <w:sz w:val="21"/>
                <w:szCs w:val="21"/>
                <w:lang w:val="en-US" w:eastAsia="zh-CN"/>
              </w:rPr>
            </w:pPr>
            <w:r>
              <w:rPr>
                <w:rFonts w:hint="eastAsia" w:ascii="宋体" w:hAnsi="宋体" w:cs="宋体"/>
                <w:b/>
                <w:sz w:val="21"/>
                <w:szCs w:val="21"/>
                <w:lang w:val="en-US" w:eastAsia="zh-CN"/>
              </w:rPr>
              <w:t>设备名称</w:t>
            </w:r>
          </w:p>
        </w:tc>
        <w:tc>
          <w:tcPr>
            <w:tcW w:w="394" w:type="pct"/>
            <w:noWrap w:val="0"/>
            <w:vAlign w:val="center"/>
          </w:tcPr>
          <w:p w14:paraId="64CF9C95">
            <w:pPr>
              <w:overflowPunct w:val="0"/>
              <w:jc w:val="center"/>
              <w:rPr>
                <w:rFonts w:hint="eastAsia" w:ascii="宋体" w:hAnsi="宋体" w:eastAsia="宋体" w:cs="宋体"/>
                <w:b/>
                <w:sz w:val="21"/>
                <w:szCs w:val="21"/>
              </w:rPr>
            </w:pPr>
            <w:r>
              <w:rPr>
                <w:rFonts w:hint="eastAsia" w:ascii="宋体" w:hAnsi="宋体" w:eastAsia="宋体" w:cs="宋体"/>
                <w:b/>
                <w:sz w:val="21"/>
                <w:szCs w:val="21"/>
              </w:rPr>
              <w:t>单位</w:t>
            </w:r>
          </w:p>
        </w:tc>
        <w:tc>
          <w:tcPr>
            <w:tcW w:w="430" w:type="pct"/>
            <w:noWrap w:val="0"/>
            <w:vAlign w:val="center"/>
          </w:tcPr>
          <w:p w14:paraId="17276AD0">
            <w:pPr>
              <w:overflowPunct w:val="0"/>
              <w:jc w:val="center"/>
              <w:rPr>
                <w:rFonts w:hint="eastAsia" w:ascii="宋体" w:hAnsi="宋体" w:eastAsia="宋体" w:cs="宋体"/>
                <w:b/>
                <w:sz w:val="21"/>
                <w:szCs w:val="21"/>
              </w:rPr>
            </w:pPr>
            <w:r>
              <w:rPr>
                <w:rFonts w:hint="eastAsia" w:ascii="宋体" w:hAnsi="宋体" w:eastAsia="宋体" w:cs="宋体"/>
                <w:b/>
                <w:sz w:val="21"/>
                <w:szCs w:val="21"/>
              </w:rPr>
              <w:t>数量</w:t>
            </w:r>
          </w:p>
        </w:tc>
        <w:tc>
          <w:tcPr>
            <w:tcW w:w="607" w:type="pct"/>
            <w:noWrap w:val="0"/>
            <w:vAlign w:val="center"/>
          </w:tcPr>
          <w:p w14:paraId="40EF38F8">
            <w:pPr>
              <w:overflowPunct w:val="0"/>
              <w:jc w:val="center"/>
              <w:rPr>
                <w:rFonts w:hint="eastAsia" w:ascii="宋体" w:hAnsi="宋体" w:eastAsia="宋体" w:cs="宋体"/>
                <w:b/>
                <w:sz w:val="21"/>
                <w:szCs w:val="21"/>
              </w:rPr>
            </w:pPr>
            <w:r>
              <w:rPr>
                <w:rFonts w:hint="eastAsia" w:ascii="宋体" w:hAnsi="宋体" w:eastAsia="宋体" w:cs="宋体"/>
                <w:b/>
                <w:sz w:val="21"/>
                <w:szCs w:val="21"/>
              </w:rPr>
              <w:t>供货方式</w:t>
            </w:r>
          </w:p>
        </w:tc>
        <w:tc>
          <w:tcPr>
            <w:tcW w:w="607" w:type="pct"/>
            <w:noWrap w:val="0"/>
            <w:vAlign w:val="center"/>
          </w:tcPr>
          <w:p w14:paraId="3F247004">
            <w:pPr>
              <w:overflowPunct w:val="0"/>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安装地点</w:t>
            </w:r>
          </w:p>
        </w:tc>
      </w:tr>
      <w:tr w14:paraId="759D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94" w:type="pct"/>
            <w:vMerge w:val="restart"/>
            <w:noWrap w:val="0"/>
            <w:vAlign w:val="center"/>
          </w:tcPr>
          <w:p w14:paraId="05E84566">
            <w:pPr>
              <w:overflowPunct w:val="0"/>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w:t>
            </w:r>
          </w:p>
        </w:tc>
        <w:tc>
          <w:tcPr>
            <w:tcW w:w="384" w:type="pct"/>
            <w:vMerge w:val="restart"/>
            <w:noWrap w:val="0"/>
            <w:vAlign w:val="center"/>
          </w:tcPr>
          <w:p w14:paraId="122FA5FC">
            <w:pPr>
              <w:overflowPunct w:val="0"/>
              <w:jc w:val="center"/>
              <w:rPr>
                <w:rFonts w:hint="default" w:ascii="宋体" w:hAnsi="宋体" w:eastAsia="宋体" w:cs="宋体"/>
                <w:bCs/>
                <w:sz w:val="21"/>
                <w:szCs w:val="21"/>
                <w:lang w:val="en-US" w:eastAsia="zh-CN"/>
              </w:rPr>
            </w:pPr>
            <w:r>
              <w:rPr>
                <w:rFonts w:hint="eastAsia" w:ascii="宋体" w:hAnsi="宋体" w:cs="宋体"/>
                <w:sz w:val="21"/>
                <w:szCs w:val="21"/>
                <w:lang w:val="en-US" w:eastAsia="zh-CN"/>
              </w:rPr>
              <w:t>新建危废库</w:t>
            </w:r>
            <w:r>
              <w:rPr>
                <w:rFonts w:hint="eastAsia" w:ascii="宋体" w:hAnsi="宋体" w:eastAsia="宋体" w:cs="宋体"/>
                <w:sz w:val="21"/>
                <w:szCs w:val="21"/>
                <w:lang w:val="en-US" w:eastAsia="zh-CN"/>
              </w:rPr>
              <w:t>项目</w:t>
            </w:r>
          </w:p>
        </w:tc>
        <w:tc>
          <w:tcPr>
            <w:tcW w:w="1141" w:type="pct"/>
            <w:noWrap w:val="0"/>
            <w:vAlign w:val="center"/>
          </w:tcPr>
          <w:p w14:paraId="54FDCE73">
            <w:pPr>
              <w:bidi w:val="0"/>
              <w:jc w:val="center"/>
              <w:rPr>
                <w:rFonts w:hint="eastAsia" w:ascii="宋体" w:hAnsi="宋体" w:eastAsia="宋体" w:cs="宋体"/>
                <w:kern w:val="2"/>
                <w:sz w:val="21"/>
                <w:szCs w:val="21"/>
                <w:lang w:val="en-US" w:eastAsia="zh-CN" w:bidi="ar-SA"/>
              </w:rPr>
            </w:pPr>
            <w:r>
              <w:rPr>
                <w:rFonts w:hint="eastAsia"/>
                <w:vertAlign w:val="baseline"/>
              </w:rPr>
              <w:t>智能防火防爆危险废物暂存库</w:t>
            </w:r>
          </w:p>
        </w:tc>
        <w:tc>
          <w:tcPr>
            <w:tcW w:w="1140" w:type="pct"/>
            <w:noWrap w:val="0"/>
            <w:vAlign w:val="center"/>
          </w:tcPr>
          <w:p w14:paraId="1F7E061C">
            <w:pPr>
              <w:bidi w:val="0"/>
              <w:jc w:val="center"/>
              <w:rPr>
                <w:rFonts w:hint="eastAsia" w:ascii="宋体" w:hAnsi="宋体" w:cs="宋体"/>
                <w:kern w:val="2"/>
                <w:sz w:val="21"/>
                <w:szCs w:val="21"/>
                <w:lang w:val="en-US" w:eastAsia="zh-CN" w:bidi="ar-SA"/>
              </w:rPr>
            </w:pPr>
            <w:r>
              <w:rPr>
                <w:rFonts w:hint="eastAsia"/>
                <w:vertAlign w:val="baseline"/>
              </w:rPr>
              <w:t>箱体</w:t>
            </w:r>
          </w:p>
        </w:tc>
        <w:tc>
          <w:tcPr>
            <w:tcW w:w="394" w:type="pct"/>
            <w:noWrap w:val="0"/>
            <w:vAlign w:val="center"/>
          </w:tcPr>
          <w:p w14:paraId="6939649B">
            <w:pPr>
              <w:bidi w:val="0"/>
              <w:jc w:val="center"/>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套</w:t>
            </w:r>
          </w:p>
        </w:tc>
        <w:tc>
          <w:tcPr>
            <w:tcW w:w="430" w:type="pct"/>
            <w:noWrap w:val="0"/>
            <w:vAlign w:val="center"/>
          </w:tcPr>
          <w:p w14:paraId="0C261C82">
            <w:pPr>
              <w:bidi w:val="0"/>
              <w:jc w:val="center"/>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1</w:t>
            </w:r>
          </w:p>
        </w:tc>
        <w:tc>
          <w:tcPr>
            <w:tcW w:w="607" w:type="pct"/>
            <w:vMerge w:val="restart"/>
            <w:noWrap w:val="0"/>
            <w:vAlign w:val="center"/>
          </w:tcPr>
          <w:p w14:paraId="4D6D867F">
            <w:pPr>
              <w:overflowPunct w:val="0"/>
              <w:jc w:val="center"/>
              <w:rPr>
                <w:rFonts w:hint="eastAsia" w:ascii="宋体" w:hAnsi="宋体" w:eastAsia="宋体" w:cs="宋体"/>
                <w:bCs/>
                <w:sz w:val="21"/>
                <w:szCs w:val="21"/>
              </w:rPr>
            </w:pPr>
            <w:r>
              <w:rPr>
                <w:rFonts w:hint="eastAsia" w:ascii="宋体" w:hAnsi="宋体" w:eastAsia="宋体" w:cs="宋体"/>
                <w:bCs/>
                <w:sz w:val="21"/>
                <w:szCs w:val="21"/>
              </w:rPr>
              <w:t>交钥匙</w:t>
            </w:r>
          </w:p>
        </w:tc>
        <w:tc>
          <w:tcPr>
            <w:tcW w:w="607" w:type="pct"/>
            <w:vMerge w:val="restart"/>
            <w:noWrap w:val="0"/>
            <w:vAlign w:val="center"/>
          </w:tcPr>
          <w:p w14:paraId="641B0BEC">
            <w:pPr>
              <w:overflowPunct w:val="0"/>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特种车</w:t>
            </w:r>
          </w:p>
        </w:tc>
      </w:tr>
      <w:tr w14:paraId="18C45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4" w:type="pct"/>
            <w:vMerge w:val="continue"/>
            <w:noWrap w:val="0"/>
            <w:vAlign w:val="center"/>
          </w:tcPr>
          <w:p w14:paraId="74E5E9B5">
            <w:pPr>
              <w:overflowPunct w:val="0"/>
              <w:jc w:val="center"/>
              <w:rPr>
                <w:rFonts w:hint="eastAsia" w:ascii="宋体" w:hAnsi="宋体" w:eastAsia="宋体" w:cs="宋体"/>
                <w:bCs/>
                <w:sz w:val="21"/>
                <w:szCs w:val="21"/>
              </w:rPr>
            </w:pPr>
          </w:p>
        </w:tc>
        <w:tc>
          <w:tcPr>
            <w:tcW w:w="384" w:type="pct"/>
            <w:vMerge w:val="continue"/>
            <w:noWrap w:val="0"/>
            <w:vAlign w:val="center"/>
          </w:tcPr>
          <w:p w14:paraId="76517BF1">
            <w:pPr>
              <w:overflowPunct w:val="0"/>
              <w:jc w:val="center"/>
              <w:rPr>
                <w:rFonts w:hint="eastAsia" w:ascii="宋体" w:hAnsi="宋体" w:eastAsia="宋体" w:cs="宋体"/>
                <w:bCs/>
                <w:sz w:val="21"/>
                <w:szCs w:val="21"/>
              </w:rPr>
            </w:pPr>
          </w:p>
        </w:tc>
        <w:tc>
          <w:tcPr>
            <w:tcW w:w="1141" w:type="pct"/>
            <w:noWrap w:val="0"/>
            <w:vAlign w:val="center"/>
          </w:tcPr>
          <w:p w14:paraId="144ABE38">
            <w:pPr>
              <w:bidi w:val="0"/>
              <w:jc w:val="center"/>
              <w:rPr>
                <w:rFonts w:hint="eastAsia" w:ascii="宋体" w:hAnsi="宋体" w:eastAsia="宋体" w:cs="宋体"/>
                <w:kern w:val="2"/>
                <w:sz w:val="21"/>
                <w:szCs w:val="21"/>
                <w:lang w:val="en-US" w:eastAsia="zh-CN" w:bidi="ar-SA"/>
              </w:rPr>
            </w:pPr>
            <w:r>
              <w:rPr>
                <w:rFonts w:hint="eastAsia"/>
                <w:vertAlign w:val="baseline"/>
              </w:rPr>
              <w:t>防爆电气控制系统</w:t>
            </w:r>
          </w:p>
        </w:tc>
        <w:tc>
          <w:tcPr>
            <w:tcW w:w="1140" w:type="pct"/>
            <w:noWrap w:val="0"/>
            <w:vAlign w:val="center"/>
          </w:tcPr>
          <w:p w14:paraId="15D81972">
            <w:pPr>
              <w:bidi w:val="0"/>
              <w:jc w:val="center"/>
              <w:rPr>
                <w:rFonts w:hint="eastAsia" w:ascii="宋体" w:hAnsi="宋体" w:cs="宋体"/>
                <w:kern w:val="2"/>
                <w:sz w:val="21"/>
                <w:szCs w:val="21"/>
                <w:lang w:val="en-US" w:eastAsia="zh-CN" w:bidi="ar-SA"/>
              </w:rPr>
            </w:pPr>
            <w:r>
              <w:rPr>
                <w:rFonts w:hint="eastAsia"/>
                <w:vertAlign w:val="baseline"/>
              </w:rPr>
              <w:t>防爆配电箱</w:t>
            </w:r>
          </w:p>
        </w:tc>
        <w:tc>
          <w:tcPr>
            <w:tcW w:w="394" w:type="pct"/>
            <w:noWrap w:val="0"/>
            <w:vAlign w:val="center"/>
          </w:tcPr>
          <w:p w14:paraId="1993502D">
            <w:pPr>
              <w:bidi w:val="0"/>
              <w:jc w:val="center"/>
              <w:rPr>
                <w:rFonts w:hint="eastAsia"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套</w:t>
            </w:r>
          </w:p>
        </w:tc>
        <w:tc>
          <w:tcPr>
            <w:tcW w:w="430" w:type="pct"/>
            <w:noWrap w:val="0"/>
            <w:vAlign w:val="center"/>
          </w:tcPr>
          <w:p w14:paraId="1AFA0201">
            <w:pPr>
              <w:bidi w:val="0"/>
              <w:jc w:val="center"/>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2</w:t>
            </w:r>
          </w:p>
        </w:tc>
        <w:tc>
          <w:tcPr>
            <w:tcW w:w="607" w:type="pct"/>
            <w:vMerge w:val="continue"/>
            <w:noWrap w:val="0"/>
            <w:vAlign w:val="center"/>
          </w:tcPr>
          <w:p w14:paraId="1EC27376">
            <w:pPr>
              <w:overflowPunct w:val="0"/>
              <w:jc w:val="center"/>
              <w:rPr>
                <w:rFonts w:hint="eastAsia" w:ascii="宋体" w:hAnsi="宋体" w:eastAsia="宋体" w:cs="宋体"/>
                <w:bCs/>
                <w:sz w:val="21"/>
                <w:szCs w:val="21"/>
              </w:rPr>
            </w:pPr>
          </w:p>
        </w:tc>
        <w:tc>
          <w:tcPr>
            <w:tcW w:w="607" w:type="pct"/>
            <w:vMerge w:val="continue"/>
            <w:noWrap w:val="0"/>
            <w:vAlign w:val="center"/>
          </w:tcPr>
          <w:p w14:paraId="153AECA7">
            <w:pPr>
              <w:overflowPunct w:val="0"/>
              <w:jc w:val="center"/>
              <w:rPr>
                <w:rFonts w:hint="eastAsia" w:ascii="宋体" w:hAnsi="宋体" w:eastAsia="宋体" w:cs="宋体"/>
                <w:bCs/>
                <w:sz w:val="21"/>
                <w:szCs w:val="21"/>
              </w:rPr>
            </w:pPr>
          </w:p>
        </w:tc>
      </w:tr>
      <w:tr w14:paraId="177A4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4" w:type="pct"/>
            <w:vMerge w:val="continue"/>
            <w:noWrap w:val="0"/>
            <w:vAlign w:val="center"/>
          </w:tcPr>
          <w:p w14:paraId="0BEF72BA">
            <w:pPr>
              <w:overflowPunct w:val="0"/>
              <w:jc w:val="center"/>
              <w:rPr>
                <w:rFonts w:hint="eastAsia" w:ascii="宋体" w:hAnsi="宋体" w:eastAsia="宋体" w:cs="宋体"/>
                <w:bCs/>
                <w:sz w:val="21"/>
                <w:szCs w:val="21"/>
              </w:rPr>
            </w:pPr>
          </w:p>
        </w:tc>
        <w:tc>
          <w:tcPr>
            <w:tcW w:w="384" w:type="pct"/>
            <w:vMerge w:val="continue"/>
            <w:noWrap w:val="0"/>
            <w:vAlign w:val="center"/>
          </w:tcPr>
          <w:p w14:paraId="34113F43">
            <w:pPr>
              <w:overflowPunct w:val="0"/>
              <w:jc w:val="center"/>
              <w:rPr>
                <w:rFonts w:hint="eastAsia" w:ascii="宋体" w:hAnsi="宋体" w:eastAsia="宋体" w:cs="宋体"/>
                <w:bCs/>
                <w:sz w:val="21"/>
                <w:szCs w:val="21"/>
              </w:rPr>
            </w:pPr>
          </w:p>
        </w:tc>
        <w:tc>
          <w:tcPr>
            <w:tcW w:w="1141" w:type="pct"/>
            <w:noWrap w:val="0"/>
            <w:vAlign w:val="center"/>
          </w:tcPr>
          <w:p w14:paraId="3D8C2BCF">
            <w:pPr>
              <w:bidi w:val="0"/>
              <w:jc w:val="center"/>
              <w:rPr>
                <w:rFonts w:hint="eastAsia" w:ascii="宋体" w:hAnsi="宋体" w:cs="宋体"/>
                <w:kern w:val="2"/>
                <w:sz w:val="21"/>
                <w:szCs w:val="21"/>
                <w:lang w:val="en-US" w:eastAsia="zh-CN" w:bidi="ar-SA"/>
              </w:rPr>
            </w:pPr>
            <w:r>
              <w:rPr>
                <w:rFonts w:hint="eastAsia"/>
                <w:vertAlign w:val="baseline"/>
              </w:rPr>
              <w:t>防爆控制系统</w:t>
            </w:r>
          </w:p>
        </w:tc>
        <w:tc>
          <w:tcPr>
            <w:tcW w:w="1140" w:type="pct"/>
            <w:noWrap w:val="0"/>
            <w:vAlign w:val="center"/>
          </w:tcPr>
          <w:p w14:paraId="104B7942">
            <w:pPr>
              <w:bidi w:val="0"/>
              <w:jc w:val="center"/>
              <w:rPr>
                <w:rFonts w:hint="eastAsia" w:ascii="宋体" w:hAnsi="宋体" w:cs="宋体"/>
                <w:kern w:val="2"/>
                <w:sz w:val="21"/>
                <w:szCs w:val="21"/>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防爆PLC远程控制柜</w:t>
            </w:r>
          </w:p>
        </w:tc>
        <w:tc>
          <w:tcPr>
            <w:tcW w:w="394" w:type="pct"/>
            <w:noWrap w:val="0"/>
            <w:vAlign w:val="center"/>
          </w:tcPr>
          <w:p w14:paraId="58FF1400">
            <w:pPr>
              <w:bidi w:val="0"/>
              <w:jc w:val="center"/>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套</w:t>
            </w:r>
          </w:p>
        </w:tc>
        <w:tc>
          <w:tcPr>
            <w:tcW w:w="430" w:type="pct"/>
            <w:noWrap w:val="0"/>
            <w:vAlign w:val="center"/>
          </w:tcPr>
          <w:p w14:paraId="1157AEA7">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2</w:t>
            </w:r>
          </w:p>
        </w:tc>
        <w:tc>
          <w:tcPr>
            <w:tcW w:w="607" w:type="pct"/>
            <w:vMerge w:val="continue"/>
            <w:noWrap w:val="0"/>
            <w:vAlign w:val="center"/>
          </w:tcPr>
          <w:p w14:paraId="00A38738">
            <w:pPr>
              <w:overflowPunct w:val="0"/>
              <w:jc w:val="center"/>
              <w:rPr>
                <w:rFonts w:hint="eastAsia" w:ascii="宋体" w:hAnsi="宋体" w:eastAsia="宋体" w:cs="宋体"/>
                <w:bCs/>
                <w:sz w:val="21"/>
                <w:szCs w:val="21"/>
              </w:rPr>
            </w:pPr>
          </w:p>
        </w:tc>
        <w:tc>
          <w:tcPr>
            <w:tcW w:w="607" w:type="pct"/>
            <w:vMerge w:val="continue"/>
            <w:noWrap w:val="0"/>
            <w:vAlign w:val="center"/>
          </w:tcPr>
          <w:p w14:paraId="50A5A808">
            <w:pPr>
              <w:overflowPunct w:val="0"/>
              <w:jc w:val="center"/>
              <w:rPr>
                <w:rFonts w:hint="eastAsia" w:ascii="宋体" w:hAnsi="宋体" w:eastAsia="宋体" w:cs="宋体"/>
                <w:bCs/>
                <w:sz w:val="21"/>
                <w:szCs w:val="21"/>
              </w:rPr>
            </w:pPr>
          </w:p>
        </w:tc>
      </w:tr>
      <w:tr w14:paraId="40E7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4" w:type="pct"/>
            <w:vMerge w:val="continue"/>
            <w:noWrap w:val="0"/>
            <w:vAlign w:val="center"/>
          </w:tcPr>
          <w:p w14:paraId="1EEB01AE">
            <w:pPr>
              <w:overflowPunct w:val="0"/>
              <w:jc w:val="center"/>
              <w:rPr>
                <w:rFonts w:hint="eastAsia" w:ascii="宋体" w:hAnsi="宋体" w:eastAsia="宋体" w:cs="宋体"/>
                <w:bCs/>
                <w:sz w:val="21"/>
                <w:szCs w:val="21"/>
              </w:rPr>
            </w:pPr>
          </w:p>
        </w:tc>
        <w:tc>
          <w:tcPr>
            <w:tcW w:w="384" w:type="pct"/>
            <w:vMerge w:val="continue"/>
            <w:noWrap w:val="0"/>
            <w:vAlign w:val="center"/>
          </w:tcPr>
          <w:p w14:paraId="567EC93E">
            <w:pPr>
              <w:overflowPunct w:val="0"/>
              <w:jc w:val="center"/>
              <w:rPr>
                <w:rFonts w:hint="eastAsia" w:ascii="宋体" w:hAnsi="宋体" w:eastAsia="宋体" w:cs="宋体"/>
                <w:bCs/>
                <w:sz w:val="21"/>
                <w:szCs w:val="21"/>
              </w:rPr>
            </w:pPr>
          </w:p>
        </w:tc>
        <w:tc>
          <w:tcPr>
            <w:tcW w:w="1141" w:type="pct"/>
            <w:vMerge w:val="restart"/>
            <w:noWrap w:val="0"/>
            <w:vAlign w:val="center"/>
          </w:tcPr>
          <w:p w14:paraId="541E31C6">
            <w:pPr>
              <w:bidi w:val="0"/>
              <w:jc w:val="center"/>
              <w:rPr>
                <w:rFonts w:hint="eastAsia" w:ascii="宋体" w:hAnsi="宋体" w:cs="宋体"/>
                <w:kern w:val="2"/>
                <w:sz w:val="21"/>
                <w:szCs w:val="21"/>
                <w:lang w:val="en-US" w:eastAsia="zh-CN" w:bidi="ar-SA"/>
              </w:rPr>
            </w:pPr>
            <w:r>
              <w:rPr>
                <w:rFonts w:hint="eastAsia"/>
                <w:vertAlign w:val="baseline"/>
              </w:rPr>
              <w:t>通风系统</w:t>
            </w:r>
          </w:p>
        </w:tc>
        <w:tc>
          <w:tcPr>
            <w:tcW w:w="1140" w:type="pct"/>
            <w:noWrap w:val="0"/>
            <w:vAlign w:val="center"/>
          </w:tcPr>
          <w:p w14:paraId="2A7D3030">
            <w:pPr>
              <w:bidi w:val="0"/>
              <w:jc w:val="center"/>
              <w:rPr>
                <w:rFonts w:hint="eastAsia" w:ascii="宋体" w:hAnsi="宋体" w:cs="宋体"/>
                <w:kern w:val="2"/>
                <w:sz w:val="21"/>
                <w:szCs w:val="21"/>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防爆风机带净化箱</w:t>
            </w:r>
          </w:p>
        </w:tc>
        <w:tc>
          <w:tcPr>
            <w:tcW w:w="394" w:type="pct"/>
            <w:noWrap w:val="0"/>
            <w:vAlign w:val="center"/>
          </w:tcPr>
          <w:p w14:paraId="41A27E8D">
            <w:pPr>
              <w:bidi w:val="0"/>
              <w:jc w:val="center"/>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套</w:t>
            </w:r>
          </w:p>
        </w:tc>
        <w:tc>
          <w:tcPr>
            <w:tcW w:w="430" w:type="pct"/>
            <w:noWrap w:val="0"/>
            <w:vAlign w:val="center"/>
          </w:tcPr>
          <w:p w14:paraId="0F160052">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4</w:t>
            </w:r>
          </w:p>
        </w:tc>
        <w:tc>
          <w:tcPr>
            <w:tcW w:w="607" w:type="pct"/>
            <w:vMerge w:val="continue"/>
            <w:noWrap w:val="0"/>
            <w:vAlign w:val="center"/>
          </w:tcPr>
          <w:p w14:paraId="64FFC9F8">
            <w:pPr>
              <w:overflowPunct w:val="0"/>
              <w:jc w:val="center"/>
              <w:rPr>
                <w:rFonts w:hint="eastAsia" w:ascii="宋体" w:hAnsi="宋体" w:eastAsia="宋体" w:cs="宋体"/>
                <w:bCs/>
                <w:sz w:val="21"/>
                <w:szCs w:val="21"/>
              </w:rPr>
            </w:pPr>
          </w:p>
        </w:tc>
        <w:tc>
          <w:tcPr>
            <w:tcW w:w="607" w:type="pct"/>
            <w:vMerge w:val="continue"/>
            <w:noWrap w:val="0"/>
            <w:vAlign w:val="center"/>
          </w:tcPr>
          <w:p w14:paraId="571DA822">
            <w:pPr>
              <w:overflowPunct w:val="0"/>
              <w:jc w:val="center"/>
              <w:rPr>
                <w:rFonts w:hint="eastAsia" w:ascii="宋体" w:hAnsi="宋体" w:eastAsia="宋体" w:cs="宋体"/>
                <w:bCs/>
                <w:sz w:val="21"/>
                <w:szCs w:val="21"/>
              </w:rPr>
            </w:pPr>
          </w:p>
        </w:tc>
      </w:tr>
      <w:tr w14:paraId="4435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4" w:type="pct"/>
            <w:vMerge w:val="continue"/>
            <w:noWrap w:val="0"/>
            <w:vAlign w:val="center"/>
          </w:tcPr>
          <w:p w14:paraId="2B8808ED">
            <w:pPr>
              <w:overflowPunct w:val="0"/>
              <w:jc w:val="center"/>
              <w:rPr>
                <w:rFonts w:hint="eastAsia" w:ascii="宋体" w:hAnsi="宋体" w:eastAsia="宋体" w:cs="宋体"/>
                <w:bCs/>
                <w:sz w:val="21"/>
                <w:szCs w:val="21"/>
              </w:rPr>
            </w:pPr>
          </w:p>
        </w:tc>
        <w:tc>
          <w:tcPr>
            <w:tcW w:w="384" w:type="pct"/>
            <w:vMerge w:val="continue"/>
            <w:noWrap w:val="0"/>
            <w:vAlign w:val="center"/>
          </w:tcPr>
          <w:p w14:paraId="24090D15">
            <w:pPr>
              <w:overflowPunct w:val="0"/>
              <w:jc w:val="center"/>
              <w:rPr>
                <w:rFonts w:hint="eastAsia" w:ascii="宋体" w:hAnsi="宋体" w:eastAsia="宋体" w:cs="宋体"/>
                <w:bCs/>
                <w:sz w:val="21"/>
                <w:szCs w:val="21"/>
              </w:rPr>
            </w:pPr>
          </w:p>
        </w:tc>
        <w:tc>
          <w:tcPr>
            <w:tcW w:w="1141" w:type="pct"/>
            <w:vMerge w:val="continue"/>
            <w:noWrap w:val="0"/>
            <w:vAlign w:val="center"/>
          </w:tcPr>
          <w:p w14:paraId="62F620AC">
            <w:pPr>
              <w:bidi w:val="0"/>
              <w:jc w:val="center"/>
              <w:rPr>
                <w:rFonts w:hint="eastAsia"/>
                <w:vertAlign w:val="baseline"/>
              </w:rPr>
            </w:pPr>
          </w:p>
        </w:tc>
        <w:tc>
          <w:tcPr>
            <w:tcW w:w="1140" w:type="pct"/>
            <w:noWrap w:val="0"/>
            <w:vAlign w:val="center"/>
          </w:tcPr>
          <w:p w14:paraId="1B515AEE">
            <w:pPr>
              <w:jc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通风百叶</w:t>
            </w:r>
          </w:p>
        </w:tc>
        <w:tc>
          <w:tcPr>
            <w:tcW w:w="394" w:type="pct"/>
            <w:noWrap w:val="0"/>
            <w:vAlign w:val="center"/>
          </w:tcPr>
          <w:p w14:paraId="1C646BD2">
            <w:pPr>
              <w:bidi w:val="0"/>
              <w:jc w:val="center"/>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套</w:t>
            </w:r>
          </w:p>
        </w:tc>
        <w:tc>
          <w:tcPr>
            <w:tcW w:w="430" w:type="pct"/>
            <w:noWrap w:val="0"/>
            <w:vAlign w:val="center"/>
          </w:tcPr>
          <w:p w14:paraId="7AB6B2BF">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5</w:t>
            </w:r>
          </w:p>
        </w:tc>
        <w:tc>
          <w:tcPr>
            <w:tcW w:w="607" w:type="pct"/>
            <w:vMerge w:val="continue"/>
            <w:noWrap w:val="0"/>
            <w:vAlign w:val="center"/>
          </w:tcPr>
          <w:p w14:paraId="1909DA49">
            <w:pPr>
              <w:overflowPunct w:val="0"/>
              <w:jc w:val="center"/>
              <w:rPr>
                <w:rFonts w:hint="eastAsia" w:ascii="宋体" w:hAnsi="宋体" w:eastAsia="宋体" w:cs="宋体"/>
                <w:bCs/>
                <w:sz w:val="21"/>
                <w:szCs w:val="21"/>
              </w:rPr>
            </w:pPr>
          </w:p>
        </w:tc>
        <w:tc>
          <w:tcPr>
            <w:tcW w:w="607" w:type="pct"/>
            <w:vMerge w:val="continue"/>
            <w:noWrap w:val="0"/>
            <w:vAlign w:val="center"/>
          </w:tcPr>
          <w:p w14:paraId="48CF8FDE">
            <w:pPr>
              <w:overflowPunct w:val="0"/>
              <w:jc w:val="center"/>
              <w:rPr>
                <w:rFonts w:hint="eastAsia" w:ascii="宋体" w:hAnsi="宋体" w:eastAsia="宋体" w:cs="宋体"/>
                <w:bCs/>
                <w:sz w:val="21"/>
                <w:szCs w:val="21"/>
              </w:rPr>
            </w:pPr>
          </w:p>
        </w:tc>
      </w:tr>
      <w:tr w14:paraId="62126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4" w:type="pct"/>
            <w:vMerge w:val="continue"/>
            <w:noWrap w:val="0"/>
            <w:vAlign w:val="center"/>
          </w:tcPr>
          <w:p w14:paraId="79BEA641">
            <w:pPr>
              <w:overflowPunct w:val="0"/>
              <w:jc w:val="center"/>
              <w:rPr>
                <w:rFonts w:hint="eastAsia" w:ascii="宋体" w:hAnsi="宋体" w:eastAsia="宋体" w:cs="宋体"/>
                <w:bCs/>
                <w:sz w:val="21"/>
                <w:szCs w:val="21"/>
              </w:rPr>
            </w:pPr>
          </w:p>
        </w:tc>
        <w:tc>
          <w:tcPr>
            <w:tcW w:w="384" w:type="pct"/>
            <w:vMerge w:val="continue"/>
            <w:noWrap w:val="0"/>
            <w:vAlign w:val="center"/>
          </w:tcPr>
          <w:p w14:paraId="4938CB09">
            <w:pPr>
              <w:overflowPunct w:val="0"/>
              <w:jc w:val="center"/>
              <w:rPr>
                <w:rFonts w:hint="eastAsia" w:ascii="宋体" w:hAnsi="宋体" w:eastAsia="宋体" w:cs="宋体"/>
                <w:bCs/>
                <w:sz w:val="21"/>
                <w:szCs w:val="21"/>
              </w:rPr>
            </w:pPr>
          </w:p>
        </w:tc>
        <w:tc>
          <w:tcPr>
            <w:tcW w:w="1141" w:type="pct"/>
            <w:noWrap w:val="0"/>
            <w:vAlign w:val="center"/>
          </w:tcPr>
          <w:p w14:paraId="7D145CB7">
            <w:pPr>
              <w:bidi w:val="0"/>
              <w:jc w:val="center"/>
              <w:rPr>
                <w:rFonts w:hint="eastAsia" w:ascii="宋体" w:hAnsi="宋体" w:cs="宋体"/>
                <w:kern w:val="2"/>
                <w:sz w:val="21"/>
                <w:szCs w:val="21"/>
                <w:lang w:val="en-US" w:eastAsia="zh-CN" w:bidi="ar-SA"/>
              </w:rPr>
            </w:pPr>
            <w:r>
              <w:rPr>
                <w:rFonts w:hint="eastAsia"/>
                <w:vertAlign w:val="baseline"/>
              </w:rPr>
              <w:t>消防灭火系统</w:t>
            </w:r>
          </w:p>
        </w:tc>
        <w:tc>
          <w:tcPr>
            <w:tcW w:w="1140" w:type="pct"/>
            <w:noWrap w:val="0"/>
            <w:vAlign w:val="center"/>
          </w:tcPr>
          <w:p w14:paraId="7254E460">
            <w:pPr>
              <w:bidi w:val="0"/>
              <w:jc w:val="center"/>
              <w:rPr>
                <w:rFonts w:hint="eastAsia" w:ascii="宋体" w:hAnsi="宋体" w:cs="宋体"/>
                <w:kern w:val="2"/>
                <w:sz w:val="21"/>
                <w:szCs w:val="21"/>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悬挂式干粉喷淋</w:t>
            </w:r>
          </w:p>
        </w:tc>
        <w:tc>
          <w:tcPr>
            <w:tcW w:w="394" w:type="pct"/>
            <w:noWrap w:val="0"/>
            <w:vAlign w:val="center"/>
          </w:tcPr>
          <w:p w14:paraId="587DEB92">
            <w:pPr>
              <w:bidi w:val="0"/>
              <w:jc w:val="center"/>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套</w:t>
            </w:r>
          </w:p>
        </w:tc>
        <w:tc>
          <w:tcPr>
            <w:tcW w:w="430" w:type="pct"/>
            <w:noWrap w:val="0"/>
            <w:vAlign w:val="center"/>
          </w:tcPr>
          <w:p w14:paraId="46293CC9">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6</w:t>
            </w:r>
          </w:p>
        </w:tc>
        <w:tc>
          <w:tcPr>
            <w:tcW w:w="607" w:type="pct"/>
            <w:vMerge w:val="continue"/>
            <w:noWrap w:val="0"/>
            <w:vAlign w:val="center"/>
          </w:tcPr>
          <w:p w14:paraId="3C92AA72">
            <w:pPr>
              <w:overflowPunct w:val="0"/>
              <w:jc w:val="center"/>
              <w:rPr>
                <w:rFonts w:hint="eastAsia" w:ascii="宋体" w:hAnsi="宋体" w:eastAsia="宋体" w:cs="宋体"/>
                <w:bCs/>
                <w:sz w:val="21"/>
                <w:szCs w:val="21"/>
              </w:rPr>
            </w:pPr>
          </w:p>
        </w:tc>
        <w:tc>
          <w:tcPr>
            <w:tcW w:w="607" w:type="pct"/>
            <w:vMerge w:val="continue"/>
            <w:noWrap w:val="0"/>
            <w:vAlign w:val="center"/>
          </w:tcPr>
          <w:p w14:paraId="17A450EC">
            <w:pPr>
              <w:overflowPunct w:val="0"/>
              <w:jc w:val="center"/>
              <w:rPr>
                <w:rFonts w:hint="eastAsia" w:ascii="宋体" w:hAnsi="宋体" w:eastAsia="宋体" w:cs="宋体"/>
                <w:bCs/>
                <w:sz w:val="21"/>
                <w:szCs w:val="21"/>
              </w:rPr>
            </w:pPr>
          </w:p>
        </w:tc>
      </w:tr>
      <w:tr w14:paraId="6C0F9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4" w:type="pct"/>
            <w:vMerge w:val="continue"/>
            <w:noWrap w:val="0"/>
            <w:vAlign w:val="center"/>
          </w:tcPr>
          <w:p w14:paraId="56C28DD3">
            <w:pPr>
              <w:overflowPunct w:val="0"/>
              <w:jc w:val="center"/>
              <w:rPr>
                <w:rFonts w:hint="eastAsia" w:ascii="宋体" w:hAnsi="宋体" w:eastAsia="宋体" w:cs="宋体"/>
                <w:bCs/>
                <w:sz w:val="21"/>
                <w:szCs w:val="21"/>
              </w:rPr>
            </w:pPr>
          </w:p>
        </w:tc>
        <w:tc>
          <w:tcPr>
            <w:tcW w:w="384" w:type="pct"/>
            <w:vMerge w:val="continue"/>
            <w:noWrap w:val="0"/>
            <w:vAlign w:val="center"/>
          </w:tcPr>
          <w:p w14:paraId="114B22CD">
            <w:pPr>
              <w:overflowPunct w:val="0"/>
              <w:jc w:val="center"/>
              <w:rPr>
                <w:rFonts w:hint="eastAsia" w:ascii="宋体" w:hAnsi="宋体" w:eastAsia="宋体" w:cs="宋体"/>
                <w:bCs/>
                <w:sz w:val="21"/>
                <w:szCs w:val="21"/>
              </w:rPr>
            </w:pPr>
          </w:p>
        </w:tc>
        <w:tc>
          <w:tcPr>
            <w:tcW w:w="1141" w:type="pct"/>
            <w:noWrap w:val="0"/>
            <w:vAlign w:val="center"/>
          </w:tcPr>
          <w:p w14:paraId="61F65B19">
            <w:pPr>
              <w:bidi w:val="0"/>
              <w:jc w:val="center"/>
              <w:rPr>
                <w:rFonts w:hint="eastAsia" w:ascii="宋体" w:hAnsi="宋体" w:cs="宋体"/>
                <w:sz w:val="21"/>
                <w:szCs w:val="21"/>
                <w:lang w:val="en-US" w:eastAsia="zh-CN"/>
              </w:rPr>
            </w:pPr>
            <w:r>
              <w:rPr>
                <w:rFonts w:hint="eastAsia"/>
                <w:vertAlign w:val="baseline"/>
              </w:rPr>
              <w:t>防爆烟感报警器</w:t>
            </w:r>
          </w:p>
        </w:tc>
        <w:tc>
          <w:tcPr>
            <w:tcW w:w="1140" w:type="pct"/>
            <w:noWrap w:val="0"/>
            <w:vAlign w:val="center"/>
          </w:tcPr>
          <w:p w14:paraId="3DDA06A7">
            <w:pPr>
              <w:bidi w:val="0"/>
              <w:jc w:val="center"/>
              <w:rPr>
                <w:rFonts w:hint="eastAsia" w:ascii="宋体" w:hAnsi="宋体" w:cs="宋体"/>
                <w:kern w:val="2"/>
                <w:sz w:val="21"/>
                <w:szCs w:val="21"/>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烟感</w:t>
            </w:r>
          </w:p>
        </w:tc>
        <w:tc>
          <w:tcPr>
            <w:tcW w:w="394" w:type="pct"/>
            <w:noWrap w:val="0"/>
            <w:vAlign w:val="center"/>
          </w:tcPr>
          <w:p w14:paraId="69377D89">
            <w:pPr>
              <w:bidi w:val="0"/>
              <w:jc w:val="center"/>
              <w:rPr>
                <w:rFonts w:hint="eastAsia" w:ascii="宋体" w:hAnsi="宋体" w:cs="宋体"/>
                <w:sz w:val="21"/>
                <w:szCs w:val="21"/>
                <w:lang w:val="en-US" w:eastAsia="zh-CN"/>
              </w:rPr>
            </w:pPr>
            <w:r>
              <w:rPr>
                <w:rFonts w:hint="eastAsia" w:ascii="宋体" w:hAnsi="宋体" w:cs="宋体"/>
                <w:kern w:val="2"/>
                <w:sz w:val="21"/>
                <w:szCs w:val="21"/>
                <w:lang w:val="en-US" w:eastAsia="zh-CN" w:bidi="ar-SA"/>
              </w:rPr>
              <w:t>套</w:t>
            </w:r>
          </w:p>
        </w:tc>
        <w:tc>
          <w:tcPr>
            <w:tcW w:w="430" w:type="pct"/>
            <w:noWrap w:val="0"/>
            <w:vAlign w:val="center"/>
          </w:tcPr>
          <w:p w14:paraId="774D4B37">
            <w:pPr>
              <w:bidi w:val="0"/>
              <w:jc w:val="center"/>
              <w:rPr>
                <w:rFonts w:hint="default" w:ascii="宋体" w:hAnsi="宋体" w:cs="宋体"/>
                <w:sz w:val="21"/>
                <w:szCs w:val="21"/>
                <w:lang w:val="en-US" w:eastAsia="zh-CN"/>
              </w:rPr>
            </w:pPr>
            <w:r>
              <w:rPr>
                <w:rFonts w:hint="eastAsia" w:ascii="宋体" w:hAnsi="宋体" w:cs="宋体"/>
                <w:sz w:val="21"/>
                <w:szCs w:val="21"/>
                <w:lang w:val="en-US" w:eastAsia="zh-CN"/>
              </w:rPr>
              <w:t>6</w:t>
            </w:r>
          </w:p>
        </w:tc>
        <w:tc>
          <w:tcPr>
            <w:tcW w:w="607" w:type="pct"/>
            <w:vMerge w:val="continue"/>
            <w:noWrap w:val="0"/>
            <w:vAlign w:val="center"/>
          </w:tcPr>
          <w:p w14:paraId="4BB8EE60">
            <w:pPr>
              <w:overflowPunct w:val="0"/>
              <w:jc w:val="center"/>
              <w:rPr>
                <w:rFonts w:hint="eastAsia" w:ascii="宋体" w:hAnsi="宋体" w:eastAsia="宋体" w:cs="宋体"/>
                <w:bCs/>
                <w:sz w:val="21"/>
                <w:szCs w:val="21"/>
              </w:rPr>
            </w:pPr>
          </w:p>
        </w:tc>
        <w:tc>
          <w:tcPr>
            <w:tcW w:w="607" w:type="pct"/>
            <w:vMerge w:val="continue"/>
            <w:noWrap w:val="0"/>
            <w:vAlign w:val="center"/>
          </w:tcPr>
          <w:p w14:paraId="16493C6C">
            <w:pPr>
              <w:overflowPunct w:val="0"/>
              <w:jc w:val="center"/>
              <w:rPr>
                <w:rFonts w:hint="eastAsia" w:ascii="宋体" w:hAnsi="宋体" w:eastAsia="宋体" w:cs="宋体"/>
                <w:bCs/>
                <w:sz w:val="21"/>
                <w:szCs w:val="21"/>
              </w:rPr>
            </w:pPr>
          </w:p>
        </w:tc>
      </w:tr>
      <w:tr w14:paraId="5544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294" w:type="pct"/>
            <w:vMerge w:val="continue"/>
            <w:noWrap w:val="0"/>
            <w:vAlign w:val="center"/>
          </w:tcPr>
          <w:p w14:paraId="616D2CAD">
            <w:pPr>
              <w:overflowPunct w:val="0"/>
              <w:jc w:val="center"/>
              <w:rPr>
                <w:rFonts w:hint="eastAsia" w:ascii="宋体" w:hAnsi="宋体" w:eastAsia="宋体" w:cs="宋体"/>
                <w:bCs/>
                <w:sz w:val="21"/>
                <w:szCs w:val="21"/>
              </w:rPr>
            </w:pPr>
          </w:p>
        </w:tc>
        <w:tc>
          <w:tcPr>
            <w:tcW w:w="384" w:type="pct"/>
            <w:vMerge w:val="continue"/>
            <w:noWrap w:val="0"/>
            <w:vAlign w:val="center"/>
          </w:tcPr>
          <w:p w14:paraId="191CE27E">
            <w:pPr>
              <w:overflowPunct w:val="0"/>
              <w:jc w:val="center"/>
              <w:rPr>
                <w:rFonts w:hint="eastAsia" w:ascii="宋体" w:hAnsi="宋体" w:eastAsia="宋体" w:cs="宋体"/>
                <w:bCs/>
                <w:sz w:val="21"/>
                <w:szCs w:val="21"/>
              </w:rPr>
            </w:pPr>
          </w:p>
        </w:tc>
        <w:tc>
          <w:tcPr>
            <w:tcW w:w="1141" w:type="pct"/>
            <w:noWrap w:val="0"/>
            <w:vAlign w:val="center"/>
          </w:tcPr>
          <w:p w14:paraId="65DF1DBB">
            <w:pPr>
              <w:bidi w:val="0"/>
              <w:jc w:val="center"/>
              <w:rPr>
                <w:rFonts w:hint="eastAsia" w:ascii="宋体" w:hAnsi="宋体" w:cs="宋体"/>
                <w:kern w:val="2"/>
                <w:sz w:val="21"/>
                <w:szCs w:val="21"/>
                <w:lang w:val="en-US" w:eastAsia="zh-CN" w:bidi="ar-SA"/>
              </w:rPr>
            </w:pPr>
            <w:r>
              <w:rPr>
                <w:rFonts w:hint="eastAsia"/>
                <w:vertAlign w:val="baseline"/>
                <w:lang w:val="en-US" w:eastAsia="zh-CN"/>
              </w:rPr>
              <w:t>防爆</w:t>
            </w:r>
            <w:r>
              <w:rPr>
                <w:rFonts w:hint="eastAsia"/>
                <w:vertAlign w:val="baseline"/>
              </w:rPr>
              <w:t>可燃气体检测器</w:t>
            </w:r>
          </w:p>
        </w:tc>
        <w:tc>
          <w:tcPr>
            <w:tcW w:w="1140" w:type="pct"/>
            <w:noWrap w:val="0"/>
            <w:vAlign w:val="center"/>
          </w:tcPr>
          <w:p w14:paraId="128AB07D">
            <w:pPr>
              <w:bidi w:val="0"/>
              <w:jc w:val="center"/>
              <w:rPr>
                <w:rFonts w:hint="default" w:ascii="宋体" w:hAnsi="宋体" w:cs="宋体"/>
                <w:kern w:val="2"/>
                <w:sz w:val="21"/>
                <w:szCs w:val="21"/>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气体</w:t>
            </w:r>
            <w:r>
              <w:rPr>
                <w:rFonts w:hint="eastAsia" w:ascii="宋体" w:hAnsi="宋体" w:cs="宋体"/>
                <w:b w:val="0"/>
                <w:bCs w:val="0"/>
                <w:i w:val="0"/>
                <w:iCs w:val="0"/>
                <w:color w:val="000000"/>
                <w:kern w:val="2"/>
                <w:sz w:val="21"/>
                <w:szCs w:val="21"/>
                <w:u w:val="none"/>
                <w:lang w:val="en-US" w:eastAsia="zh-CN" w:bidi="ar-SA"/>
              </w:rPr>
              <w:t>探测器</w:t>
            </w:r>
          </w:p>
        </w:tc>
        <w:tc>
          <w:tcPr>
            <w:tcW w:w="394" w:type="pct"/>
            <w:noWrap w:val="0"/>
            <w:vAlign w:val="center"/>
          </w:tcPr>
          <w:p w14:paraId="50B64BF6">
            <w:pPr>
              <w:bidi w:val="0"/>
              <w:jc w:val="center"/>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套</w:t>
            </w:r>
          </w:p>
        </w:tc>
        <w:tc>
          <w:tcPr>
            <w:tcW w:w="430" w:type="pct"/>
            <w:noWrap w:val="0"/>
            <w:vAlign w:val="center"/>
          </w:tcPr>
          <w:p w14:paraId="29323026">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5</w:t>
            </w:r>
          </w:p>
        </w:tc>
        <w:tc>
          <w:tcPr>
            <w:tcW w:w="607" w:type="pct"/>
            <w:vMerge w:val="continue"/>
            <w:noWrap w:val="0"/>
            <w:vAlign w:val="center"/>
          </w:tcPr>
          <w:p w14:paraId="6FC1D5DF">
            <w:pPr>
              <w:overflowPunct w:val="0"/>
              <w:jc w:val="center"/>
              <w:rPr>
                <w:rFonts w:hint="eastAsia" w:ascii="宋体" w:hAnsi="宋体" w:eastAsia="宋体" w:cs="宋体"/>
                <w:bCs/>
                <w:sz w:val="21"/>
                <w:szCs w:val="21"/>
              </w:rPr>
            </w:pPr>
          </w:p>
        </w:tc>
        <w:tc>
          <w:tcPr>
            <w:tcW w:w="607" w:type="pct"/>
            <w:vMerge w:val="continue"/>
            <w:noWrap w:val="0"/>
            <w:vAlign w:val="center"/>
          </w:tcPr>
          <w:p w14:paraId="17E3765A">
            <w:pPr>
              <w:overflowPunct w:val="0"/>
              <w:jc w:val="center"/>
              <w:rPr>
                <w:rFonts w:hint="eastAsia" w:ascii="宋体" w:hAnsi="宋体" w:eastAsia="宋体" w:cs="宋体"/>
                <w:bCs/>
                <w:sz w:val="21"/>
                <w:szCs w:val="21"/>
              </w:rPr>
            </w:pPr>
          </w:p>
        </w:tc>
      </w:tr>
      <w:tr w14:paraId="2203B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294" w:type="pct"/>
            <w:vMerge w:val="continue"/>
            <w:noWrap w:val="0"/>
            <w:vAlign w:val="center"/>
          </w:tcPr>
          <w:p w14:paraId="074848D0">
            <w:pPr>
              <w:overflowPunct w:val="0"/>
              <w:jc w:val="center"/>
              <w:rPr>
                <w:rFonts w:hint="eastAsia" w:ascii="宋体" w:hAnsi="宋体" w:eastAsia="宋体" w:cs="宋体"/>
                <w:bCs/>
                <w:sz w:val="21"/>
                <w:szCs w:val="21"/>
              </w:rPr>
            </w:pPr>
          </w:p>
        </w:tc>
        <w:tc>
          <w:tcPr>
            <w:tcW w:w="384" w:type="pct"/>
            <w:vMerge w:val="continue"/>
            <w:noWrap w:val="0"/>
            <w:vAlign w:val="center"/>
          </w:tcPr>
          <w:p w14:paraId="74A63989">
            <w:pPr>
              <w:overflowPunct w:val="0"/>
              <w:jc w:val="center"/>
              <w:rPr>
                <w:rFonts w:hint="eastAsia" w:ascii="宋体" w:hAnsi="宋体" w:eastAsia="宋体" w:cs="宋体"/>
                <w:bCs/>
                <w:sz w:val="21"/>
                <w:szCs w:val="21"/>
              </w:rPr>
            </w:pPr>
          </w:p>
        </w:tc>
        <w:tc>
          <w:tcPr>
            <w:tcW w:w="1141" w:type="pct"/>
            <w:noWrap w:val="0"/>
            <w:vAlign w:val="center"/>
          </w:tcPr>
          <w:p w14:paraId="27D1F9C3">
            <w:pPr>
              <w:bidi w:val="0"/>
              <w:jc w:val="center"/>
              <w:rPr>
                <w:rFonts w:hint="eastAsia" w:ascii="宋体" w:hAnsi="宋体" w:cs="宋体"/>
                <w:kern w:val="2"/>
                <w:sz w:val="21"/>
                <w:szCs w:val="21"/>
                <w:lang w:val="en-US" w:eastAsia="zh-CN" w:bidi="ar-SA"/>
              </w:rPr>
            </w:pPr>
            <w:r>
              <w:rPr>
                <w:rFonts w:hint="eastAsia"/>
                <w:vertAlign w:val="baseline"/>
              </w:rPr>
              <w:t>防爆温湿度检测器</w:t>
            </w:r>
          </w:p>
        </w:tc>
        <w:tc>
          <w:tcPr>
            <w:tcW w:w="1140" w:type="pct"/>
            <w:noWrap w:val="0"/>
            <w:vAlign w:val="center"/>
          </w:tcPr>
          <w:p w14:paraId="677590DD">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温湿度检测器</w:t>
            </w:r>
          </w:p>
        </w:tc>
        <w:tc>
          <w:tcPr>
            <w:tcW w:w="394" w:type="pct"/>
            <w:noWrap w:val="0"/>
            <w:vAlign w:val="center"/>
          </w:tcPr>
          <w:p w14:paraId="299B59AF">
            <w:pPr>
              <w:bidi w:val="0"/>
              <w:jc w:val="center"/>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套</w:t>
            </w:r>
          </w:p>
        </w:tc>
        <w:tc>
          <w:tcPr>
            <w:tcW w:w="430" w:type="pct"/>
            <w:noWrap w:val="0"/>
            <w:vAlign w:val="center"/>
          </w:tcPr>
          <w:p w14:paraId="07B3B67A">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5</w:t>
            </w:r>
          </w:p>
        </w:tc>
        <w:tc>
          <w:tcPr>
            <w:tcW w:w="607" w:type="pct"/>
            <w:vMerge w:val="continue"/>
            <w:noWrap w:val="0"/>
            <w:vAlign w:val="center"/>
          </w:tcPr>
          <w:p w14:paraId="576FF033">
            <w:pPr>
              <w:overflowPunct w:val="0"/>
              <w:jc w:val="center"/>
              <w:rPr>
                <w:rFonts w:hint="eastAsia" w:ascii="宋体" w:hAnsi="宋体" w:eastAsia="宋体" w:cs="宋体"/>
                <w:bCs/>
                <w:sz w:val="21"/>
                <w:szCs w:val="21"/>
              </w:rPr>
            </w:pPr>
          </w:p>
        </w:tc>
        <w:tc>
          <w:tcPr>
            <w:tcW w:w="607" w:type="pct"/>
            <w:vMerge w:val="continue"/>
            <w:noWrap w:val="0"/>
            <w:vAlign w:val="center"/>
          </w:tcPr>
          <w:p w14:paraId="262D9A91">
            <w:pPr>
              <w:overflowPunct w:val="0"/>
              <w:jc w:val="center"/>
              <w:rPr>
                <w:rFonts w:hint="eastAsia" w:ascii="宋体" w:hAnsi="宋体" w:eastAsia="宋体" w:cs="宋体"/>
                <w:bCs/>
                <w:sz w:val="21"/>
                <w:szCs w:val="21"/>
              </w:rPr>
            </w:pPr>
          </w:p>
        </w:tc>
      </w:tr>
      <w:tr w14:paraId="2D8F0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294" w:type="pct"/>
            <w:vMerge w:val="continue"/>
            <w:noWrap w:val="0"/>
            <w:vAlign w:val="center"/>
          </w:tcPr>
          <w:p w14:paraId="3F83C2E6">
            <w:pPr>
              <w:overflowPunct w:val="0"/>
              <w:jc w:val="center"/>
              <w:rPr>
                <w:rFonts w:hint="eastAsia" w:ascii="宋体" w:hAnsi="宋体" w:eastAsia="宋体" w:cs="宋体"/>
                <w:bCs/>
                <w:sz w:val="21"/>
                <w:szCs w:val="21"/>
              </w:rPr>
            </w:pPr>
          </w:p>
        </w:tc>
        <w:tc>
          <w:tcPr>
            <w:tcW w:w="384" w:type="pct"/>
            <w:vMerge w:val="continue"/>
            <w:noWrap w:val="0"/>
            <w:vAlign w:val="center"/>
          </w:tcPr>
          <w:p w14:paraId="2EC95AE9">
            <w:pPr>
              <w:overflowPunct w:val="0"/>
              <w:jc w:val="center"/>
              <w:rPr>
                <w:rFonts w:hint="eastAsia" w:ascii="宋体" w:hAnsi="宋体" w:eastAsia="宋体" w:cs="宋体"/>
                <w:bCs/>
                <w:sz w:val="21"/>
                <w:szCs w:val="21"/>
              </w:rPr>
            </w:pPr>
          </w:p>
        </w:tc>
        <w:tc>
          <w:tcPr>
            <w:tcW w:w="1141" w:type="pct"/>
            <w:noWrap w:val="0"/>
            <w:vAlign w:val="center"/>
          </w:tcPr>
          <w:p w14:paraId="7333217C">
            <w:pPr>
              <w:bidi w:val="0"/>
              <w:jc w:val="center"/>
              <w:rPr>
                <w:rFonts w:hint="eastAsia" w:ascii="宋体" w:hAnsi="宋体" w:cs="宋体"/>
                <w:sz w:val="21"/>
                <w:szCs w:val="21"/>
                <w:lang w:val="en-US" w:eastAsia="zh-CN"/>
              </w:rPr>
            </w:pPr>
            <w:r>
              <w:rPr>
                <w:rFonts w:hint="eastAsia"/>
                <w:vertAlign w:val="baseline"/>
              </w:rPr>
              <w:t>防爆视频监控系统</w:t>
            </w:r>
          </w:p>
        </w:tc>
        <w:tc>
          <w:tcPr>
            <w:tcW w:w="1140" w:type="pct"/>
            <w:noWrap w:val="0"/>
            <w:vAlign w:val="center"/>
          </w:tcPr>
          <w:p w14:paraId="08DAD43B">
            <w:pPr>
              <w:bidi w:val="0"/>
              <w:jc w:val="center"/>
              <w:rPr>
                <w:rFonts w:hint="eastAsia" w:ascii="宋体" w:hAnsi="宋体" w:cs="宋体"/>
                <w:kern w:val="2"/>
                <w:sz w:val="21"/>
                <w:szCs w:val="21"/>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摄像头</w:t>
            </w:r>
          </w:p>
        </w:tc>
        <w:tc>
          <w:tcPr>
            <w:tcW w:w="394" w:type="pct"/>
            <w:noWrap w:val="0"/>
            <w:vAlign w:val="center"/>
          </w:tcPr>
          <w:p w14:paraId="2E95D26F">
            <w:pPr>
              <w:bidi w:val="0"/>
              <w:jc w:val="center"/>
              <w:rPr>
                <w:rFonts w:hint="eastAsia" w:ascii="宋体" w:hAnsi="宋体" w:cs="宋体"/>
                <w:sz w:val="21"/>
                <w:szCs w:val="21"/>
                <w:lang w:val="en-US" w:eastAsia="zh-CN"/>
              </w:rPr>
            </w:pPr>
            <w:r>
              <w:rPr>
                <w:rFonts w:hint="eastAsia" w:ascii="宋体" w:hAnsi="宋体" w:cs="宋体"/>
                <w:kern w:val="2"/>
                <w:sz w:val="21"/>
                <w:szCs w:val="21"/>
                <w:lang w:val="en-US" w:eastAsia="zh-CN" w:bidi="ar-SA"/>
              </w:rPr>
              <w:t>套</w:t>
            </w:r>
          </w:p>
        </w:tc>
        <w:tc>
          <w:tcPr>
            <w:tcW w:w="430" w:type="pct"/>
            <w:noWrap w:val="0"/>
            <w:vAlign w:val="center"/>
          </w:tcPr>
          <w:p w14:paraId="0778E7E4">
            <w:pPr>
              <w:bidi w:val="0"/>
              <w:jc w:val="center"/>
              <w:rPr>
                <w:rFonts w:hint="default" w:ascii="宋体" w:hAnsi="宋体" w:cs="宋体"/>
                <w:sz w:val="21"/>
                <w:szCs w:val="21"/>
                <w:lang w:val="en-US" w:eastAsia="zh-CN"/>
              </w:rPr>
            </w:pPr>
            <w:r>
              <w:rPr>
                <w:rFonts w:hint="eastAsia" w:ascii="宋体" w:hAnsi="宋体" w:cs="宋体"/>
                <w:sz w:val="21"/>
                <w:szCs w:val="21"/>
                <w:lang w:val="en-US" w:eastAsia="zh-CN"/>
              </w:rPr>
              <w:t>3</w:t>
            </w:r>
          </w:p>
        </w:tc>
        <w:tc>
          <w:tcPr>
            <w:tcW w:w="607" w:type="pct"/>
            <w:vMerge w:val="continue"/>
            <w:noWrap w:val="0"/>
            <w:vAlign w:val="center"/>
          </w:tcPr>
          <w:p w14:paraId="530A9411">
            <w:pPr>
              <w:overflowPunct w:val="0"/>
              <w:jc w:val="center"/>
              <w:rPr>
                <w:rFonts w:hint="eastAsia" w:ascii="宋体" w:hAnsi="宋体" w:eastAsia="宋体" w:cs="宋体"/>
                <w:bCs/>
                <w:sz w:val="21"/>
                <w:szCs w:val="21"/>
              </w:rPr>
            </w:pPr>
          </w:p>
        </w:tc>
        <w:tc>
          <w:tcPr>
            <w:tcW w:w="607" w:type="pct"/>
            <w:vMerge w:val="continue"/>
            <w:noWrap w:val="0"/>
            <w:vAlign w:val="center"/>
          </w:tcPr>
          <w:p w14:paraId="54209912">
            <w:pPr>
              <w:overflowPunct w:val="0"/>
              <w:jc w:val="center"/>
              <w:rPr>
                <w:rFonts w:hint="eastAsia" w:ascii="宋体" w:hAnsi="宋体" w:eastAsia="宋体" w:cs="宋体"/>
                <w:bCs/>
                <w:sz w:val="21"/>
                <w:szCs w:val="21"/>
              </w:rPr>
            </w:pPr>
          </w:p>
        </w:tc>
      </w:tr>
      <w:tr w14:paraId="63B40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294" w:type="pct"/>
            <w:vMerge w:val="continue"/>
            <w:noWrap w:val="0"/>
            <w:vAlign w:val="center"/>
          </w:tcPr>
          <w:p w14:paraId="7066633A">
            <w:pPr>
              <w:overflowPunct w:val="0"/>
              <w:jc w:val="center"/>
              <w:rPr>
                <w:rFonts w:hint="eastAsia" w:ascii="宋体" w:hAnsi="宋体" w:eastAsia="宋体" w:cs="宋体"/>
                <w:bCs/>
                <w:sz w:val="21"/>
                <w:szCs w:val="21"/>
              </w:rPr>
            </w:pPr>
          </w:p>
        </w:tc>
        <w:tc>
          <w:tcPr>
            <w:tcW w:w="384" w:type="pct"/>
            <w:vMerge w:val="continue"/>
            <w:noWrap w:val="0"/>
            <w:vAlign w:val="center"/>
          </w:tcPr>
          <w:p w14:paraId="140D9A18">
            <w:pPr>
              <w:overflowPunct w:val="0"/>
              <w:jc w:val="center"/>
              <w:rPr>
                <w:rFonts w:hint="eastAsia" w:ascii="宋体" w:hAnsi="宋体" w:eastAsia="宋体" w:cs="宋体"/>
                <w:bCs/>
                <w:sz w:val="21"/>
                <w:szCs w:val="21"/>
              </w:rPr>
            </w:pPr>
          </w:p>
        </w:tc>
        <w:tc>
          <w:tcPr>
            <w:tcW w:w="1141" w:type="pct"/>
            <w:noWrap w:val="0"/>
            <w:vAlign w:val="center"/>
          </w:tcPr>
          <w:p w14:paraId="48A1496A">
            <w:pPr>
              <w:jc w:val="center"/>
              <w:rPr>
                <w:rFonts w:hint="default" w:ascii="宋体" w:hAnsi="宋体" w:cs="宋体"/>
                <w:kern w:val="2"/>
                <w:sz w:val="21"/>
                <w:szCs w:val="21"/>
                <w:lang w:val="en-US" w:eastAsia="zh-CN" w:bidi="ar-SA"/>
              </w:rPr>
            </w:pPr>
            <w:r>
              <w:rPr>
                <w:rFonts w:hint="eastAsia"/>
                <w:vertAlign w:val="baseline"/>
              </w:rPr>
              <w:t>防泄漏系统</w:t>
            </w:r>
          </w:p>
        </w:tc>
        <w:tc>
          <w:tcPr>
            <w:tcW w:w="1140" w:type="pct"/>
            <w:noWrap w:val="0"/>
            <w:vAlign w:val="center"/>
          </w:tcPr>
          <w:p w14:paraId="22B33C98">
            <w:pPr>
              <w:jc w:val="center"/>
              <w:rPr>
                <w:rFonts w:hint="default" w:ascii="宋体" w:hAnsi="宋体" w:cs="宋体"/>
                <w:kern w:val="2"/>
                <w:sz w:val="21"/>
                <w:szCs w:val="21"/>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集液槽</w:t>
            </w:r>
            <w:r>
              <w:rPr>
                <w:rFonts w:hint="eastAsia" w:ascii="宋体" w:hAnsi="宋体" w:cs="宋体"/>
                <w:b w:val="0"/>
                <w:bCs w:val="0"/>
                <w:i w:val="0"/>
                <w:iCs w:val="0"/>
                <w:color w:val="000000"/>
                <w:kern w:val="2"/>
                <w:sz w:val="21"/>
                <w:szCs w:val="21"/>
                <w:u w:val="none"/>
                <w:lang w:val="en-US" w:eastAsia="zh-CN" w:bidi="ar-SA"/>
              </w:rPr>
              <w:t>/池</w:t>
            </w:r>
          </w:p>
        </w:tc>
        <w:tc>
          <w:tcPr>
            <w:tcW w:w="394" w:type="pct"/>
            <w:noWrap w:val="0"/>
            <w:vAlign w:val="center"/>
          </w:tcPr>
          <w:p w14:paraId="420A8E1C">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套</w:t>
            </w:r>
          </w:p>
        </w:tc>
        <w:tc>
          <w:tcPr>
            <w:tcW w:w="430" w:type="pct"/>
            <w:noWrap w:val="0"/>
            <w:vAlign w:val="center"/>
          </w:tcPr>
          <w:p w14:paraId="2E73E846">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1</w:t>
            </w:r>
          </w:p>
        </w:tc>
        <w:tc>
          <w:tcPr>
            <w:tcW w:w="607" w:type="pct"/>
            <w:vMerge w:val="continue"/>
            <w:noWrap w:val="0"/>
            <w:vAlign w:val="center"/>
          </w:tcPr>
          <w:p w14:paraId="5DD057DD">
            <w:pPr>
              <w:overflowPunct w:val="0"/>
              <w:jc w:val="center"/>
              <w:rPr>
                <w:rFonts w:hint="eastAsia" w:ascii="宋体" w:hAnsi="宋体" w:eastAsia="宋体" w:cs="宋体"/>
                <w:bCs/>
                <w:sz w:val="21"/>
                <w:szCs w:val="21"/>
              </w:rPr>
            </w:pPr>
          </w:p>
        </w:tc>
        <w:tc>
          <w:tcPr>
            <w:tcW w:w="607" w:type="pct"/>
            <w:vMerge w:val="continue"/>
            <w:noWrap w:val="0"/>
            <w:vAlign w:val="center"/>
          </w:tcPr>
          <w:p w14:paraId="4377CC68">
            <w:pPr>
              <w:overflowPunct w:val="0"/>
              <w:jc w:val="center"/>
              <w:rPr>
                <w:rFonts w:hint="eastAsia" w:ascii="宋体" w:hAnsi="宋体" w:eastAsia="宋体" w:cs="宋体"/>
                <w:bCs/>
                <w:sz w:val="21"/>
                <w:szCs w:val="21"/>
              </w:rPr>
            </w:pPr>
          </w:p>
        </w:tc>
      </w:tr>
      <w:tr w14:paraId="04496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294" w:type="pct"/>
            <w:vMerge w:val="continue"/>
            <w:noWrap w:val="0"/>
            <w:vAlign w:val="center"/>
          </w:tcPr>
          <w:p w14:paraId="26705CAF">
            <w:pPr>
              <w:overflowPunct w:val="0"/>
              <w:jc w:val="center"/>
              <w:rPr>
                <w:rFonts w:hint="eastAsia" w:ascii="宋体" w:hAnsi="宋体" w:eastAsia="宋体" w:cs="宋体"/>
                <w:bCs/>
                <w:sz w:val="21"/>
                <w:szCs w:val="21"/>
              </w:rPr>
            </w:pPr>
          </w:p>
        </w:tc>
        <w:tc>
          <w:tcPr>
            <w:tcW w:w="384" w:type="pct"/>
            <w:vMerge w:val="continue"/>
            <w:noWrap w:val="0"/>
            <w:vAlign w:val="center"/>
          </w:tcPr>
          <w:p w14:paraId="306AD8A5">
            <w:pPr>
              <w:overflowPunct w:val="0"/>
              <w:jc w:val="center"/>
              <w:rPr>
                <w:rFonts w:hint="eastAsia" w:ascii="宋体" w:hAnsi="宋体" w:eastAsia="宋体" w:cs="宋体"/>
                <w:bCs/>
                <w:sz w:val="21"/>
                <w:szCs w:val="21"/>
              </w:rPr>
            </w:pPr>
          </w:p>
        </w:tc>
        <w:tc>
          <w:tcPr>
            <w:tcW w:w="1141" w:type="pct"/>
            <w:noWrap w:val="0"/>
            <w:vAlign w:val="center"/>
          </w:tcPr>
          <w:p w14:paraId="053B51BB">
            <w:pPr>
              <w:jc w:val="center"/>
              <w:rPr>
                <w:rFonts w:hint="eastAsia" w:ascii="宋体" w:hAnsi="宋体" w:cs="宋体"/>
                <w:kern w:val="2"/>
                <w:sz w:val="21"/>
                <w:szCs w:val="21"/>
                <w:lang w:val="en-US" w:eastAsia="zh-CN" w:bidi="ar-SA"/>
              </w:rPr>
            </w:pPr>
            <w:r>
              <w:rPr>
                <w:rFonts w:hint="eastAsia"/>
                <w:vertAlign w:val="baseline"/>
              </w:rPr>
              <w:t>防静电装置</w:t>
            </w:r>
          </w:p>
        </w:tc>
        <w:tc>
          <w:tcPr>
            <w:tcW w:w="1140" w:type="pct"/>
            <w:noWrap w:val="0"/>
            <w:vAlign w:val="center"/>
          </w:tcPr>
          <w:p w14:paraId="4702A70F">
            <w:pPr>
              <w:bidi w:val="0"/>
              <w:jc w:val="center"/>
              <w:rPr>
                <w:rFonts w:hint="eastAsia" w:ascii="宋体" w:hAnsi="宋体" w:cs="宋体"/>
                <w:kern w:val="2"/>
                <w:sz w:val="21"/>
                <w:szCs w:val="21"/>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防静电接地装置</w:t>
            </w:r>
          </w:p>
        </w:tc>
        <w:tc>
          <w:tcPr>
            <w:tcW w:w="394" w:type="pct"/>
            <w:noWrap w:val="0"/>
            <w:vAlign w:val="center"/>
          </w:tcPr>
          <w:p w14:paraId="6D859F22">
            <w:pPr>
              <w:bidi w:val="0"/>
              <w:jc w:val="center"/>
              <w:rPr>
                <w:rFonts w:hint="eastAsia" w:ascii="宋体" w:hAnsi="宋体" w:cs="宋体"/>
                <w:sz w:val="21"/>
                <w:szCs w:val="21"/>
                <w:lang w:val="en-US" w:eastAsia="zh-CN"/>
              </w:rPr>
            </w:pPr>
            <w:r>
              <w:rPr>
                <w:rFonts w:hint="eastAsia" w:ascii="宋体" w:hAnsi="宋体" w:cs="宋体"/>
                <w:kern w:val="2"/>
                <w:sz w:val="21"/>
                <w:szCs w:val="21"/>
                <w:lang w:val="en-US" w:eastAsia="zh-CN" w:bidi="ar-SA"/>
              </w:rPr>
              <w:t>套</w:t>
            </w:r>
          </w:p>
        </w:tc>
        <w:tc>
          <w:tcPr>
            <w:tcW w:w="430" w:type="pct"/>
            <w:noWrap w:val="0"/>
            <w:vAlign w:val="center"/>
          </w:tcPr>
          <w:p w14:paraId="0491383E">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2</w:t>
            </w:r>
          </w:p>
        </w:tc>
        <w:tc>
          <w:tcPr>
            <w:tcW w:w="607" w:type="pct"/>
            <w:vMerge w:val="continue"/>
            <w:noWrap w:val="0"/>
            <w:vAlign w:val="center"/>
          </w:tcPr>
          <w:p w14:paraId="5874192D">
            <w:pPr>
              <w:overflowPunct w:val="0"/>
              <w:jc w:val="center"/>
              <w:rPr>
                <w:rFonts w:hint="eastAsia" w:ascii="宋体" w:hAnsi="宋体" w:eastAsia="宋体" w:cs="宋体"/>
                <w:bCs/>
                <w:sz w:val="21"/>
                <w:szCs w:val="21"/>
              </w:rPr>
            </w:pPr>
          </w:p>
        </w:tc>
        <w:tc>
          <w:tcPr>
            <w:tcW w:w="607" w:type="pct"/>
            <w:vMerge w:val="continue"/>
            <w:noWrap w:val="0"/>
            <w:vAlign w:val="center"/>
          </w:tcPr>
          <w:p w14:paraId="0BB5908B">
            <w:pPr>
              <w:overflowPunct w:val="0"/>
              <w:jc w:val="center"/>
              <w:rPr>
                <w:rFonts w:hint="eastAsia" w:ascii="宋体" w:hAnsi="宋体" w:eastAsia="宋体" w:cs="宋体"/>
                <w:bCs/>
                <w:sz w:val="21"/>
                <w:szCs w:val="21"/>
              </w:rPr>
            </w:pPr>
          </w:p>
        </w:tc>
      </w:tr>
      <w:tr w14:paraId="2600E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294" w:type="pct"/>
            <w:vMerge w:val="continue"/>
            <w:noWrap w:val="0"/>
            <w:vAlign w:val="center"/>
          </w:tcPr>
          <w:p w14:paraId="7A13E6F6">
            <w:pPr>
              <w:overflowPunct w:val="0"/>
              <w:jc w:val="center"/>
              <w:rPr>
                <w:rFonts w:hint="eastAsia" w:ascii="宋体" w:hAnsi="宋体" w:eastAsia="宋体" w:cs="宋体"/>
                <w:bCs/>
                <w:sz w:val="21"/>
                <w:szCs w:val="21"/>
              </w:rPr>
            </w:pPr>
          </w:p>
        </w:tc>
        <w:tc>
          <w:tcPr>
            <w:tcW w:w="384" w:type="pct"/>
            <w:vMerge w:val="continue"/>
            <w:noWrap w:val="0"/>
            <w:vAlign w:val="center"/>
          </w:tcPr>
          <w:p w14:paraId="26903A97">
            <w:pPr>
              <w:overflowPunct w:val="0"/>
              <w:jc w:val="center"/>
              <w:rPr>
                <w:rFonts w:hint="eastAsia" w:ascii="宋体" w:hAnsi="宋体" w:eastAsia="宋体" w:cs="宋体"/>
                <w:bCs/>
                <w:sz w:val="21"/>
                <w:szCs w:val="21"/>
              </w:rPr>
            </w:pPr>
          </w:p>
        </w:tc>
        <w:tc>
          <w:tcPr>
            <w:tcW w:w="1141" w:type="pct"/>
            <w:noWrap w:val="0"/>
            <w:vAlign w:val="center"/>
          </w:tcPr>
          <w:p w14:paraId="4B4D748D">
            <w:pPr>
              <w:jc w:val="center"/>
              <w:rPr>
                <w:rFonts w:hint="eastAsia" w:ascii="宋体" w:hAnsi="宋体" w:cs="宋体"/>
                <w:kern w:val="2"/>
                <w:sz w:val="21"/>
                <w:szCs w:val="21"/>
                <w:lang w:val="en-US" w:eastAsia="zh-CN" w:bidi="ar-SA"/>
              </w:rPr>
            </w:pPr>
            <w:r>
              <w:rPr>
                <w:rFonts w:hint="eastAsia"/>
                <w:vertAlign w:val="baseline"/>
              </w:rPr>
              <w:t>自动泄爆装置</w:t>
            </w:r>
          </w:p>
        </w:tc>
        <w:tc>
          <w:tcPr>
            <w:tcW w:w="1140" w:type="pct"/>
            <w:noWrap w:val="0"/>
            <w:vAlign w:val="center"/>
          </w:tcPr>
          <w:p w14:paraId="72C2B72A">
            <w:pPr>
              <w:bidi w:val="0"/>
              <w:jc w:val="center"/>
              <w:rPr>
                <w:rFonts w:hint="eastAsia" w:ascii="宋体" w:hAnsi="宋体" w:cs="宋体"/>
                <w:kern w:val="2"/>
                <w:sz w:val="21"/>
                <w:szCs w:val="21"/>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顶部泄爆窗口</w:t>
            </w:r>
          </w:p>
        </w:tc>
        <w:tc>
          <w:tcPr>
            <w:tcW w:w="394" w:type="pct"/>
            <w:noWrap w:val="0"/>
            <w:vAlign w:val="center"/>
          </w:tcPr>
          <w:p w14:paraId="44310E76">
            <w:pPr>
              <w:bidi w:val="0"/>
              <w:jc w:val="center"/>
              <w:rPr>
                <w:rFonts w:hint="eastAsia" w:ascii="宋体" w:hAnsi="宋体" w:cs="宋体"/>
                <w:sz w:val="21"/>
                <w:szCs w:val="21"/>
                <w:lang w:val="en-US" w:eastAsia="zh-CN"/>
              </w:rPr>
            </w:pPr>
            <w:r>
              <w:rPr>
                <w:rFonts w:hint="eastAsia" w:ascii="宋体" w:hAnsi="宋体" w:cs="宋体"/>
                <w:kern w:val="2"/>
                <w:sz w:val="21"/>
                <w:szCs w:val="21"/>
                <w:lang w:val="en-US" w:eastAsia="zh-CN" w:bidi="ar-SA"/>
              </w:rPr>
              <w:t>套</w:t>
            </w:r>
          </w:p>
        </w:tc>
        <w:tc>
          <w:tcPr>
            <w:tcW w:w="430" w:type="pct"/>
            <w:noWrap w:val="0"/>
            <w:vAlign w:val="center"/>
          </w:tcPr>
          <w:p w14:paraId="62217C61">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4</w:t>
            </w:r>
          </w:p>
        </w:tc>
        <w:tc>
          <w:tcPr>
            <w:tcW w:w="607" w:type="pct"/>
            <w:vMerge w:val="continue"/>
            <w:noWrap w:val="0"/>
            <w:vAlign w:val="center"/>
          </w:tcPr>
          <w:p w14:paraId="5F42DD3D">
            <w:pPr>
              <w:overflowPunct w:val="0"/>
              <w:jc w:val="center"/>
              <w:rPr>
                <w:rFonts w:hint="eastAsia" w:ascii="宋体" w:hAnsi="宋体" w:eastAsia="宋体" w:cs="宋体"/>
                <w:bCs/>
                <w:sz w:val="21"/>
                <w:szCs w:val="21"/>
              </w:rPr>
            </w:pPr>
          </w:p>
        </w:tc>
        <w:tc>
          <w:tcPr>
            <w:tcW w:w="607" w:type="pct"/>
            <w:vMerge w:val="continue"/>
            <w:noWrap w:val="0"/>
            <w:vAlign w:val="center"/>
          </w:tcPr>
          <w:p w14:paraId="4918C973">
            <w:pPr>
              <w:overflowPunct w:val="0"/>
              <w:jc w:val="center"/>
              <w:rPr>
                <w:rFonts w:hint="eastAsia" w:ascii="宋体" w:hAnsi="宋体" w:eastAsia="宋体" w:cs="宋体"/>
                <w:bCs/>
                <w:sz w:val="21"/>
                <w:szCs w:val="21"/>
              </w:rPr>
            </w:pPr>
          </w:p>
        </w:tc>
      </w:tr>
      <w:tr w14:paraId="23B6C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294" w:type="pct"/>
            <w:vMerge w:val="continue"/>
            <w:noWrap w:val="0"/>
            <w:vAlign w:val="center"/>
          </w:tcPr>
          <w:p w14:paraId="15443DF0">
            <w:pPr>
              <w:overflowPunct w:val="0"/>
              <w:jc w:val="center"/>
              <w:rPr>
                <w:rFonts w:hint="eastAsia" w:ascii="宋体" w:hAnsi="宋体" w:eastAsia="宋体" w:cs="宋体"/>
                <w:bCs/>
                <w:sz w:val="21"/>
                <w:szCs w:val="21"/>
              </w:rPr>
            </w:pPr>
          </w:p>
        </w:tc>
        <w:tc>
          <w:tcPr>
            <w:tcW w:w="384" w:type="pct"/>
            <w:vMerge w:val="continue"/>
            <w:noWrap w:val="0"/>
            <w:vAlign w:val="center"/>
          </w:tcPr>
          <w:p w14:paraId="1942224D">
            <w:pPr>
              <w:overflowPunct w:val="0"/>
              <w:jc w:val="center"/>
              <w:rPr>
                <w:rFonts w:hint="eastAsia" w:ascii="宋体" w:hAnsi="宋体" w:eastAsia="宋体" w:cs="宋体"/>
                <w:bCs/>
                <w:sz w:val="21"/>
                <w:szCs w:val="21"/>
              </w:rPr>
            </w:pPr>
          </w:p>
        </w:tc>
        <w:tc>
          <w:tcPr>
            <w:tcW w:w="1141" w:type="pct"/>
            <w:noWrap w:val="0"/>
            <w:vAlign w:val="center"/>
          </w:tcPr>
          <w:p w14:paraId="5ED0D0E4">
            <w:pPr>
              <w:bidi w:val="0"/>
              <w:jc w:val="center"/>
              <w:rPr>
                <w:rFonts w:hint="eastAsia" w:ascii="宋体" w:hAnsi="宋体" w:cs="宋体"/>
                <w:kern w:val="2"/>
                <w:sz w:val="21"/>
                <w:szCs w:val="21"/>
                <w:lang w:val="en-US" w:eastAsia="zh-CN" w:bidi="ar-SA"/>
              </w:rPr>
            </w:pPr>
            <w:r>
              <w:rPr>
                <w:rFonts w:hint="eastAsia"/>
                <w:vertAlign w:val="baseline"/>
              </w:rPr>
              <w:t>防雷系统</w:t>
            </w:r>
          </w:p>
        </w:tc>
        <w:tc>
          <w:tcPr>
            <w:tcW w:w="1140" w:type="pct"/>
            <w:noWrap w:val="0"/>
            <w:vAlign w:val="center"/>
          </w:tcPr>
          <w:p w14:paraId="6B89F5A3">
            <w:pPr>
              <w:bidi w:val="0"/>
              <w:jc w:val="center"/>
              <w:rPr>
                <w:rFonts w:hint="eastAsia" w:ascii="宋体" w:hAnsi="宋体" w:cs="宋体"/>
                <w:kern w:val="2"/>
                <w:sz w:val="21"/>
                <w:szCs w:val="21"/>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防雷接地针</w:t>
            </w:r>
          </w:p>
        </w:tc>
        <w:tc>
          <w:tcPr>
            <w:tcW w:w="394" w:type="pct"/>
            <w:noWrap w:val="0"/>
            <w:vAlign w:val="center"/>
          </w:tcPr>
          <w:p w14:paraId="164FC260">
            <w:pPr>
              <w:bidi w:val="0"/>
              <w:jc w:val="center"/>
              <w:rPr>
                <w:rFonts w:hint="eastAsia" w:ascii="宋体" w:hAnsi="宋体" w:cs="宋体"/>
                <w:sz w:val="21"/>
                <w:szCs w:val="21"/>
                <w:lang w:val="en-US" w:eastAsia="zh-CN"/>
              </w:rPr>
            </w:pPr>
            <w:r>
              <w:rPr>
                <w:rFonts w:hint="eastAsia" w:ascii="宋体" w:hAnsi="宋体" w:cs="宋体"/>
                <w:kern w:val="2"/>
                <w:sz w:val="21"/>
                <w:szCs w:val="21"/>
                <w:lang w:val="en-US" w:eastAsia="zh-CN" w:bidi="ar-SA"/>
              </w:rPr>
              <w:t>套</w:t>
            </w:r>
          </w:p>
        </w:tc>
        <w:tc>
          <w:tcPr>
            <w:tcW w:w="430" w:type="pct"/>
            <w:noWrap w:val="0"/>
            <w:vAlign w:val="center"/>
          </w:tcPr>
          <w:p w14:paraId="4305A857">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1</w:t>
            </w:r>
          </w:p>
        </w:tc>
        <w:tc>
          <w:tcPr>
            <w:tcW w:w="607" w:type="pct"/>
            <w:vMerge w:val="continue"/>
            <w:noWrap w:val="0"/>
            <w:vAlign w:val="center"/>
          </w:tcPr>
          <w:p w14:paraId="39279FAB">
            <w:pPr>
              <w:overflowPunct w:val="0"/>
              <w:jc w:val="center"/>
              <w:rPr>
                <w:rFonts w:hint="eastAsia" w:ascii="宋体" w:hAnsi="宋体" w:eastAsia="宋体" w:cs="宋体"/>
                <w:bCs/>
                <w:sz w:val="21"/>
                <w:szCs w:val="21"/>
              </w:rPr>
            </w:pPr>
          </w:p>
        </w:tc>
        <w:tc>
          <w:tcPr>
            <w:tcW w:w="607" w:type="pct"/>
            <w:vMerge w:val="continue"/>
            <w:noWrap w:val="0"/>
            <w:vAlign w:val="center"/>
          </w:tcPr>
          <w:p w14:paraId="5E3F6466">
            <w:pPr>
              <w:overflowPunct w:val="0"/>
              <w:jc w:val="center"/>
              <w:rPr>
                <w:rFonts w:hint="eastAsia" w:ascii="宋体" w:hAnsi="宋体" w:eastAsia="宋体" w:cs="宋体"/>
                <w:bCs/>
                <w:sz w:val="21"/>
                <w:szCs w:val="21"/>
              </w:rPr>
            </w:pPr>
          </w:p>
        </w:tc>
      </w:tr>
      <w:tr w14:paraId="43B31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294" w:type="pct"/>
            <w:vMerge w:val="continue"/>
            <w:noWrap w:val="0"/>
            <w:vAlign w:val="center"/>
          </w:tcPr>
          <w:p w14:paraId="19E5CEDC">
            <w:pPr>
              <w:overflowPunct w:val="0"/>
              <w:jc w:val="center"/>
              <w:rPr>
                <w:rFonts w:hint="eastAsia" w:ascii="宋体" w:hAnsi="宋体" w:eastAsia="宋体" w:cs="宋体"/>
                <w:bCs/>
                <w:sz w:val="21"/>
                <w:szCs w:val="21"/>
              </w:rPr>
            </w:pPr>
          </w:p>
        </w:tc>
        <w:tc>
          <w:tcPr>
            <w:tcW w:w="384" w:type="pct"/>
            <w:vMerge w:val="continue"/>
            <w:noWrap w:val="0"/>
            <w:vAlign w:val="center"/>
          </w:tcPr>
          <w:p w14:paraId="00275E66">
            <w:pPr>
              <w:overflowPunct w:val="0"/>
              <w:jc w:val="center"/>
              <w:rPr>
                <w:rFonts w:hint="eastAsia" w:ascii="宋体" w:hAnsi="宋体" w:eastAsia="宋体" w:cs="宋体"/>
                <w:bCs/>
                <w:sz w:val="21"/>
                <w:szCs w:val="21"/>
              </w:rPr>
            </w:pPr>
          </w:p>
        </w:tc>
        <w:tc>
          <w:tcPr>
            <w:tcW w:w="1141" w:type="pct"/>
            <w:noWrap w:val="0"/>
            <w:vAlign w:val="center"/>
          </w:tcPr>
          <w:p w14:paraId="4610C89B">
            <w:pPr>
              <w:bidi w:val="0"/>
              <w:jc w:val="center"/>
              <w:rPr>
                <w:rFonts w:hint="eastAsia" w:ascii="宋体" w:hAnsi="宋体" w:cs="宋体"/>
                <w:kern w:val="2"/>
                <w:sz w:val="21"/>
                <w:szCs w:val="21"/>
                <w:lang w:val="en-US" w:eastAsia="zh-CN" w:bidi="ar-SA"/>
              </w:rPr>
            </w:pPr>
            <w:r>
              <w:rPr>
                <w:rFonts w:hint="eastAsia"/>
                <w:vertAlign w:val="baseline"/>
                <w:lang w:val="en-US" w:eastAsia="zh-CN"/>
              </w:rPr>
              <w:t>防爆空调系统</w:t>
            </w:r>
          </w:p>
        </w:tc>
        <w:tc>
          <w:tcPr>
            <w:tcW w:w="1140" w:type="pct"/>
            <w:noWrap w:val="0"/>
            <w:vAlign w:val="center"/>
          </w:tcPr>
          <w:p w14:paraId="02FCABAF">
            <w:pPr>
              <w:bidi w:val="0"/>
              <w:jc w:val="center"/>
              <w:rPr>
                <w:rFonts w:hint="eastAsia" w:ascii="宋体" w:hAnsi="宋体" w:cs="宋体"/>
                <w:kern w:val="2"/>
                <w:sz w:val="21"/>
                <w:szCs w:val="21"/>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防爆空调</w:t>
            </w:r>
          </w:p>
        </w:tc>
        <w:tc>
          <w:tcPr>
            <w:tcW w:w="394" w:type="pct"/>
            <w:noWrap w:val="0"/>
            <w:vAlign w:val="center"/>
          </w:tcPr>
          <w:p w14:paraId="70EF3678">
            <w:pPr>
              <w:bidi w:val="0"/>
              <w:jc w:val="center"/>
              <w:rPr>
                <w:rFonts w:hint="eastAsia" w:ascii="宋体" w:hAnsi="宋体" w:cs="宋体"/>
                <w:sz w:val="21"/>
                <w:szCs w:val="21"/>
                <w:lang w:val="en-US" w:eastAsia="zh-CN"/>
              </w:rPr>
            </w:pPr>
            <w:r>
              <w:rPr>
                <w:rFonts w:hint="eastAsia" w:ascii="宋体" w:hAnsi="宋体" w:cs="宋体"/>
                <w:kern w:val="2"/>
                <w:sz w:val="21"/>
                <w:szCs w:val="21"/>
                <w:lang w:val="en-US" w:eastAsia="zh-CN" w:bidi="ar-SA"/>
              </w:rPr>
              <w:t>套</w:t>
            </w:r>
          </w:p>
        </w:tc>
        <w:tc>
          <w:tcPr>
            <w:tcW w:w="430" w:type="pct"/>
            <w:noWrap w:val="0"/>
            <w:vAlign w:val="center"/>
          </w:tcPr>
          <w:p w14:paraId="4A328A4E">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3</w:t>
            </w:r>
          </w:p>
        </w:tc>
        <w:tc>
          <w:tcPr>
            <w:tcW w:w="607" w:type="pct"/>
            <w:vMerge w:val="continue"/>
            <w:noWrap w:val="0"/>
            <w:vAlign w:val="center"/>
          </w:tcPr>
          <w:p w14:paraId="7106CC27">
            <w:pPr>
              <w:overflowPunct w:val="0"/>
              <w:jc w:val="center"/>
              <w:rPr>
                <w:rFonts w:hint="eastAsia" w:ascii="宋体" w:hAnsi="宋体" w:eastAsia="宋体" w:cs="宋体"/>
                <w:bCs/>
                <w:sz w:val="21"/>
                <w:szCs w:val="21"/>
              </w:rPr>
            </w:pPr>
          </w:p>
        </w:tc>
        <w:tc>
          <w:tcPr>
            <w:tcW w:w="607" w:type="pct"/>
            <w:vMerge w:val="continue"/>
            <w:noWrap w:val="0"/>
            <w:vAlign w:val="center"/>
          </w:tcPr>
          <w:p w14:paraId="5A09EBD1">
            <w:pPr>
              <w:overflowPunct w:val="0"/>
              <w:jc w:val="center"/>
              <w:rPr>
                <w:rFonts w:hint="eastAsia" w:ascii="宋体" w:hAnsi="宋体" w:eastAsia="宋体" w:cs="宋体"/>
                <w:bCs/>
                <w:sz w:val="21"/>
                <w:szCs w:val="21"/>
              </w:rPr>
            </w:pPr>
          </w:p>
        </w:tc>
      </w:tr>
      <w:tr w14:paraId="2BCF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294" w:type="pct"/>
            <w:vMerge w:val="continue"/>
            <w:noWrap w:val="0"/>
            <w:vAlign w:val="center"/>
          </w:tcPr>
          <w:p w14:paraId="0BAC5DA4">
            <w:pPr>
              <w:overflowPunct w:val="0"/>
              <w:jc w:val="center"/>
              <w:rPr>
                <w:rFonts w:hint="eastAsia" w:ascii="宋体" w:hAnsi="宋体" w:eastAsia="宋体" w:cs="宋体"/>
                <w:bCs/>
                <w:sz w:val="21"/>
                <w:szCs w:val="21"/>
              </w:rPr>
            </w:pPr>
          </w:p>
        </w:tc>
        <w:tc>
          <w:tcPr>
            <w:tcW w:w="384" w:type="pct"/>
            <w:vMerge w:val="continue"/>
            <w:noWrap w:val="0"/>
            <w:vAlign w:val="center"/>
          </w:tcPr>
          <w:p w14:paraId="1128C566">
            <w:pPr>
              <w:overflowPunct w:val="0"/>
              <w:jc w:val="center"/>
              <w:rPr>
                <w:rFonts w:hint="eastAsia" w:ascii="宋体" w:hAnsi="宋体" w:eastAsia="宋体" w:cs="宋体"/>
                <w:bCs/>
                <w:sz w:val="21"/>
                <w:szCs w:val="21"/>
              </w:rPr>
            </w:pPr>
          </w:p>
        </w:tc>
        <w:tc>
          <w:tcPr>
            <w:tcW w:w="1141" w:type="pct"/>
            <w:vMerge w:val="restart"/>
            <w:noWrap w:val="0"/>
            <w:vAlign w:val="center"/>
          </w:tcPr>
          <w:p w14:paraId="297A02B6">
            <w:pPr>
              <w:bidi w:val="0"/>
              <w:jc w:val="center"/>
              <w:rPr>
                <w:rFonts w:hint="default" w:ascii="宋体" w:hAnsi="宋体" w:cs="宋体"/>
                <w:kern w:val="2"/>
                <w:sz w:val="21"/>
                <w:szCs w:val="21"/>
                <w:lang w:val="en-US" w:eastAsia="zh-CN" w:bidi="ar-SA"/>
              </w:rPr>
            </w:pPr>
            <w:r>
              <w:rPr>
                <w:rFonts w:hint="eastAsia"/>
                <w:vertAlign w:val="baseline"/>
              </w:rPr>
              <w:t>防爆照明系统</w:t>
            </w:r>
          </w:p>
        </w:tc>
        <w:tc>
          <w:tcPr>
            <w:tcW w:w="1140" w:type="pct"/>
            <w:noWrap w:val="0"/>
            <w:vAlign w:val="center"/>
          </w:tcPr>
          <w:p w14:paraId="39BB183F">
            <w:pPr>
              <w:bidi w:val="0"/>
              <w:jc w:val="center"/>
              <w:rPr>
                <w:rFonts w:hint="eastAsia" w:ascii="宋体" w:hAnsi="宋体" w:cs="宋体"/>
                <w:kern w:val="2"/>
                <w:sz w:val="21"/>
                <w:szCs w:val="21"/>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防爆照明灯</w:t>
            </w:r>
          </w:p>
        </w:tc>
        <w:tc>
          <w:tcPr>
            <w:tcW w:w="394" w:type="pct"/>
            <w:noWrap w:val="0"/>
            <w:vAlign w:val="center"/>
          </w:tcPr>
          <w:p w14:paraId="4ABE6DE4">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套</w:t>
            </w:r>
          </w:p>
        </w:tc>
        <w:tc>
          <w:tcPr>
            <w:tcW w:w="430" w:type="pct"/>
            <w:noWrap w:val="0"/>
            <w:vAlign w:val="center"/>
          </w:tcPr>
          <w:p w14:paraId="7324E5A4">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6</w:t>
            </w:r>
          </w:p>
        </w:tc>
        <w:tc>
          <w:tcPr>
            <w:tcW w:w="607" w:type="pct"/>
            <w:vMerge w:val="continue"/>
            <w:noWrap w:val="0"/>
            <w:vAlign w:val="center"/>
          </w:tcPr>
          <w:p w14:paraId="23C45768">
            <w:pPr>
              <w:overflowPunct w:val="0"/>
              <w:jc w:val="center"/>
              <w:rPr>
                <w:rFonts w:hint="eastAsia" w:ascii="宋体" w:hAnsi="宋体" w:eastAsia="宋体" w:cs="宋体"/>
                <w:bCs/>
                <w:sz w:val="21"/>
                <w:szCs w:val="21"/>
              </w:rPr>
            </w:pPr>
          </w:p>
        </w:tc>
        <w:tc>
          <w:tcPr>
            <w:tcW w:w="607" w:type="pct"/>
            <w:vMerge w:val="continue"/>
            <w:noWrap w:val="0"/>
            <w:vAlign w:val="center"/>
          </w:tcPr>
          <w:p w14:paraId="6F43FEC8">
            <w:pPr>
              <w:overflowPunct w:val="0"/>
              <w:jc w:val="center"/>
              <w:rPr>
                <w:rFonts w:hint="eastAsia" w:ascii="宋体" w:hAnsi="宋体" w:eastAsia="宋体" w:cs="宋体"/>
                <w:bCs/>
                <w:sz w:val="21"/>
                <w:szCs w:val="21"/>
              </w:rPr>
            </w:pPr>
          </w:p>
        </w:tc>
      </w:tr>
      <w:tr w14:paraId="7BBC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294" w:type="pct"/>
            <w:vMerge w:val="continue"/>
            <w:noWrap w:val="0"/>
            <w:vAlign w:val="center"/>
          </w:tcPr>
          <w:p w14:paraId="1D56CB76">
            <w:pPr>
              <w:overflowPunct w:val="0"/>
              <w:jc w:val="center"/>
              <w:rPr>
                <w:rFonts w:hint="eastAsia" w:ascii="宋体" w:hAnsi="宋体" w:eastAsia="宋体" w:cs="宋体"/>
                <w:bCs/>
                <w:sz w:val="21"/>
                <w:szCs w:val="21"/>
              </w:rPr>
            </w:pPr>
          </w:p>
        </w:tc>
        <w:tc>
          <w:tcPr>
            <w:tcW w:w="384" w:type="pct"/>
            <w:vMerge w:val="continue"/>
            <w:noWrap w:val="0"/>
            <w:vAlign w:val="center"/>
          </w:tcPr>
          <w:p w14:paraId="02C3F7F1">
            <w:pPr>
              <w:overflowPunct w:val="0"/>
              <w:jc w:val="center"/>
              <w:rPr>
                <w:rFonts w:hint="eastAsia" w:ascii="宋体" w:hAnsi="宋体" w:eastAsia="宋体" w:cs="宋体"/>
                <w:bCs/>
                <w:sz w:val="21"/>
                <w:szCs w:val="21"/>
              </w:rPr>
            </w:pPr>
          </w:p>
        </w:tc>
        <w:tc>
          <w:tcPr>
            <w:tcW w:w="1141" w:type="pct"/>
            <w:vMerge w:val="continue"/>
            <w:noWrap w:val="0"/>
            <w:vAlign w:val="center"/>
          </w:tcPr>
          <w:p w14:paraId="16DD2371">
            <w:pPr>
              <w:bidi w:val="0"/>
              <w:jc w:val="center"/>
              <w:rPr>
                <w:rFonts w:hint="eastAsia"/>
                <w:vertAlign w:val="baseline"/>
              </w:rPr>
            </w:pPr>
          </w:p>
        </w:tc>
        <w:tc>
          <w:tcPr>
            <w:tcW w:w="1140" w:type="pct"/>
            <w:noWrap w:val="0"/>
            <w:vAlign w:val="center"/>
          </w:tcPr>
          <w:p w14:paraId="49C88A4D">
            <w:pPr>
              <w:bidi w:val="0"/>
              <w:jc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防爆报警灯</w:t>
            </w:r>
          </w:p>
        </w:tc>
        <w:tc>
          <w:tcPr>
            <w:tcW w:w="394" w:type="pct"/>
            <w:noWrap w:val="0"/>
            <w:vAlign w:val="center"/>
          </w:tcPr>
          <w:p w14:paraId="28C218BE">
            <w:pPr>
              <w:bidi w:val="0"/>
              <w:jc w:val="center"/>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套</w:t>
            </w:r>
          </w:p>
        </w:tc>
        <w:tc>
          <w:tcPr>
            <w:tcW w:w="430" w:type="pct"/>
            <w:noWrap w:val="0"/>
            <w:vAlign w:val="center"/>
          </w:tcPr>
          <w:p w14:paraId="5B9DDDC8">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2</w:t>
            </w:r>
          </w:p>
        </w:tc>
        <w:tc>
          <w:tcPr>
            <w:tcW w:w="607" w:type="pct"/>
            <w:vMerge w:val="continue"/>
            <w:noWrap w:val="0"/>
            <w:vAlign w:val="center"/>
          </w:tcPr>
          <w:p w14:paraId="3D349162">
            <w:pPr>
              <w:overflowPunct w:val="0"/>
              <w:jc w:val="center"/>
              <w:rPr>
                <w:rFonts w:hint="eastAsia" w:ascii="宋体" w:hAnsi="宋体" w:eastAsia="宋体" w:cs="宋体"/>
                <w:bCs/>
                <w:sz w:val="21"/>
                <w:szCs w:val="21"/>
              </w:rPr>
            </w:pPr>
          </w:p>
        </w:tc>
        <w:tc>
          <w:tcPr>
            <w:tcW w:w="607" w:type="pct"/>
            <w:vMerge w:val="continue"/>
            <w:noWrap w:val="0"/>
            <w:vAlign w:val="center"/>
          </w:tcPr>
          <w:p w14:paraId="0D94ED2B">
            <w:pPr>
              <w:overflowPunct w:val="0"/>
              <w:jc w:val="center"/>
              <w:rPr>
                <w:rFonts w:hint="eastAsia" w:ascii="宋体" w:hAnsi="宋体" w:eastAsia="宋体" w:cs="宋体"/>
                <w:bCs/>
                <w:sz w:val="21"/>
                <w:szCs w:val="21"/>
              </w:rPr>
            </w:pPr>
          </w:p>
        </w:tc>
      </w:tr>
      <w:tr w14:paraId="2BDDA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294" w:type="pct"/>
            <w:vMerge w:val="continue"/>
            <w:noWrap w:val="0"/>
            <w:vAlign w:val="center"/>
          </w:tcPr>
          <w:p w14:paraId="10510DE5">
            <w:pPr>
              <w:overflowPunct w:val="0"/>
              <w:jc w:val="center"/>
              <w:rPr>
                <w:rFonts w:hint="eastAsia" w:ascii="宋体" w:hAnsi="宋体" w:eastAsia="宋体" w:cs="宋体"/>
                <w:bCs/>
                <w:sz w:val="21"/>
                <w:szCs w:val="21"/>
              </w:rPr>
            </w:pPr>
          </w:p>
        </w:tc>
        <w:tc>
          <w:tcPr>
            <w:tcW w:w="384" w:type="pct"/>
            <w:vMerge w:val="continue"/>
            <w:noWrap w:val="0"/>
            <w:vAlign w:val="center"/>
          </w:tcPr>
          <w:p w14:paraId="13E2225B">
            <w:pPr>
              <w:overflowPunct w:val="0"/>
              <w:jc w:val="center"/>
              <w:rPr>
                <w:rFonts w:hint="eastAsia" w:ascii="宋体" w:hAnsi="宋体" w:eastAsia="宋体" w:cs="宋体"/>
                <w:bCs/>
                <w:sz w:val="21"/>
                <w:szCs w:val="21"/>
              </w:rPr>
            </w:pPr>
          </w:p>
        </w:tc>
        <w:tc>
          <w:tcPr>
            <w:tcW w:w="1141" w:type="pct"/>
            <w:vMerge w:val="continue"/>
            <w:noWrap w:val="0"/>
            <w:vAlign w:val="center"/>
          </w:tcPr>
          <w:p w14:paraId="0F682C29">
            <w:pPr>
              <w:bidi w:val="0"/>
              <w:jc w:val="center"/>
              <w:rPr>
                <w:rFonts w:hint="eastAsia"/>
                <w:vertAlign w:val="baseline"/>
              </w:rPr>
            </w:pPr>
          </w:p>
        </w:tc>
        <w:tc>
          <w:tcPr>
            <w:tcW w:w="1140" w:type="pct"/>
            <w:noWrap w:val="0"/>
            <w:vAlign w:val="center"/>
          </w:tcPr>
          <w:p w14:paraId="7ED41DEA">
            <w:pPr>
              <w:bidi w:val="0"/>
              <w:jc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防爆应急灯</w:t>
            </w:r>
          </w:p>
        </w:tc>
        <w:tc>
          <w:tcPr>
            <w:tcW w:w="394" w:type="pct"/>
            <w:noWrap w:val="0"/>
            <w:vAlign w:val="center"/>
          </w:tcPr>
          <w:p w14:paraId="6A156364">
            <w:pPr>
              <w:bidi w:val="0"/>
              <w:jc w:val="center"/>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套</w:t>
            </w:r>
          </w:p>
        </w:tc>
        <w:tc>
          <w:tcPr>
            <w:tcW w:w="430" w:type="pct"/>
            <w:noWrap w:val="0"/>
            <w:vAlign w:val="center"/>
          </w:tcPr>
          <w:p w14:paraId="709ED04D">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7</w:t>
            </w:r>
          </w:p>
        </w:tc>
        <w:tc>
          <w:tcPr>
            <w:tcW w:w="607" w:type="pct"/>
            <w:vMerge w:val="continue"/>
            <w:noWrap w:val="0"/>
            <w:vAlign w:val="center"/>
          </w:tcPr>
          <w:p w14:paraId="35F32A1A">
            <w:pPr>
              <w:overflowPunct w:val="0"/>
              <w:jc w:val="center"/>
              <w:rPr>
                <w:rFonts w:hint="eastAsia" w:ascii="宋体" w:hAnsi="宋体" w:eastAsia="宋体" w:cs="宋体"/>
                <w:bCs/>
                <w:sz w:val="21"/>
                <w:szCs w:val="21"/>
              </w:rPr>
            </w:pPr>
          </w:p>
        </w:tc>
        <w:tc>
          <w:tcPr>
            <w:tcW w:w="607" w:type="pct"/>
            <w:vMerge w:val="continue"/>
            <w:noWrap w:val="0"/>
            <w:vAlign w:val="center"/>
          </w:tcPr>
          <w:p w14:paraId="2B6BAC1F">
            <w:pPr>
              <w:overflowPunct w:val="0"/>
              <w:jc w:val="center"/>
              <w:rPr>
                <w:rFonts w:hint="eastAsia" w:ascii="宋体" w:hAnsi="宋体" w:eastAsia="宋体" w:cs="宋体"/>
                <w:bCs/>
                <w:sz w:val="21"/>
                <w:szCs w:val="21"/>
              </w:rPr>
            </w:pPr>
          </w:p>
        </w:tc>
      </w:tr>
      <w:tr w14:paraId="2C749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4" w:type="pct"/>
            <w:vMerge w:val="continue"/>
            <w:noWrap w:val="0"/>
            <w:vAlign w:val="center"/>
          </w:tcPr>
          <w:p w14:paraId="79F792B7">
            <w:pPr>
              <w:overflowPunct w:val="0"/>
              <w:jc w:val="center"/>
              <w:rPr>
                <w:rFonts w:hint="eastAsia" w:ascii="宋体" w:hAnsi="宋体" w:eastAsia="宋体" w:cs="宋体"/>
                <w:bCs/>
                <w:sz w:val="21"/>
                <w:szCs w:val="21"/>
              </w:rPr>
            </w:pPr>
          </w:p>
        </w:tc>
        <w:tc>
          <w:tcPr>
            <w:tcW w:w="384" w:type="pct"/>
            <w:vMerge w:val="continue"/>
            <w:noWrap w:val="0"/>
            <w:vAlign w:val="center"/>
          </w:tcPr>
          <w:p w14:paraId="5586E9E8">
            <w:pPr>
              <w:overflowPunct w:val="0"/>
              <w:jc w:val="center"/>
              <w:rPr>
                <w:rFonts w:hint="eastAsia" w:ascii="宋体" w:hAnsi="宋体" w:eastAsia="宋体" w:cs="宋体"/>
                <w:bCs/>
                <w:sz w:val="21"/>
                <w:szCs w:val="21"/>
              </w:rPr>
            </w:pPr>
          </w:p>
        </w:tc>
        <w:tc>
          <w:tcPr>
            <w:tcW w:w="1141" w:type="pct"/>
            <w:noWrap w:val="0"/>
            <w:vAlign w:val="center"/>
          </w:tcPr>
          <w:p w14:paraId="16C88F29">
            <w:pPr>
              <w:bidi w:val="0"/>
              <w:jc w:val="center"/>
              <w:rPr>
                <w:rFonts w:hint="eastAsia" w:ascii="宋体" w:hAnsi="宋体" w:cs="宋体"/>
                <w:kern w:val="2"/>
                <w:sz w:val="21"/>
                <w:szCs w:val="21"/>
                <w:lang w:val="en-US" w:eastAsia="zh-CN" w:bidi="ar-SA"/>
              </w:rPr>
            </w:pPr>
            <w:r>
              <w:rPr>
                <w:rFonts w:hint="eastAsia"/>
                <w:vertAlign w:val="baseline"/>
              </w:rPr>
              <w:t>安全</w:t>
            </w:r>
            <w:r>
              <w:rPr>
                <w:rFonts w:hint="eastAsia"/>
                <w:vertAlign w:val="baseline"/>
                <w:lang w:val="en-US" w:eastAsia="zh-CN"/>
              </w:rPr>
              <w:t>环保</w:t>
            </w:r>
            <w:r>
              <w:rPr>
                <w:rFonts w:hint="eastAsia"/>
                <w:vertAlign w:val="baseline"/>
              </w:rPr>
              <w:t>标识、标牌与说明</w:t>
            </w:r>
          </w:p>
        </w:tc>
        <w:tc>
          <w:tcPr>
            <w:tcW w:w="1140" w:type="pct"/>
            <w:noWrap w:val="0"/>
            <w:vAlign w:val="center"/>
          </w:tcPr>
          <w:p w14:paraId="101D9569">
            <w:pPr>
              <w:bidi w:val="0"/>
              <w:jc w:val="center"/>
              <w:rPr>
                <w:rFonts w:hint="eastAsia" w:ascii="宋体" w:hAnsi="宋体" w:cs="宋体"/>
                <w:kern w:val="2"/>
                <w:sz w:val="21"/>
                <w:szCs w:val="21"/>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安全环保标识</w:t>
            </w:r>
          </w:p>
        </w:tc>
        <w:tc>
          <w:tcPr>
            <w:tcW w:w="394" w:type="pct"/>
            <w:noWrap w:val="0"/>
            <w:vAlign w:val="center"/>
          </w:tcPr>
          <w:p w14:paraId="2C9993ED">
            <w:pPr>
              <w:bidi w:val="0"/>
              <w:jc w:val="center"/>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套</w:t>
            </w:r>
          </w:p>
        </w:tc>
        <w:tc>
          <w:tcPr>
            <w:tcW w:w="430" w:type="pct"/>
            <w:noWrap w:val="0"/>
            <w:vAlign w:val="center"/>
          </w:tcPr>
          <w:p w14:paraId="106DF17C">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2</w:t>
            </w:r>
          </w:p>
        </w:tc>
        <w:tc>
          <w:tcPr>
            <w:tcW w:w="607" w:type="pct"/>
            <w:vMerge w:val="continue"/>
            <w:noWrap w:val="0"/>
            <w:vAlign w:val="center"/>
          </w:tcPr>
          <w:p w14:paraId="3D51162B">
            <w:pPr>
              <w:overflowPunct w:val="0"/>
              <w:jc w:val="center"/>
              <w:rPr>
                <w:rFonts w:hint="eastAsia" w:ascii="宋体" w:hAnsi="宋体" w:eastAsia="宋体" w:cs="宋体"/>
                <w:bCs/>
                <w:sz w:val="21"/>
                <w:szCs w:val="21"/>
              </w:rPr>
            </w:pPr>
          </w:p>
        </w:tc>
        <w:tc>
          <w:tcPr>
            <w:tcW w:w="607" w:type="pct"/>
            <w:vMerge w:val="continue"/>
            <w:noWrap w:val="0"/>
            <w:vAlign w:val="center"/>
          </w:tcPr>
          <w:p w14:paraId="5EA4E05B">
            <w:pPr>
              <w:overflowPunct w:val="0"/>
              <w:jc w:val="center"/>
              <w:rPr>
                <w:rFonts w:hint="eastAsia" w:ascii="宋体" w:hAnsi="宋体" w:eastAsia="宋体" w:cs="宋体"/>
                <w:bCs/>
                <w:sz w:val="21"/>
                <w:szCs w:val="21"/>
              </w:rPr>
            </w:pPr>
          </w:p>
        </w:tc>
      </w:tr>
      <w:tr w14:paraId="6808E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4" w:type="pct"/>
            <w:vMerge w:val="continue"/>
            <w:noWrap w:val="0"/>
            <w:vAlign w:val="center"/>
          </w:tcPr>
          <w:p w14:paraId="63E980DB">
            <w:pPr>
              <w:overflowPunct w:val="0"/>
              <w:jc w:val="center"/>
              <w:rPr>
                <w:rFonts w:hint="eastAsia" w:ascii="宋体" w:hAnsi="宋体" w:eastAsia="宋体" w:cs="宋体"/>
                <w:bCs/>
                <w:sz w:val="21"/>
                <w:szCs w:val="21"/>
              </w:rPr>
            </w:pPr>
          </w:p>
        </w:tc>
        <w:tc>
          <w:tcPr>
            <w:tcW w:w="384" w:type="pct"/>
            <w:vMerge w:val="continue"/>
            <w:noWrap w:val="0"/>
            <w:vAlign w:val="center"/>
          </w:tcPr>
          <w:p w14:paraId="276A64A4">
            <w:pPr>
              <w:overflowPunct w:val="0"/>
              <w:jc w:val="center"/>
              <w:rPr>
                <w:rFonts w:hint="eastAsia" w:ascii="宋体" w:hAnsi="宋体" w:eastAsia="宋体" w:cs="宋体"/>
                <w:bCs/>
                <w:sz w:val="21"/>
                <w:szCs w:val="21"/>
              </w:rPr>
            </w:pPr>
          </w:p>
        </w:tc>
        <w:tc>
          <w:tcPr>
            <w:tcW w:w="1141" w:type="pct"/>
            <w:vMerge w:val="restart"/>
            <w:noWrap w:val="0"/>
            <w:vAlign w:val="center"/>
          </w:tcPr>
          <w:p w14:paraId="2582AC1B">
            <w:pPr>
              <w:bidi w:val="0"/>
              <w:jc w:val="center"/>
              <w:rPr>
                <w:rFonts w:hint="eastAsia" w:ascii="宋体" w:hAnsi="宋体" w:cs="宋体"/>
                <w:sz w:val="21"/>
                <w:szCs w:val="21"/>
                <w:lang w:val="en-US" w:eastAsia="zh-CN"/>
              </w:rPr>
            </w:pPr>
            <w:r>
              <w:rPr>
                <w:rFonts w:hint="eastAsia"/>
                <w:vertAlign w:val="baseline"/>
              </w:rPr>
              <w:t>其他配件设施</w:t>
            </w:r>
          </w:p>
        </w:tc>
        <w:tc>
          <w:tcPr>
            <w:tcW w:w="1140" w:type="pct"/>
            <w:noWrap w:val="0"/>
            <w:vAlign w:val="center"/>
          </w:tcPr>
          <w:p w14:paraId="588BE062">
            <w:pPr>
              <w:jc w:val="center"/>
              <w:rPr>
                <w:rFonts w:hint="eastAsia" w:ascii="宋体" w:hAnsi="宋体" w:cs="宋体"/>
                <w:kern w:val="2"/>
                <w:sz w:val="21"/>
                <w:szCs w:val="21"/>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防爆穿线盒+三通+弯头</w:t>
            </w:r>
          </w:p>
        </w:tc>
        <w:tc>
          <w:tcPr>
            <w:tcW w:w="394" w:type="pct"/>
            <w:noWrap w:val="0"/>
            <w:vAlign w:val="center"/>
          </w:tcPr>
          <w:p w14:paraId="360769B5">
            <w:pPr>
              <w:bidi w:val="0"/>
              <w:jc w:val="center"/>
              <w:rPr>
                <w:rFonts w:hint="eastAsia" w:ascii="宋体" w:hAnsi="宋体" w:cs="宋体"/>
                <w:sz w:val="21"/>
                <w:szCs w:val="21"/>
                <w:lang w:val="en-US" w:eastAsia="zh-CN"/>
              </w:rPr>
            </w:pPr>
            <w:r>
              <w:rPr>
                <w:rFonts w:hint="eastAsia" w:ascii="宋体" w:hAnsi="宋体" w:cs="宋体"/>
                <w:kern w:val="2"/>
                <w:sz w:val="21"/>
                <w:szCs w:val="21"/>
                <w:lang w:val="en-US" w:eastAsia="zh-CN" w:bidi="ar-SA"/>
              </w:rPr>
              <w:t>套</w:t>
            </w:r>
          </w:p>
        </w:tc>
        <w:tc>
          <w:tcPr>
            <w:tcW w:w="430" w:type="pct"/>
            <w:noWrap w:val="0"/>
            <w:vAlign w:val="center"/>
          </w:tcPr>
          <w:p w14:paraId="74DFD510">
            <w:pPr>
              <w:bidi w:val="0"/>
              <w:jc w:val="center"/>
              <w:rPr>
                <w:rFonts w:hint="default" w:ascii="宋体" w:hAnsi="宋体" w:cs="宋体"/>
                <w:sz w:val="21"/>
                <w:szCs w:val="21"/>
                <w:lang w:val="en-US" w:eastAsia="zh-CN"/>
              </w:rPr>
            </w:pPr>
            <w:r>
              <w:rPr>
                <w:rFonts w:hint="eastAsia" w:ascii="宋体" w:hAnsi="宋体" w:cs="宋体"/>
                <w:sz w:val="21"/>
                <w:szCs w:val="21"/>
                <w:lang w:val="en-US" w:eastAsia="zh-CN"/>
              </w:rPr>
              <w:t>1</w:t>
            </w:r>
          </w:p>
        </w:tc>
        <w:tc>
          <w:tcPr>
            <w:tcW w:w="607" w:type="pct"/>
            <w:vMerge w:val="continue"/>
            <w:noWrap w:val="0"/>
            <w:vAlign w:val="center"/>
          </w:tcPr>
          <w:p w14:paraId="5BB2CD13">
            <w:pPr>
              <w:overflowPunct w:val="0"/>
              <w:jc w:val="center"/>
              <w:rPr>
                <w:rFonts w:hint="eastAsia" w:ascii="宋体" w:hAnsi="宋体" w:eastAsia="宋体" w:cs="宋体"/>
                <w:bCs/>
                <w:sz w:val="21"/>
                <w:szCs w:val="21"/>
              </w:rPr>
            </w:pPr>
          </w:p>
        </w:tc>
        <w:tc>
          <w:tcPr>
            <w:tcW w:w="607" w:type="pct"/>
            <w:vMerge w:val="continue"/>
            <w:noWrap w:val="0"/>
            <w:vAlign w:val="center"/>
          </w:tcPr>
          <w:p w14:paraId="17A5A499">
            <w:pPr>
              <w:overflowPunct w:val="0"/>
              <w:jc w:val="center"/>
              <w:rPr>
                <w:rFonts w:hint="eastAsia" w:ascii="宋体" w:hAnsi="宋体" w:eastAsia="宋体" w:cs="宋体"/>
                <w:bCs/>
                <w:sz w:val="21"/>
                <w:szCs w:val="21"/>
              </w:rPr>
            </w:pPr>
          </w:p>
        </w:tc>
      </w:tr>
      <w:tr w14:paraId="0D59F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4" w:type="pct"/>
            <w:vMerge w:val="continue"/>
            <w:noWrap w:val="0"/>
            <w:vAlign w:val="center"/>
          </w:tcPr>
          <w:p w14:paraId="157FB27B">
            <w:pPr>
              <w:overflowPunct w:val="0"/>
              <w:jc w:val="center"/>
              <w:rPr>
                <w:rFonts w:hint="eastAsia" w:ascii="宋体" w:hAnsi="宋体" w:eastAsia="宋体" w:cs="宋体"/>
                <w:bCs/>
                <w:sz w:val="21"/>
                <w:szCs w:val="21"/>
              </w:rPr>
            </w:pPr>
          </w:p>
        </w:tc>
        <w:tc>
          <w:tcPr>
            <w:tcW w:w="384" w:type="pct"/>
            <w:vMerge w:val="continue"/>
            <w:noWrap w:val="0"/>
            <w:vAlign w:val="center"/>
          </w:tcPr>
          <w:p w14:paraId="79E58A46">
            <w:pPr>
              <w:overflowPunct w:val="0"/>
              <w:jc w:val="center"/>
              <w:rPr>
                <w:rFonts w:hint="eastAsia" w:ascii="宋体" w:hAnsi="宋体" w:eastAsia="宋体" w:cs="宋体"/>
                <w:bCs/>
                <w:sz w:val="21"/>
                <w:szCs w:val="21"/>
              </w:rPr>
            </w:pPr>
          </w:p>
        </w:tc>
        <w:tc>
          <w:tcPr>
            <w:tcW w:w="1141" w:type="pct"/>
            <w:vMerge w:val="continue"/>
            <w:noWrap w:val="0"/>
            <w:vAlign w:val="center"/>
          </w:tcPr>
          <w:p w14:paraId="0E6DDAE6">
            <w:pPr>
              <w:bidi w:val="0"/>
              <w:jc w:val="center"/>
              <w:rPr>
                <w:rFonts w:hint="eastAsia"/>
                <w:vertAlign w:val="baseline"/>
              </w:rPr>
            </w:pPr>
          </w:p>
        </w:tc>
        <w:tc>
          <w:tcPr>
            <w:tcW w:w="1140" w:type="pct"/>
            <w:noWrap w:val="0"/>
            <w:vAlign w:val="center"/>
          </w:tcPr>
          <w:p w14:paraId="238CE373">
            <w:pPr>
              <w:bidi w:val="0"/>
              <w:jc w:val="center"/>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防爆穿线管+桥架</w:t>
            </w:r>
          </w:p>
        </w:tc>
        <w:tc>
          <w:tcPr>
            <w:tcW w:w="394" w:type="pct"/>
            <w:noWrap w:val="0"/>
            <w:vAlign w:val="center"/>
          </w:tcPr>
          <w:p w14:paraId="09A48C49">
            <w:pPr>
              <w:bidi w:val="0"/>
              <w:jc w:val="center"/>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套</w:t>
            </w:r>
          </w:p>
        </w:tc>
        <w:tc>
          <w:tcPr>
            <w:tcW w:w="430" w:type="pct"/>
            <w:noWrap w:val="0"/>
            <w:vAlign w:val="center"/>
          </w:tcPr>
          <w:p w14:paraId="15713AAB">
            <w:pPr>
              <w:bidi w:val="0"/>
              <w:jc w:val="center"/>
              <w:rPr>
                <w:rFonts w:hint="default" w:ascii="宋体" w:hAnsi="宋体" w:cs="宋体"/>
                <w:sz w:val="21"/>
                <w:szCs w:val="21"/>
                <w:lang w:val="en-US" w:eastAsia="zh-CN"/>
              </w:rPr>
            </w:pPr>
            <w:r>
              <w:rPr>
                <w:rFonts w:hint="eastAsia" w:ascii="宋体" w:hAnsi="宋体" w:cs="宋体"/>
                <w:sz w:val="21"/>
                <w:szCs w:val="21"/>
                <w:lang w:val="en-US" w:eastAsia="zh-CN"/>
              </w:rPr>
              <w:t>1</w:t>
            </w:r>
          </w:p>
        </w:tc>
        <w:tc>
          <w:tcPr>
            <w:tcW w:w="607" w:type="pct"/>
            <w:vMerge w:val="continue"/>
            <w:noWrap w:val="0"/>
            <w:vAlign w:val="center"/>
          </w:tcPr>
          <w:p w14:paraId="63CCA01B">
            <w:pPr>
              <w:overflowPunct w:val="0"/>
              <w:jc w:val="center"/>
              <w:rPr>
                <w:rFonts w:hint="eastAsia" w:ascii="宋体" w:hAnsi="宋体" w:eastAsia="宋体" w:cs="宋体"/>
                <w:bCs/>
                <w:sz w:val="21"/>
                <w:szCs w:val="21"/>
              </w:rPr>
            </w:pPr>
          </w:p>
        </w:tc>
        <w:tc>
          <w:tcPr>
            <w:tcW w:w="607" w:type="pct"/>
            <w:vMerge w:val="continue"/>
            <w:noWrap w:val="0"/>
            <w:vAlign w:val="center"/>
          </w:tcPr>
          <w:p w14:paraId="00F59EC0">
            <w:pPr>
              <w:overflowPunct w:val="0"/>
              <w:jc w:val="center"/>
              <w:rPr>
                <w:rFonts w:hint="eastAsia" w:ascii="宋体" w:hAnsi="宋体" w:eastAsia="宋体" w:cs="宋体"/>
                <w:bCs/>
                <w:sz w:val="21"/>
                <w:szCs w:val="21"/>
              </w:rPr>
            </w:pPr>
          </w:p>
        </w:tc>
      </w:tr>
      <w:tr w14:paraId="235E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94" w:type="pct"/>
            <w:vMerge w:val="continue"/>
            <w:noWrap w:val="0"/>
            <w:vAlign w:val="center"/>
          </w:tcPr>
          <w:p w14:paraId="1BB23299">
            <w:pPr>
              <w:overflowPunct w:val="0"/>
              <w:jc w:val="center"/>
              <w:rPr>
                <w:rFonts w:hint="eastAsia" w:ascii="宋体" w:hAnsi="宋体" w:eastAsia="宋体" w:cs="宋体"/>
                <w:bCs/>
                <w:sz w:val="21"/>
                <w:szCs w:val="21"/>
              </w:rPr>
            </w:pPr>
          </w:p>
        </w:tc>
        <w:tc>
          <w:tcPr>
            <w:tcW w:w="384" w:type="pct"/>
            <w:vMerge w:val="continue"/>
            <w:noWrap w:val="0"/>
            <w:vAlign w:val="center"/>
          </w:tcPr>
          <w:p w14:paraId="44023505">
            <w:pPr>
              <w:overflowPunct w:val="0"/>
              <w:jc w:val="center"/>
              <w:rPr>
                <w:rFonts w:hint="eastAsia" w:ascii="宋体" w:hAnsi="宋体" w:eastAsia="宋体" w:cs="宋体"/>
                <w:bCs/>
                <w:sz w:val="21"/>
                <w:szCs w:val="21"/>
              </w:rPr>
            </w:pPr>
          </w:p>
        </w:tc>
        <w:tc>
          <w:tcPr>
            <w:tcW w:w="1141" w:type="pct"/>
            <w:noWrap w:val="0"/>
            <w:vAlign w:val="center"/>
          </w:tcPr>
          <w:p w14:paraId="68D49EC8">
            <w:pPr>
              <w:bidi w:val="0"/>
              <w:jc w:val="center"/>
              <w:rPr>
                <w:rFonts w:hint="eastAsia" w:ascii="宋体" w:hAnsi="宋体" w:cs="宋体"/>
                <w:kern w:val="2"/>
                <w:sz w:val="21"/>
                <w:szCs w:val="21"/>
                <w:lang w:val="en-US" w:eastAsia="zh-CN" w:bidi="ar-SA"/>
              </w:rPr>
            </w:pPr>
            <w:r>
              <w:rPr>
                <w:rFonts w:hint="eastAsia"/>
                <w:vertAlign w:val="baseline"/>
                <w:lang w:val="en-US" w:eastAsia="zh-CN"/>
              </w:rPr>
              <w:t>洗眼装置</w:t>
            </w:r>
          </w:p>
        </w:tc>
        <w:tc>
          <w:tcPr>
            <w:tcW w:w="1140" w:type="pct"/>
            <w:noWrap w:val="0"/>
            <w:vAlign w:val="center"/>
          </w:tcPr>
          <w:p w14:paraId="469E65D4">
            <w:pPr>
              <w:bidi w:val="0"/>
              <w:jc w:val="center"/>
              <w:rPr>
                <w:rFonts w:hint="eastAsia" w:ascii="宋体" w:hAnsi="宋体" w:cs="宋体"/>
                <w:kern w:val="2"/>
                <w:sz w:val="21"/>
                <w:szCs w:val="21"/>
                <w:lang w:val="en-US" w:eastAsia="zh-CN" w:bidi="ar-SA"/>
              </w:rPr>
            </w:pPr>
            <w:r>
              <w:rPr>
                <w:rFonts w:hint="eastAsia" w:ascii="宋体" w:hAnsi="宋体" w:eastAsia="宋体" w:cs="宋体"/>
                <w:b w:val="0"/>
                <w:bCs w:val="0"/>
                <w:i w:val="0"/>
                <w:iCs w:val="0"/>
                <w:color w:val="000000"/>
                <w:kern w:val="2"/>
                <w:sz w:val="21"/>
                <w:szCs w:val="21"/>
                <w:u w:val="none"/>
                <w:lang w:val="en-US" w:eastAsia="zh-CN" w:bidi="ar-SA"/>
              </w:rPr>
              <w:t>洗眼器</w:t>
            </w:r>
          </w:p>
        </w:tc>
        <w:tc>
          <w:tcPr>
            <w:tcW w:w="394" w:type="pct"/>
            <w:noWrap w:val="0"/>
            <w:vAlign w:val="center"/>
          </w:tcPr>
          <w:p w14:paraId="52464146">
            <w:pPr>
              <w:bidi w:val="0"/>
              <w:jc w:val="center"/>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套</w:t>
            </w:r>
          </w:p>
        </w:tc>
        <w:tc>
          <w:tcPr>
            <w:tcW w:w="430" w:type="pct"/>
            <w:noWrap w:val="0"/>
            <w:vAlign w:val="center"/>
          </w:tcPr>
          <w:p w14:paraId="0B21F904">
            <w:pPr>
              <w:bidi w:val="0"/>
              <w:jc w:val="center"/>
              <w:rPr>
                <w:rFonts w:hint="default" w:ascii="宋体" w:hAnsi="宋体" w:cs="宋体"/>
                <w:kern w:val="2"/>
                <w:sz w:val="21"/>
                <w:szCs w:val="21"/>
                <w:lang w:val="en-US" w:eastAsia="zh-CN" w:bidi="ar-SA"/>
              </w:rPr>
            </w:pPr>
            <w:r>
              <w:rPr>
                <w:rFonts w:hint="eastAsia" w:ascii="宋体" w:hAnsi="宋体" w:cs="宋体"/>
                <w:kern w:val="2"/>
                <w:sz w:val="21"/>
                <w:szCs w:val="21"/>
                <w:lang w:val="en-US" w:eastAsia="zh-CN" w:bidi="ar-SA"/>
              </w:rPr>
              <w:t>1</w:t>
            </w:r>
          </w:p>
        </w:tc>
        <w:tc>
          <w:tcPr>
            <w:tcW w:w="607" w:type="pct"/>
            <w:vMerge w:val="continue"/>
            <w:noWrap w:val="0"/>
            <w:vAlign w:val="center"/>
          </w:tcPr>
          <w:p w14:paraId="5A25A2B6">
            <w:pPr>
              <w:overflowPunct w:val="0"/>
              <w:jc w:val="center"/>
              <w:rPr>
                <w:rFonts w:hint="eastAsia" w:ascii="宋体" w:hAnsi="宋体" w:eastAsia="宋体" w:cs="宋体"/>
                <w:bCs/>
                <w:sz w:val="21"/>
                <w:szCs w:val="21"/>
              </w:rPr>
            </w:pPr>
          </w:p>
        </w:tc>
        <w:tc>
          <w:tcPr>
            <w:tcW w:w="607" w:type="pct"/>
            <w:vMerge w:val="continue"/>
            <w:noWrap w:val="0"/>
            <w:vAlign w:val="center"/>
          </w:tcPr>
          <w:p w14:paraId="66EC27D6">
            <w:pPr>
              <w:overflowPunct w:val="0"/>
              <w:jc w:val="center"/>
              <w:rPr>
                <w:rFonts w:hint="eastAsia" w:ascii="宋体" w:hAnsi="宋体" w:eastAsia="宋体" w:cs="宋体"/>
                <w:bCs/>
                <w:sz w:val="21"/>
                <w:szCs w:val="21"/>
              </w:rPr>
            </w:pPr>
          </w:p>
        </w:tc>
      </w:tr>
      <w:tr w14:paraId="7857E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94" w:type="pct"/>
            <w:vMerge w:val="continue"/>
            <w:noWrap w:val="0"/>
            <w:vAlign w:val="center"/>
          </w:tcPr>
          <w:p w14:paraId="6602E772">
            <w:pPr>
              <w:overflowPunct w:val="0"/>
              <w:jc w:val="center"/>
              <w:rPr>
                <w:rFonts w:hint="eastAsia" w:ascii="宋体" w:hAnsi="宋体" w:eastAsia="宋体" w:cs="宋体"/>
                <w:bCs/>
                <w:sz w:val="21"/>
                <w:szCs w:val="21"/>
              </w:rPr>
            </w:pPr>
          </w:p>
        </w:tc>
        <w:tc>
          <w:tcPr>
            <w:tcW w:w="384" w:type="pct"/>
            <w:vMerge w:val="continue"/>
            <w:noWrap w:val="0"/>
            <w:vAlign w:val="center"/>
          </w:tcPr>
          <w:p w14:paraId="4BA71EC3">
            <w:pPr>
              <w:overflowPunct w:val="0"/>
              <w:jc w:val="center"/>
              <w:rPr>
                <w:rFonts w:hint="eastAsia" w:ascii="宋体" w:hAnsi="宋体" w:eastAsia="宋体" w:cs="宋体"/>
                <w:bCs/>
                <w:sz w:val="21"/>
                <w:szCs w:val="21"/>
              </w:rPr>
            </w:pPr>
          </w:p>
        </w:tc>
        <w:tc>
          <w:tcPr>
            <w:tcW w:w="1141" w:type="pct"/>
            <w:noWrap w:val="0"/>
            <w:vAlign w:val="center"/>
          </w:tcPr>
          <w:p w14:paraId="1734E000">
            <w:pPr>
              <w:bidi w:val="0"/>
              <w:jc w:val="center"/>
              <w:rPr>
                <w:rFonts w:hint="eastAsia" w:ascii="宋体" w:hAnsi="宋体" w:cs="宋体"/>
                <w:sz w:val="21"/>
                <w:szCs w:val="21"/>
                <w:lang w:val="en-US" w:eastAsia="zh-CN"/>
              </w:rPr>
            </w:pPr>
            <w:r>
              <w:rPr>
                <w:rFonts w:hint="eastAsia"/>
                <w:vertAlign w:val="baseline"/>
                <w:lang w:val="en-US" w:eastAsia="zh-CN"/>
              </w:rPr>
              <w:t>信号传输</w:t>
            </w:r>
          </w:p>
        </w:tc>
        <w:tc>
          <w:tcPr>
            <w:tcW w:w="1140" w:type="pct"/>
            <w:noWrap w:val="0"/>
            <w:vAlign w:val="center"/>
          </w:tcPr>
          <w:p w14:paraId="41F68B06">
            <w:pPr>
              <w:bidi w:val="0"/>
              <w:jc w:val="center"/>
              <w:rPr>
                <w:rFonts w:hint="eastAsia" w:ascii="宋体" w:hAnsi="宋体" w:cs="宋体"/>
                <w:kern w:val="2"/>
                <w:sz w:val="21"/>
                <w:szCs w:val="21"/>
                <w:lang w:val="en-US" w:eastAsia="zh-CN" w:bidi="ar-SA"/>
              </w:rPr>
            </w:pPr>
            <w:r>
              <w:rPr>
                <w:rFonts w:hint="eastAsia"/>
                <w:vertAlign w:val="baseline"/>
                <w:lang w:val="en-US" w:eastAsia="zh-CN"/>
              </w:rPr>
              <w:t>信号传输</w:t>
            </w:r>
          </w:p>
        </w:tc>
        <w:tc>
          <w:tcPr>
            <w:tcW w:w="394" w:type="pct"/>
            <w:noWrap w:val="0"/>
            <w:vAlign w:val="center"/>
          </w:tcPr>
          <w:p w14:paraId="1539CB35">
            <w:pPr>
              <w:bidi w:val="0"/>
              <w:jc w:val="center"/>
              <w:rPr>
                <w:rFonts w:hint="eastAsia" w:ascii="宋体" w:hAnsi="宋体" w:cs="宋体"/>
                <w:sz w:val="21"/>
                <w:szCs w:val="21"/>
                <w:lang w:val="en-US" w:eastAsia="zh-CN"/>
              </w:rPr>
            </w:pPr>
            <w:r>
              <w:rPr>
                <w:rFonts w:hint="eastAsia" w:ascii="宋体" w:hAnsi="宋体" w:cs="宋体"/>
                <w:kern w:val="2"/>
                <w:sz w:val="21"/>
                <w:szCs w:val="21"/>
                <w:lang w:val="en-US" w:eastAsia="zh-CN" w:bidi="ar-SA"/>
              </w:rPr>
              <w:t>套</w:t>
            </w:r>
          </w:p>
        </w:tc>
        <w:tc>
          <w:tcPr>
            <w:tcW w:w="430" w:type="pct"/>
            <w:noWrap w:val="0"/>
            <w:vAlign w:val="center"/>
          </w:tcPr>
          <w:p w14:paraId="2A20654F">
            <w:pPr>
              <w:bidi w:val="0"/>
              <w:jc w:val="center"/>
              <w:rPr>
                <w:rFonts w:hint="default" w:ascii="宋体" w:hAnsi="宋体" w:cs="宋体"/>
                <w:sz w:val="21"/>
                <w:szCs w:val="21"/>
                <w:lang w:val="en-US" w:eastAsia="zh-CN"/>
              </w:rPr>
            </w:pPr>
            <w:r>
              <w:rPr>
                <w:rFonts w:hint="eastAsia" w:ascii="宋体" w:hAnsi="宋体" w:cs="宋体"/>
                <w:sz w:val="21"/>
                <w:szCs w:val="21"/>
                <w:lang w:val="en-US" w:eastAsia="zh-CN"/>
              </w:rPr>
              <w:t>1</w:t>
            </w:r>
          </w:p>
        </w:tc>
        <w:tc>
          <w:tcPr>
            <w:tcW w:w="607" w:type="pct"/>
            <w:vMerge w:val="continue"/>
            <w:noWrap w:val="0"/>
            <w:vAlign w:val="center"/>
          </w:tcPr>
          <w:p w14:paraId="5CC327FD">
            <w:pPr>
              <w:overflowPunct w:val="0"/>
              <w:jc w:val="center"/>
              <w:rPr>
                <w:rFonts w:hint="eastAsia" w:ascii="宋体" w:hAnsi="宋体" w:eastAsia="宋体" w:cs="宋体"/>
                <w:bCs/>
                <w:sz w:val="21"/>
                <w:szCs w:val="21"/>
              </w:rPr>
            </w:pPr>
          </w:p>
        </w:tc>
        <w:tc>
          <w:tcPr>
            <w:tcW w:w="607" w:type="pct"/>
            <w:vMerge w:val="continue"/>
            <w:noWrap w:val="0"/>
            <w:vAlign w:val="center"/>
          </w:tcPr>
          <w:p w14:paraId="6100C1AA">
            <w:pPr>
              <w:overflowPunct w:val="0"/>
              <w:jc w:val="center"/>
              <w:rPr>
                <w:rFonts w:hint="eastAsia" w:ascii="宋体" w:hAnsi="宋体" w:eastAsia="宋体" w:cs="宋体"/>
                <w:bCs/>
                <w:sz w:val="21"/>
                <w:szCs w:val="21"/>
              </w:rPr>
            </w:pPr>
          </w:p>
        </w:tc>
      </w:tr>
      <w:tr w14:paraId="06A25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94" w:type="pct"/>
            <w:vMerge w:val="continue"/>
            <w:noWrap w:val="0"/>
            <w:vAlign w:val="center"/>
          </w:tcPr>
          <w:p w14:paraId="293C87A3">
            <w:pPr>
              <w:overflowPunct w:val="0"/>
              <w:jc w:val="center"/>
              <w:rPr>
                <w:rFonts w:hint="eastAsia" w:ascii="宋体" w:hAnsi="宋体" w:eastAsia="宋体" w:cs="宋体"/>
                <w:bCs/>
                <w:sz w:val="21"/>
                <w:szCs w:val="21"/>
              </w:rPr>
            </w:pPr>
          </w:p>
        </w:tc>
        <w:tc>
          <w:tcPr>
            <w:tcW w:w="384" w:type="pct"/>
            <w:vMerge w:val="continue"/>
            <w:noWrap w:val="0"/>
            <w:vAlign w:val="center"/>
          </w:tcPr>
          <w:p w14:paraId="3309AF7D">
            <w:pPr>
              <w:overflowPunct w:val="0"/>
              <w:jc w:val="center"/>
              <w:rPr>
                <w:rFonts w:hint="eastAsia" w:ascii="宋体" w:hAnsi="宋体" w:eastAsia="宋体" w:cs="宋体"/>
                <w:bCs/>
                <w:sz w:val="21"/>
                <w:szCs w:val="21"/>
              </w:rPr>
            </w:pPr>
          </w:p>
        </w:tc>
        <w:tc>
          <w:tcPr>
            <w:tcW w:w="1141" w:type="pct"/>
            <w:noWrap w:val="0"/>
            <w:vAlign w:val="center"/>
          </w:tcPr>
          <w:p w14:paraId="69574DE7">
            <w:pPr>
              <w:bidi w:val="0"/>
              <w:jc w:val="center"/>
              <w:rPr>
                <w:rFonts w:hint="eastAsia" w:ascii="宋体" w:hAnsi="宋体" w:cs="宋体"/>
                <w:sz w:val="21"/>
                <w:szCs w:val="21"/>
                <w:lang w:val="en-US" w:eastAsia="zh-CN"/>
              </w:rPr>
            </w:pPr>
            <w:r>
              <w:rPr>
                <w:rFonts w:hint="eastAsia"/>
                <w:vertAlign w:val="baseline"/>
                <w:lang w:val="en-US" w:eastAsia="zh-CN"/>
              </w:rPr>
              <w:t>其他工程</w:t>
            </w:r>
          </w:p>
        </w:tc>
        <w:tc>
          <w:tcPr>
            <w:tcW w:w="1140" w:type="pct"/>
            <w:noWrap w:val="0"/>
            <w:vAlign w:val="center"/>
          </w:tcPr>
          <w:p w14:paraId="194AD2FF">
            <w:pPr>
              <w:bidi w:val="0"/>
              <w:jc w:val="center"/>
              <w:rPr>
                <w:rFonts w:hint="eastAsia" w:ascii="宋体" w:hAnsi="宋体" w:cs="宋体"/>
                <w:kern w:val="2"/>
                <w:sz w:val="21"/>
                <w:szCs w:val="21"/>
                <w:lang w:val="en-US" w:eastAsia="zh-CN" w:bidi="ar-SA"/>
              </w:rPr>
            </w:pPr>
            <w:r>
              <w:rPr>
                <w:rFonts w:hint="eastAsia"/>
                <w:vertAlign w:val="baseline"/>
                <w:lang w:val="en-US" w:eastAsia="zh-CN"/>
              </w:rPr>
              <w:t>其他</w:t>
            </w:r>
          </w:p>
        </w:tc>
        <w:tc>
          <w:tcPr>
            <w:tcW w:w="394" w:type="pct"/>
            <w:noWrap w:val="0"/>
            <w:vAlign w:val="center"/>
          </w:tcPr>
          <w:p w14:paraId="6B4B97DC">
            <w:pPr>
              <w:bidi w:val="0"/>
              <w:jc w:val="center"/>
              <w:rPr>
                <w:rFonts w:hint="eastAsia" w:ascii="宋体" w:hAnsi="宋体" w:cs="宋体"/>
                <w:sz w:val="21"/>
                <w:szCs w:val="21"/>
                <w:lang w:val="en-US" w:eastAsia="zh-CN"/>
              </w:rPr>
            </w:pPr>
            <w:r>
              <w:rPr>
                <w:rFonts w:hint="eastAsia" w:ascii="宋体" w:hAnsi="宋体" w:cs="宋体"/>
                <w:kern w:val="2"/>
                <w:sz w:val="21"/>
                <w:szCs w:val="21"/>
                <w:lang w:val="en-US" w:eastAsia="zh-CN" w:bidi="ar-SA"/>
              </w:rPr>
              <w:t>套</w:t>
            </w:r>
          </w:p>
        </w:tc>
        <w:tc>
          <w:tcPr>
            <w:tcW w:w="430" w:type="pct"/>
            <w:noWrap w:val="0"/>
            <w:vAlign w:val="center"/>
          </w:tcPr>
          <w:p w14:paraId="77158A8A">
            <w:pPr>
              <w:bidi w:val="0"/>
              <w:jc w:val="center"/>
              <w:rPr>
                <w:rFonts w:hint="default" w:ascii="宋体" w:hAnsi="宋体" w:cs="宋体"/>
                <w:sz w:val="21"/>
                <w:szCs w:val="21"/>
                <w:lang w:val="en-US" w:eastAsia="zh-CN"/>
              </w:rPr>
            </w:pPr>
            <w:r>
              <w:rPr>
                <w:rFonts w:hint="eastAsia" w:ascii="宋体" w:hAnsi="宋体" w:cs="宋体"/>
                <w:sz w:val="21"/>
                <w:szCs w:val="21"/>
                <w:lang w:val="en-US" w:eastAsia="zh-CN"/>
              </w:rPr>
              <w:t>1</w:t>
            </w:r>
          </w:p>
        </w:tc>
        <w:tc>
          <w:tcPr>
            <w:tcW w:w="607" w:type="pct"/>
            <w:vMerge w:val="continue"/>
            <w:noWrap w:val="0"/>
            <w:vAlign w:val="center"/>
          </w:tcPr>
          <w:p w14:paraId="7A9715BC">
            <w:pPr>
              <w:overflowPunct w:val="0"/>
              <w:jc w:val="center"/>
              <w:rPr>
                <w:rFonts w:hint="eastAsia" w:ascii="宋体" w:hAnsi="宋体" w:eastAsia="宋体" w:cs="宋体"/>
                <w:bCs/>
                <w:sz w:val="21"/>
                <w:szCs w:val="21"/>
              </w:rPr>
            </w:pPr>
          </w:p>
        </w:tc>
        <w:tc>
          <w:tcPr>
            <w:tcW w:w="607" w:type="pct"/>
            <w:vMerge w:val="continue"/>
            <w:noWrap w:val="0"/>
            <w:vAlign w:val="center"/>
          </w:tcPr>
          <w:p w14:paraId="5B4321BC">
            <w:pPr>
              <w:overflowPunct w:val="0"/>
              <w:jc w:val="center"/>
              <w:rPr>
                <w:rFonts w:hint="eastAsia" w:ascii="宋体" w:hAnsi="宋体" w:eastAsia="宋体" w:cs="宋体"/>
                <w:bCs/>
                <w:sz w:val="21"/>
                <w:szCs w:val="21"/>
              </w:rPr>
            </w:pPr>
          </w:p>
        </w:tc>
      </w:tr>
    </w:tbl>
    <w:p w14:paraId="6A1B0494">
      <w:pPr>
        <w:spacing w:line="480" w:lineRule="exact"/>
        <w:rPr>
          <w:rFonts w:hint="eastAsia"/>
          <w:sz w:val="21"/>
          <w:szCs w:val="21"/>
        </w:rPr>
        <w:sectPr>
          <w:footerReference r:id="rId6" w:type="default"/>
          <w:pgSz w:w="11906" w:h="16838"/>
          <w:pgMar w:top="1701" w:right="1418" w:bottom="1134" w:left="1701" w:header="1021" w:footer="680" w:gutter="0"/>
          <w:pgNumType w:start="1"/>
          <w:cols w:space="720" w:num="1"/>
          <w:docGrid w:type="lines" w:linePitch="312" w:charSpace="0"/>
        </w:sectPr>
      </w:pPr>
      <w:bookmarkStart w:id="20" w:name="_Toc137705868"/>
    </w:p>
    <w:bookmarkEnd w:id="20"/>
    <w:p w14:paraId="508F8C4C">
      <w:pPr>
        <w:pStyle w:val="4"/>
        <w:spacing w:before="120" w:after="120" w:line="480" w:lineRule="exact"/>
        <w:jc w:val="center"/>
        <w:rPr>
          <w:rFonts w:hint="default" w:eastAsiaTheme="majorEastAsia"/>
          <w:b/>
          <w:bCs w:val="0"/>
          <w:sz w:val="24"/>
          <w:szCs w:val="24"/>
          <w:lang w:val="en-US" w:eastAsia="zh-CN"/>
        </w:rPr>
      </w:pPr>
      <w:r>
        <w:rPr>
          <w:rFonts w:hint="eastAsia"/>
          <w:b/>
          <w:bCs w:val="0"/>
          <w:sz w:val="24"/>
          <w:szCs w:val="24"/>
        </w:rPr>
        <w:t>第</w:t>
      </w:r>
      <w:r>
        <w:rPr>
          <w:rFonts w:hint="eastAsia"/>
          <w:b/>
          <w:bCs w:val="0"/>
          <w:sz w:val="24"/>
          <w:szCs w:val="24"/>
          <w:lang w:val="en-US" w:eastAsia="zh-CN"/>
        </w:rPr>
        <w:t>二章</w:t>
      </w:r>
      <w:r>
        <w:rPr>
          <w:rFonts w:hint="eastAsia"/>
          <w:b/>
          <w:bCs w:val="0"/>
          <w:sz w:val="24"/>
          <w:szCs w:val="24"/>
        </w:rPr>
        <w:t xml:space="preserve">  </w:t>
      </w:r>
      <w:r>
        <w:rPr>
          <w:rFonts w:hint="eastAsia"/>
          <w:b/>
          <w:bCs w:val="0"/>
          <w:sz w:val="24"/>
          <w:szCs w:val="24"/>
          <w:lang w:val="en-US" w:eastAsia="zh-CN"/>
        </w:rPr>
        <w:t>技术要求</w:t>
      </w:r>
    </w:p>
    <w:p w14:paraId="4E0730B8">
      <w:pPr>
        <w:spacing w:line="480" w:lineRule="exact"/>
        <w:rPr>
          <w:rFonts w:hint="eastAsia" w:ascii="黑体" w:hAnsi="宋体" w:eastAsia="黑体"/>
        </w:rPr>
      </w:pPr>
      <w:r>
        <w:rPr>
          <w:rFonts w:hint="eastAsia" w:ascii="黑体" w:hAnsi="宋体" w:eastAsia="黑体"/>
        </w:rPr>
        <w:t>一、基本要求</w:t>
      </w:r>
    </w:p>
    <w:p w14:paraId="76233A2E">
      <w:pPr>
        <w:spacing w:line="480" w:lineRule="exact"/>
        <w:ind w:firstLine="420" w:firstLineChars="200"/>
        <w:rPr>
          <w:rFonts w:hint="eastAsia" w:ascii="宋体" w:hAnsi="宋体"/>
        </w:rPr>
      </w:pPr>
      <w:r>
        <w:rPr>
          <w:rFonts w:hint="eastAsia" w:ascii="宋体" w:hAnsi="宋体"/>
          <w:lang w:val="en-US" w:eastAsia="zh-CN"/>
        </w:rPr>
        <w:t>1.</w:t>
      </w:r>
      <w:r>
        <w:rPr>
          <w:rFonts w:hint="eastAsia" w:ascii="宋体" w:hAnsi="宋体"/>
        </w:rPr>
        <w:t>投标方所提供的服务，必须符合中国最新版的法律、法规和相关标准、规范的要求，符合项目所在地政府有关特殊要求。</w:t>
      </w:r>
    </w:p>
    <w:p w14:paraId="2FA470B3">
      <w:pPr>
        <w:spacing w:line="480" w:lineRule="exact"/>
        <w:ind w:firstLine="420" w:firstLineChars="200"/>
        <w:rPr>
          <w:rFonts w:hint="eastAsia" w:ascii="宋体" w:hAnsi="宋体"/>
        </w:rPr>
      </w:pPr>
      <w:r>
        <w:rPr>
          <w:rFonts w:hint="eastAsia" w:ascii="宋体" w:hAnsi="宋体"/>
          <w:lang w:val="en-US" w:eastAsia="zh-CN"/>
        </w:rPr>
        <w:t>2.</w:t>
      </w:r>
      <w:r>
        <w:rPr>
          <w:rFonts w:hint="eastAsia" w:ascii="宋体" w:hAnsi="宋体"/>
        </w:rPr>
        <w:t>投标方在进行服务中所涉及的、招标方有权使用的专利权技术以及知识产权保护的其它技术等，应保证招标方不因此受到任何侵权指控以及实际损失。</w:t>
      </w:r>
    </w:p>
    <w:p w14:paraId="03FC954C">
      <w:pPr>
        <w:spacing w:line="480" w:lineRule="exact"/>
        <w:ind w:firstLine="420" w:firstLineChars="200"/>
        <w:rPr>
          <w:rFonts w:hint="eastAsia" w:ascii="宋体" w:hAnsi="宋体"/>
        </w:rPr>
      </w:pPr>
      <w:r>
        <w:rPr>
          <w:rFonts w:hint="eastAsia" w:ascii="宋体" w:hAnsi="宋体"/>
          <w:lang w:val="en-US" w:eastAsia="zh-CN"/>
        </w:rPr>
        <w:t>3.</w:t>
      </w:r>
      <w:r>
        <w:rPr>
          <w:rFonts w:hint="eastAsia" w:ascii="宋体" w:hAnsi="宋体"/>
        </w:rPr>
        <w:t>投投标方应保证所供货物的</w:t>
      </w:r>
      <w:r>
        <w:rPr>
          <w:rFonts w:hint="eastAsia" w:ascii="宋体" w:hAnsi="宋体"/>
          <w:lang w:val="en-US" w:eastAsia="zh-CN"/>
        </w:rPr>
        <w:t>安全</w:t>
      </w:r>
      <w:r>
        <w:rPr>
          <w:rFonts w:hint="eastAsia" w:ascii="宋体" w:hAnsi="宋体"/>
        </w:rPr>
        <w:t>性、可靠性、经济性和实用性</w:t>
      </w:r>
      <w:r>
        <w:rPr>
          <w:rFonts w:hint="eastAsia" w:ascii="宋体" w:hAnsi="宋体"/>
          <w:lang w:eastAsia="zh-CN"/>
        </w:rPr>
        <w:t>，</w:t>
      </w:r>
      <w:r>
        <w:rPr>
          <w:rFonts w:hint="eastAsia" w:ascii="宋体" w:hAnsi="宋体"/>
        </w:rPr>
        <w:t>并为全新货物。</w:t>
      </w:r>
    </w:p>
    <w:p w14:paraId="00EC4D82">
      <w:pPr>
        <w:spacing w:line="480" w:lineRule="exact"/>
        <w:ind w:firstLine="420" w:firstLineChars="200"/>
        <w:rPr>
          <w:rFonts w:hint="eastAsia" w:ascii="宋体" w:hAnsi="宋体"/>
        </w:rPr>
      </w:pPr>
      <w:r>
        <w:rPr>
          <w:rFonts w:hint="eastAsia" w:ascii="宋体" w:hAnsi="宋体"/>
          <w:lang w:val="en-US" w:eastAsia="zh-CN"/>
        </w:rPr>
        <w:t>4.</w:t>
      </w:r>
      <w:r>
        <w:rPr>
          <w:rFonts w:hint="eastAsia" w:ascii="宋体" w:hAnsi="宋体"/>
        </w:rPr>
        <w:t>投标方应满足招标方提出的各项技术要求，必要时应当免费提供技术承诺或担保。</w:t>
      </w:r>
    </w:p>
    <w:p w14:paraId="26E13B8D">
      <w:pPr>
        <w:spacing w:line="480" w:lineRule="exact"/>
        <w:ind w:firstLine="420" w:firstLineChars="200"/>
        <w:rPr>
          <w:rFonts w:hint="eastAsia" w:ascii="宋体" w:hAnsi="宋体"/>
        </w:rPr>
      </w:pPr>
      <w:r>
        <w:rPr>
          <w:rFonts w:hint="eastAsia" w:ascii="宋体" w:hAnsi="宋体"/>
          <w:lang w:val="en-US" w:eastAsia="zh-CN"/>
        </w:rPr>
        <w:t>5.</w:t>
      </w:r>
      <w:r>
        <w:rPr>
          <w:rFonts w:hint="eastAsia" w:ascii="宋体" w:hAnsi="宋体"/>
        </w:rPr>
        <w:t>投标方应保证所供货物为中国公布的非淘汰货物，并为中国指定或规定的主管部门认可的环保型和节能型货物，招标的中标货物不接受试验品（提供证据）。</w:t>
      </w:r>
    </w:p>
    <w:p w14:paraId="71AC8EAC">
      <w:pPr>
        <w:spacing w:line="480" w:lineRule="exact"/>
        <w:ind w:firstLine="420" w:firstLineChars="200"/>
        <w:rPr>
          <w:rFonts w:hint="eastAsia" w:ascii="宋体" w:hAnsi="宋体"/>
          <w:lang w:val="en-US" w:eastAsia="zh-CN"/>
        </w:rPr>
      </w:pPr>
      <w:r>
        <w:rPr>
          <w:rFonts w:hint="eastAsia" w:ascii="宋体" w:hAnsi="宋体"/>
          <w:lang w:val="en-US" w:eastAsia="zh-CN"/>
        </w:rPr>
        <w:t>6.</w:t>
      </w:r>
      <w:r>
        <w:rPr>
          <w:rFonts w:hint="eastAsia" w:ascii="宋体" w:hAnsi="宋体"/>
        </w:rPr>
        <w:t>投标方应保证所供货物的完整性和成套性，能保证货物的正常运行、使用。</w:t>
      </w:r>
    </w:p>
    <w:p w14:paraId="04FF9FCD">
      <w:pPr>
        <w:spacing w:line="480" w:lineRule="exact"/>
        <w:ind w:firstLine="420" w:firstLineChars="200"/>
        <w:rPr>
          <w:rFonts w:hint="eastAsia" w:ascii="宋体" w:hAnsi="宋体"/>
        </w:rPr>
      </w:pPr>
      <w:r>
        <w:rPr>
          <w:rFonts w:hint="eastAsia" w:ascii="宋体" w:hAnsi="宋体"/>
          <w:lang w:val="en-US" w:eastAsia="zh-CN"/>
        </w:rPr>
        <w:t>7.</w:t>
      </w:r>
      <w:r>
        <w:rPr>
          <w:rFonts w:hint="eastAsia" w:ascii="宋体" w:hAnsi="宋体"/>
        </w:rPr>
        <w:t>投标方在服务过程中，要进行设备</w:t>
      </w:r>
      <w:r>
        <w:rPr>
          <w:rFonts w:hint="eastAsia" w:ascii="宋体" w:hAnsi="宋体"/>
          <w:lang w:val="en-US" w:eastAsia="zh-CN"/>
        </w:rPr>
        <w:t>设施</w:t>
      </w:r>
      <w:r>
        <w:rPr>
          <w:rFonts w:hint="eastAsia" w:ascii="宋体" w:hAnsi="宋体"/>
        </w:rPr>
        <w:t>运行状态分析，确保安全经济运行，必需做到服务的完整性和成套性，能保证</w:t>
      </w:r>
      <w:r>
        <w:rPr>
          <w:rFonts w:hint="eastAsia" w:ascii="宋体" w:hAnsi="宋体"/>
          <w:lang w:val="en-US" w:eastAsia="zh-CN"/>
        </w:rPr>
        <w:t>设备</w:t>
      </w:r>
      <w:r>
        <w:rPr>
          <w:rFonts w:hint="eastAsia" w:ascii="宋体" w:hAnsi="宋体"/>
        </w:rPr>
        <w:t>的正常运行、使用。</w:t>
      </w:r>
    </w:p>
    <w:p w14:paraId="6BB71B06">
      <w:pPr>
        <w:spacing w:line="480" w:lineRule="exact"/>
        <w:ind w:firstLine="420" w:firstLineChars="200"/>
        <w:rPr>
          <w:rFonts w:hint="eastAsia" w:ascii="宋体" w:hAnsi="宋体"/>
        </w:rPr>
      </w:pPr>
      <w:r>
        <w:rPr>
          <w:rFonts w:hint="eastAsia" w:ascii="宋体" w:hAnsi="宋体"/>
          <w:lang w:val="en-US" w:eastAsia="zh-CN"/>
        </w:rPr>
        <w:t>8.</w:t>
      </w:r>
      <w:r>
        <w:rPr>
          <w:rFonts w:hint="eastAsia" w:ascii="宋体" w:hAnsi="宋体"/>
        </w:rPr>
        <w:t>投标方应对服务对象所涉及的技术、产能等信息负有保密义务，项目应当无条件签署保密协议。</w:t>
      </w:r>
    </w:p>
    <w:p w14:paraId="6F86EE21">
      <w:pPr>
        <w:spacing w:line="480" w:lineRule="exact"/>
        <w:ind w:firstLine="420" w:firstLineChars="200"/>
        <w:rPr>
          <w:rFonts w:hint="eastAsia" w:ascii="宋体" w:hAnsi="宋体"/>
        </w:rPr>
      </w:pPr>
      <w:r>
        <w:rPr>
          <w:rFonts w:hint="eastAsia" w:ascii="宋体" w:hAnsi="宋体"/>
          <w:lang w:val="en-US" w:eastAsia="zh-CN"/>
        </w:rPr>
        <w:t>9.</w:t>
      </w:r>
      <w:r>
        <w:rPr>
          <w:rFonts w:hint="eastAsia" w:ascii="宋体" w:hAnsi="宋体"/>
        </w:rPr>
        <w:t>投标方在进行</w:t>
      </w:r>
      <w:r>
        <w:rPr>
          <w:rFonts w:hint="eastAsia" w:ascii="宋体" w:hAnsi="宋体"/>
          <w:lang w:val="en-US" w:eastAsia="zh-CN"/>
        </w:rPr>
        <w:t>施工</w:t>
      </w:r>
      <w:r>
        <w:rPr>
          <w:rFonts w:hint="eastAsia" w:ascii="宋体" w:hAnsi="宋体"/>
        </w:rPr>
        <w:t>过程中应自带有关的车辆</w:t>
      </w:r>
      <w:r>
        <w:rPr>
          <w:rFonts w:hint="eastAsia" w:ascii="宋体" w:hAnsi="宋体"/>
          <w:lang w:eastAsia="zh-CN"/>
        </w:rPr>
        <w:t>、</w:t>
      </w:r>
      <w:r>
        <w:rPr>
          <w:rFonts w:hint="eastAsia" w:ascii="宋体" w:hAnsi="宋体"/>
          <w:lang w:val="en-US" w:eastAsia="zh-CN"/>
        </w:rPr>
        <w:t>设备、</w:t>
      </w:r>
      <w:r>
        <w:rPr>
          <w:rFonts w:hint="eastAsia" w:ascii="宋体" w:hAnsi="宋体"/>
        </w:rPr>
        <w:t>工具、仪器仪表等专业</w:t>
      </w:r>
      <w:r>
        <w:rPr>
          <w:rFonts w:hint="eastAsia" w:ascii="宋体" w:hAnsi="宋体"/>
          <w:lang w:val="en-US" w:eastAsia="zh-CN"/>
        </w:rPr>
        <w:t>设施</w:t>
      </w:r>
      <w:r>
        <w:rPr>
          <w:rFonts w:hint="eastAsia" w:ascii="宋体" w:hAnsi="宋体"/>
        </w:rPr>
        <w:t>。</w:t>
      </w:r>
    </w:p>
    <w:p w14:paraId="76D991CF">
      <w:pPr>
        <w:spacing w:line="480" w:lineRule="exact"/>
        <w:ind w:firstLine="420" w:firstLineChars="200"/>
        <w:rPr>
          <w:rFonts w:hint="eastAsia" w:ascii="宋体" w:hAnsi="宋体"/>
        </w:rPr>
      </w:pPr>
      <w:r>
        <w:rPr>
          <w:rFonts w:hint="eastAsia" w:ascii="宋体" w:hAnsi="宋体"/>
          <w:lang w:val="en-US" w:eastAsia="zh-CN"/>
        </w:rPr>
        <w:t>10.</w:t>
      </w:r>
      <w:r>
        <w:rPr>
          <w:rFonts w:hint="eastAsia" w:ascii="宋体" w:hAnsi="宋体"/>
        </w:rPr>
        <w:t>因投标方管理不善、操作不当、维护不力等投标方责任造成供电、机械设备、设施故障、事故的，除保证及时修复外，发生的相关费用（含上级管理部门考核）、损失（人员、设备、经济）由投标方</w:t>
      </w:r>
      <w:r>
        <w:rPr>
          <w:rFonts w:hint="eastAsia" w:ascii="宋体" w:hAnsi="宋体"/>
          <w:lang w:val="en-US" w:eastAsia="zh-CN"/>
        </w:rPr>
        <w:t>按照责任划分进行</w:t>
      </w:r>
      <w:r>
        <w:rPr>
          <w:rFonts w:hint="eastAsia" w:ascii="宋体" w:hAnsi="宋体"/>
        </w:rPr>
        <w:t>负责。</w:t>
      </w:r>
    </w:p>
    <w:p w14:paraId="005569E9">
      <w:pPr>
        <w:spacing w:line="480" w:lineRule="exact"/>
        <w:ind w:firstLine="420" w:firstLineChars="200"/>
        <w:rPr>
          <w:rFonts w:hint="eastAsia" w:ascii="宋体" w:hAnsi="宋体"/>
        </w:rPr>
      </w:pPr>
      <w:r>
        <w:rPr>
          <w:rFonts w:hint="eastAsia" w:ascii="宋体" w:hAnsi="宋体"/>
          <w:lang w:val="en-US" w:eastAsia="zh-CN"/>
        </w:rPr>
        <w:t>11.</w:t>
      </w:r>
      <w:r>
        <w:rPr>
          <w:rFonts w:hint="eastAsia" w:ascii="宋体" w:hAnsi="宋体"/>
        </w:rPr>
        <w:t>因招标方责任以及其它不可抗拒因素引起的问题，投标方除保证及时修复外（发生费用双方协商解决），有义务协助招标方与上级管理部门协调解决。</w:t>
      </w:r>
    </w:p>
    <w:p w14:paraId="7D906067">
      <w:pPr>
        <w:spacing w:line="480" w:lineRule="exact"/>
        <w:ind w:firstLine="420" w:firstLineChars="200"/>
        <w:rPr>
          <w:rFonts w:hint="eastAsia" w:ascii="宋体" w:hAnsi="宋体"/>
        </w:rPr>
      </w:pPr>
      <w:r>
        <w:rPr>
          <w:rFonts w:hint="eastAsia" w:ascii="宋体" w:hAnsi="宋体"/>
          <w:lang w:val="en-US" w:eastAsia="zh-CN"/>
        </w:rPr>
        <w:t>12.</w:t>
      </w:r>
      <w:r>
        <w:rPr>
          <w:rFonts w:hint="eastAsia" w:ascii="宋体" w:hAnsi="宋体"/>
        </w:rPr>
        <w:t>投标方在招标方厂区内所有活动均应遵守招标方厂区内的一切有关安全、消防和现场管理的相关规定，由此受到的考核均由投标方负责。</w:t>
      </w:r>
    </w:p>
    <w:p w14:paraId="03A8D2C8">
      <w:pPr>
        <w:spacing w:line="480" w:lineRule="exact"/>
        <w:ind w:firstLine="420" w:firstLineChars="200"/>
        <w:rPr>
          <w:rFonts w:hint="eastAsia" w:ascii="宋体" w:hAnsi="宋体"/>
        </w:rPr>
      </w:pPr>
      <w:r>
        <w:rPr>
          <w:rFonts w:hint="eastAsia" w:ascii="宋体" w:hAnsi="宋体"/>
          <w:lang w:val="en-US" w:eastAsia="zh-CN"/>
        </w:rPr>
        <w:t>13.</w:t>
      </w:r>
      <w:r>
        <w:rPr>
          <w:rFonts w:hint="eastAsia" w:ascii="宋体" w:hAnsi="宋体"/>
        </w:rPr>
        <w:t>投标方需提供近三年内项目业绩证明。</w:t>
      </w:r>
    </w:p>
    <w:p w14:paraId="2AAD0309">
      <w:pPr>
        <w:spacing w:line="480" w:lineRule="exact"/>
        <w:rPr>
          <w:rFonts w:hint="eastAsia" w:ascii="黑体" w:hAnsi="宋体" w:eastAsia="黑体"/>
        </w:rPr>
      </w:pPr>
      <w:r>
        <w:rPr>
          <w:rFonts w:hint="eastAsia" w:ascii="黑体" w:hAnsi="宋体" w:eastAsia="黑体"/>
        </w:rPr>
        <w:t>二、执行标准</w:t>
      </w:r>
    </w:p>
    <w:p w14:paraId="6C896EB4">
      <w:pPr>
        <w:spacing w:line="480" w:lineRule="exact"/>
        <w:ind w:firstLine="420" w:firstLineChars="200"/>
        <w:rPr>
          <w:rFonts w:hint="eastAsia" w:ascii="宋体" w:hAnsi="宋体"/>
        </w:rPr>
      </w:pPr>
      <w:r>
        <w:rPr>
          <w:rFonts w:hint="eastAsia" w:ascii="宋体" w:hAnsi="宋体"/>
        </w:rPr>
        <w:t>1、招标方此处所列标准仅为涉及的主要标准，而且不保证其为最新版执行标准；投标方应当在投标文件以中认真予以填写、补充和修改完善。</w:t>
      </w:r>
    </w:p>
    <w:p w14:paraId="055D8EB0">
      <w:pPr>
        <w:spacing w:line="480" w:lineRule="exact"/>
        <w:ind w:firstLine="420" w:firstLineChars="200"/>
        <w:rPr>
          <w:rFonts w:hint="eastAsia" w:ascii="宋体" w:hAnsi="宋体"/>
        </w:rPr>
      </w:pPr>
      <w:r>
        <w:rPr>
          <w:rFonts w:hint="eastAsia" w:ascii="宋体" w:hAnsi="宋体"/>
        </w:rPr>
        <w:t>2、投标方需要执行的标准，应当</w:t>
      </w:r>
      <w:r>
        <w:rPr>
          <w:rFonts w:hint="eastAsia" w:ascii="宋体" w:hAnsi="宋体"/>
          <w:lang w:val="en-US" w:eastAsia="zh-CN"/>
        </w:rPr>
        <w:t>为</w:t>
      </w:r>
      <w:r>
        <w:rPr>
          <w:rFonts w:hint="eastAsia" w:ascii="宋体" w:hAnsi="宋体"/>
        </w:rPr>
        <w:t>所供设备通过招标方将来组织的最终验收之日开始执行的最新标准。</w:t>
      </w:r>
    </w:p>
    <w:p w14:paraId="3FE9FDAB">
      <w:pPr>
        <w:spacing w:line="480" w:lineRule="exact"/>
        <w:ind w:firstLine="420" w:firstLineChars="200"/>
        <w:rPr>
          <w:rFonts w:hint="eastAsia" w:ascii="宋体" w:hAnsi="宋体"/>
        </w:rPr>
      </w:pPr>
      <w:r>
        <w:rPr>
          <w:rFonts w:hint="eastAsia" w:ascii="宋体" w:hAnsi="宋体"/>
        </w:rPr>
        <w:t>3、采购设备的产品质量、技术标准如在招投标文件中无相应说明，则按中华人民共和国有关部门颁发的最新的国标或专业（部）标准执行及相应的国际标准。没有国家或专业（部）标准的，按企业标准执行。但当标准不统一时，原则上按照最严格标准执行。</w:t>
      </w:r>
    </w:p>
    <w:p w14:paraId="7EEC15DC">
      <w:pPr>
        <w:overflowPunct w:val="0"/>
        <w:spacing w:line="360" w:lineRule="auto"/>
        <w:ind w:firstLine="420" w:firstLineChars="200"/>
        <w:rPr>
          <w:rFonts w:hint="eastAsia" w:ascii="宋体" w:hAnsi="宋体" w:cs="宋体"/>
        </w:rPr>
      </w:pPr>
      <w:r>
        <w:rPr>
          <w:rFonts w:hint="eastAsia" w:ascii="宋体" w:hAnsi="宋体" w:cs="宋体"/>
          <w:lang w:val="en-US" w:eastAsia="zh-CN"/>
        </w:rPr>
        <w:t>4</w:t>
      </w:r>
      <w:r>
        <w:rPr>
          <w:rFonts w:hint="eastAsia" w:ascii="宋体" w:hAnsi="宋体" w:cs="宋体"/>
        </w:rPr>
        <w:t>、投标人应满足招标人提出的各项技术要求，必要时应当免费提供技术承诺或担保。</w:t>
      </w:r>
    </w:p>
    <w:p w14:paraId="29E49A84">
      <w:pPr>
        <w:overflowPunct w:val="0"/>
        <w:spacing w:line="360" w:lineRule="auto"/>
        <w:ind w:firstLine="420" w:firstLineChars="200"/>
        <w:rPr>
          <w:rFonts w:hint="eastAsia"/>
        </w:rPr>
      </w:pPr>
      <w:r>
        <w:rPr>
          <w:rFonts w:hint="eastAsia" w:ascii="宋体" w:hAnsi="宋体" w:cs="宋体"/>
          <w:lang w:val="en-US" w:eastAsia="zh-CN"/>
        </w:rPr>
        <w:t>5</w:t>
      </w:r>
      <w:r>
        <w:rPr>
          <w:rFonts w:hint="eastAsia" w:ascii="宋体" w:hAnsi="宋体" w:cs="宋体"/>
        </w:rPr>
        <w:t>、投标人应对招标人采购的货物所涉及的技术、产能等信息负有保密义务，招标人拥有追究投标人泄密责任的权利；招标人如有需要，投标人应无条件签署保密协议。</w:t>
      </w:r>
    </w:p>
    <w:p w14:paraId="2FD3B520">
      <w:pPr>
        <w:spacing w:line="360" w:lineRule="exact"/>
        <w:ind w:firstLine="420" w:firstLineChars="200"/>
        <w:rPr>
          <w:rFonts w:hint="eastAsia" w:ascii="宋体" w:hAnsi="宋体"/>
        </w:rPr>
      </w:pPr>
      <w:r>
        <w:rPr>
          <w:rFonts w:hint="eastAsia" w:ascii="宋体" w:hAnsi="宋体"/>
          <w:lang w:val="en-US" w:eastAsia="zh-CN"/>
        </w:rPr>
        <w:t>6</w:t>
      </w:r>
      <w:r>
        <w:rPr>
          <w:rFonts w:hint="eastAsia" w:ascii="宋体" w:hAnsi="宋体"/>
        </w:rPr>
        <w:t>、</w:t>
      </w:r>
      <w:r>
        <w:rPr>
          <w:rFonts w:hint="eastAsia" w:ascii="宋体" w:hAnsi="宋体"/>
          <w:lang w:val="en-US" w:eastAsia="zh-CN"/>
        </w:rPr>
        <w:t>产品需满足CE</w:t>
      </w:r>
      <w:r>
        <w:rPr>
          <w:rFonts w:hint="eastAsia" w:ascii="宋体" w:hAnsi="宋体"/>
        </w:rPr>
        <w:t>欧盟防爆、环保认证标准。</w:t>
      </w:r>
    </w:p>
    <w:p w14:paraId="1874C8EF">
      <w:pPr>
        <w:spacing w:line="360" w:lineRule="auto"/>
        <w:ind w:firstLine="420" w:firstLineChars="200"/>
        <w:rPr>
          <w:rFonts w:hint="eastAsia" w:ascii="宋体"/>
        </w:rPr>
      </w:pPr>
      <w:r>
        <w:rPr>
          <w:rFonts w:hint="eastAsia" w:ascii="宋体"/>
          <w:lang w:val="en-US" w:eastAsia="zh-CN"/>
        </w:rPr>
        <w:t>7</w:t>
      </w:r>
      <w:r>
        <w:rPr>
          <w:rFonts w:hint="eastAsia" w:ascii="宋体"/>
        </w:rPr>
        <w:t>、</w:t>
      </w:r>
      <w:r>
        <w:rPr>
          <w:rFonts w:hint="eastAsia" w:ascii="宋体" w:hAnsi="宋体" w:eastAsia="宋体" w:cs="Times New Roman"/>
        </w:rPr>
        <w:t>涉及的主要标准</w:t>
      </w:r>
      <w:r>
        <w:rPr>
          <w:rFonts w:hint="eastAsia" w:ascii="宋体"/>
        </w:rPr>
        <w:t>：</w:t>
      </w:r>
    </w:p>
    <w:tbl>
      <w:tblPr>
        <w:tblStyle w:val="3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632"/>
        <w:gridCol w:w="5642"/>
        <w:gridCol w:w="2779"/>
      </w:tblGrid>
      <w:tr w14:paraId="5AEB1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567" w:hRule="atLeast"/>
          <w:jc w:val="center"/>
        </w:trPr>
        <w:tc>
          <w:tcPr>
            <w:tcW w:w="349" w:type="pct"/>
            <w:noWrap w:val="0"/>
            <w:vAlign w:val="center"/>
          </w:tcPr>
          <w:p w14:paraId="214B32C7">
            <w:pPr>
              <w:overflowPunct w:val="0"/>
              <w:jc w:val="center"/>
              <w:rPr>
                <w:rFonts w:hint="eastAsia" w:ascii="宋体" w:hAnsi="宋体" w:eastAsia="宋体" w:cs="宋体"/>
                <w:b/>
                <w:bCs/>
                <w:sz w:val="21"/>
                <w:szCs w:val="21"/>
              </w:rPr>
            </w:pPr>
            <w:r>
              <w:rPr>
                <w:rFonts w:hint="eastAsia" w:ascii="宋体" w:hAnsi="宋体" w:eastAsia="宋体" w:cs="宋体"/>
                <w:b/>
                <w:bCs/>
                <w:sz w:val="21"/>
                <w:szCs w:val="21"/>
              </w:rPr>
              <w:t>序号</w:t>
            </w:r>
          </w:p>
        </w:tc>
        <w:tc>
          <w:tcPr>
            <w:tcW w:w="3116" w:type="pct"/>
            <w:noWrap w:val="0"/>
            <w:vAlign w:val="center"/>
          </w:tcPr>
          <w:p w14:paraId="2DBAE4AF">
            <w:pPr>
              <w:overflowPunct w:val="0"/>
              <w:autoSpaceDE w:val="0"/>
              <w:autoSpaceDN w:val="0"/>
              <w:jc w:val="center"/>
              <w:rPr>
                <w:rFonts w:hint="eastAsia" w:ascii="宋体" w:hAnsi="宋体" w:eastAsia="宋体" w:cs="宋体"/>
                <w:b/>
                <w:bCs/>
                <w:sz w:val="21"/>
                <w:szCs w:val="21"/>
              </w:rPr>
            </w:pPr>
            <w:r>
              <w:rPr>
                <w:rFonts w:hint="eastAsia" w:ascii="宋体" w:hAnsi="宋体" w:eastAsia="宋体" w:cs="宋体"/>
                <w:b/>
                <w:bCs/>
                <w:sz w:val="21"/>
                <w:szCs w:val="21"/>
              </w:rPr>
              <w:t>标准名称</w:t>
            </w:r>
          </w:p>
        </w:tc>
        <w:tc>
          <w:tcPr>
            <w:tcW w:w="1534" w:type="pct"/>
            <w:noWrap w:val="0"/>
            <w:vAlign w:val="center"/>
          </w:tcPr>
          <w:p w14:paraId="042AE079">
            <w:pPr>
              <w:overflowPunct w:val="0"/>
              <w:jc w:val="center"/>
              <w:rPr>
                <w:rFonts w:hint="eastAsia" w:ascii="宋体" w:hAnsi="宋体" w:eastAsia="宋体" w:cs="宋体"/>
                <w:b/>
                <w:bCs/>
                <w:sz w:val="21"/>
                <w:szCs w:val="21"/>
              </w:rPr>
            </w:pPr>
            <w:r>
              <w:rPr>
                <w:rFonts w:hint="eastAsia" w:ascii="宋体" w:hAnsi="宋体" w:eastAsia="宋体" w:cs="宋体"/>
                <w:b/>
                <w:bCs/>
                <w:sz w:val="21"/>
                <w:szCs w:val="21"/>
              </w:rPr>
              <w:t>标准编号</w:t>
            </w:r>
          </w:p>
        </w:tc>
      </w:tr>
      <w:tr w14:paraId="6EFFC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34A39BAC">
            <w:pPr>
              <w:overflowPunct w:val="0"/>
              <w:jc w:val="center"/>
              <w:rPr>
                <w:rFonts w:hint="eastAsia" w:ascii="宋体" w:hAnsi="宋体" w:eastAsia="宋体" w:cs="宋体"/>
                <w:sz w:val="21"/>
                <w:szCs w:val="21"/>
              </w:rPr>
            </w:pPr>
            <w:r>
              <w:rPr>
                <w:rFonts w:hint="eastAsia" w:ascii="宋体" w:hAnsi="宋体" w:eastAsia="宋体" w:cs="宋体"/>
                <w:sz w:val="21"/>
                <w:szCs w:val="21"/>
              </w:rPr>
              <w:t>1</w:t>
            </w:r>
          </w:p>
        </w:tc>
        <w:tc>
          <w:tcPr>
            <w:tcW w:w="3116" w:type="pct"/>
            <w:noWrap w:val="0"/>
            <w:vAlign w:val="center"/>
          </w:tcPr>
          <w:p w14:paraId="24A3F799">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《危险废物贮存污染控制标准》</w:t>
            </w:r>
          </w:p>
        </w:tc>
        <w:tc>
          <w:tcPr>
            <w:tcW w:w="1534" w:type="pct"/>
            <w:noWrap w:val="0"/>
            <w:vAlign w:val="center"/>
          </w:tcPr>
          <w:p w14:paraId="35943BE9">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GB 18597-2023</w:t>
            </w:r>
          </w:p>
        </w:tc>
      </w:tr>
      <w:tr w14:paraId="33C8D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4E7B87F2">
            <w:pPr>
              <w:overflowPunct w:val="0"/>
              <w:jc w:val="center"/>
              <w:rPr>
                <w:rFonts w:hint="eastAsia" w:ascii="宋体" w:hAnsi="宋体" w:eastAsia="宋体" w:cs="宋体"/>
                <w:sz w:val="21"/>
                <w:szCs w:val="21"/>
              </w:rPr>
            </w:pPr>
            <w:r>
              <w:rPr>
                <w:rFonts w:hint="eastAsia" w:ascii="宋体" w:hAnsi="宋体" w:eastAsia="宋体" w:cs="宋体"/>
                <w:sz w:val="21"/>
                <w:szCs w:val="21"/>
              </w:rPr>
              <w:t>2</w:t>
            </w:r>
          </w:p>
        </w:tc>
        <w:tc>
          <w:tcPr>
            <w:tcW w:w="3116" w:type="pct"/>
            <w:noWrap w:val="0"/>
            <w:vAlign w:val="center"/>
          </w:tcPr>
          <w:p w14:paraId="433E4FF4">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《爆炸性环境 第1部分：设备 通用要求》</w:t>
            </w:r>
          </w:p>
        </w:tc>
        <w:tc>
          <w:tcPr>
            <w:tcW w:w="1534" w:type="pct"/>
            <w:noWrap w:val="0"/>
            <w:vAlign w:val="center"/>
          </w:tcPr>
          <w:p w14:paraId="739F6061">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GB/T 3836.1-2021</w:t>
            </w:r>
          </w:p>
        </w:tc>
      </w:tr>
      <w:tr w14:paraId="69E32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34B63E5F">
            <w:pPr>
              <w:overflowPunct w:val="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3</w:t>
            </w:r>
          </w:p>
        </w:tc>
        <w:tc>
          <w:tcPr>
            <w:tcW w:w="3116" w:type="pct"/>
            <w:noWrap w:val="0"/>
            <w:vAlign w:val="center"/>
          </w:tcPr>
          <w:p w14:paraId="520B3D4F">
            <w:pPr>
              <w:spacing w:line="360" w:lineRule="auto"/>
              <w:jc w:val="center"/>
              <w:rPr>
                <w:rFonts w:hint="eastAsia" w:ascii="Times New Roman" w:hAnsi="Times New Roman" w:eastAsia="宋体" w:cs="Times New Roman"/>
                <w:lang w:val="en-US" w:eastAsia="zh-CN"/>
              </w:rPr>
            </w:pPr>
            <w:r>
              <w:rPr>
                <w:rFonts w:hint="eastAsia" w:cs="Times New Roman"/>
                <w:lang w:val="en-US" w:eastAsia="zh-CN"/>
              </w:rPr>
              <w:t>《爆炸性环境 第2部分：由隔爆外壳“d”保护的设备》</w:t>
            </w:r>
          </w:p>
        </w:tc>
        <w:tc>
          <w:tcPr>
            <w:tcW w:w="1534" w:type="pct"/>
            <w:noWrap w:val="0"/>
            <w:vAlign w:val="center"/>
          </w:tcPr>
          <w:p w14:paraId="3FC905E5">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GB/T 3836.2-2021</w:t>
            </w:r>
          </w:p>
        </w:tc>
      </w:tr>
      <w:tr w14:paraId="30BAB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6423927A">
            <w:pPr>
              <w:overflowPunct w:val="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4</w:t>
            </w:r>
          </w:p>
        </w:tc>
        <w:tc>
          <w:tcPr>
            <w:tcW w:w="3116" w:type="pct"/>
            <w:noWrap w:val="0"/>
            <w:vAlign w:val="center"/>
          </w:tcPr>
          <w:p w14:paraId="4CE96E38">
            <w:pPr>
              <w:spacing w:line="360" w:lineRule="auto"/>
              <w:jc w:val="center"/>
              <w:rPr>
                <w:rFonts w:hint="eastAsia" w:ascii="Times New Roman" w:hAnsi="Times New Roman" w:eastAsia="宋体" w:cs="Times New Roman"/>
                <w:lang w:val="en-US" w:eastAsia="zh-CN"/>
              </w:rPr>
            </w:pPr>
            <w:r>
              <w:rPr>
                <w:rFonts w:hint="eastAsia" w:cs="Times New Roman"/>
                <w:lang w:val="en-US" w:eastAsia="zh-CN"/>
              </w:rPr>
              <w:t>《爆炸性环境 第3部分：由增安型“e”保护的设备》</w:t>
            </w:r>
          </w:p>
        </w:tc>
        <w:tc>
          <w:tcPr>
            <w:tcW w:w="1534" w:type="pct"/>
            <w:noWrap w:val="0"/>
            <w:vAlign w:val="center"/>
          </w:tcPr>
          <w:p w14:paraId="25929AF8">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GB/T 3836.3-2021</w:t>
            </w:r>
          </w:p>
        </w:tc>
      </w:tr>
      <w:tr w14:paraId="089C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26945EF5">
            <w:pPr>
              <w:overflowPunct w:val="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5</w:t>
            </w:r>
          </w:p>
        </w:tc>
        <w:tc>
          <w:tcPr>
            <w:tcW w:w="3116" w:type="pct"/>
            <w:noWrap w:val="0"/>
            <w:vAlign w:val="center"/>
          </w:tcPr>
          <w:p w14:paraId="0B14EBAE">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《建筑灭火器配置设计规范》</w:t>
            </w:r>
          </w:p>
        </w:tc>
        <w:tc>
          <w:tcPr>
            <w:tcW w:w="1534" w:type="pct"/>
            <w:noWrap w:val="0"/>
            <w:vAlign w:val="center"/>
          </w:tcPr>
          <w:p w14:paraId="514A3EA9">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GB 50140-2005</w:t>
            </w:r>
          </w:p>
        </w:tc>
      </w:tr>
      <w:tr w14:paraId="72CAD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44BDD79D">
            <w:pPr>
              <w:overflowPunct w:val="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6</w:t>
            </w:r>
          </w:p>
        </w:tc>
        <w:tc>
          <w:tcPr>
            <w:tcW w:w="3116" w:type="pct"/>
            <w:noWrap w:val="0"/>
            <w:vAlign w:val="center"/>
          </w:tcPr>
          <w:p w14:paraId="72AB5737">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《点型感烟火灾探测器》</w:t>
            </w:r>
          </w:p>
        </w:tc>
        <w:tc>
          <w:tcPr>
            <w:tcW w:w="1534" w:type="pct"/>
            <w:noWrap w:val="0"/>
            <w:vAlign w:val="center"/>
          </w:tcPr>
          <w:p w14:paraId="142F1022">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GB 4715-2024</w:t>
            </w:r>
          </w:p>
        </w:tc>
      </w:tr>
      <w:tr w14:paraId="29A0B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14EAD558">
            <w:pPr>
              <w:overflowPunct w:val="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w:t>
            </w:r>
          </w:p>
        </w:tc>
        <w:tc>
          <w:tcPr>
            <w:tcW w:w="3116" w:type="pct"/>
            <w:noWrap w:val="0"/>
            <w:vAlign w:val="center"/>
          </w:tcPr>
          <w:p w14:paraId="3E0A83B7">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《可燃气体探测器 第1部分：工业及商业用途点型可燃气体探测器》</w:t>
            </w:r>
          </w:p>
        </w:tc>
        <w:tc>
          <w:tcPr>
            <w:tcW w:w="1534" w:type="pct"/>
            <w:noWrap w:val="0"/>
            <w:vAlign w:val="center"/>
          </w:tcPr>
          <w:p w14:paraId="2ECAC0C3">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GB 15322.1-2026</w:t>
            </w:r>
          </w:p>
        </w:tc>
      </w:tr>
      <w:tr w14:paraId="69DEC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369A2451">
            <w:pPr>
              <w:overflowPunct w:val="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8</w:t>
            </w:r>
          </w:p>
        </w:tc>
        <w:tc>
          <w:tcPr>
            <w:tcW w:w="3116" w:type="pct"/>
            <w:noWrap w:val="0"/>
            <w:vAlign w:val="center"/>
          </w:tcPr>
          <w:p w14:paraId="2450BF57">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《石油化工可燃气体和有毒气体检测报警设计标准》</w:t>
            </w:r>
          </w:p>
        </w:tc>
        <w:tc>
          <w:tcPr>
            <w:tcW w:w="1534" w:type="pct"/>
            <w:noWrap w:val="0"/>
            <w:vAlign w:val="center"/>
          </w:tcPr>
          <w:p w14:paraId="025A3FDD">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GB/T 50493-2019</w:t>
            </w:r>
          </w:p>
        </w:tc>
      </w:tr>
      <w:tr w14:paraId="0708D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3CE8507A">
            <w:pPr>
              <w:overflowPunct w:val="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9</w:t>
            </w:r>
          </w:p>
        </w:tc>
        <w:tc>
          <w:tcPr>
            <w:tcW w:w="3116" w:type="pct"/>
            <w:noWrap w:val="0"/>
            <w:vAlign w:val="center"/>
          </w:tcPr>
          <w:p w14:paraId="7EDAA553">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《建筑物防雷设计规范》</w:t>
            </w:r>
          </w:p>
        </w:tc>
        <w:tc>
          <w:tcPr>
            <w:tcW w:w="1534" w:type="pct"/>
            <w:noWrap w:val="0"/>
            <w:vAlign w:val="center"/>
          </w:tcPr>
          <w:p w14:paraId="54368FC8">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GB 50057-2010</w:t>
            </w:r>
          </w:p>
        </w:tc>
      </w:tr>
      <w:tr w14:paraId="31B98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5B0B25DD">
            <w:pPr>
              <w:overflowPunct w:val="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3116" w:type="pct"/>
            <w:noWrap w:val="0"/>
            <w:vAlign w:val="center"/>
          </w:tcPr>
          <w:p w14:paraId="6F902EBA">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《危险化学品仓库储存通则》</w:t>
            </w:r>
          </w:p>
        </w:tc>
        <w:tc>
          <w:tcPr>
            <w:tcW w:w="1534" w:type="pct"/>
            <w:noWrap w:val="0"/>
            <w:vAlign w:val="center"/>
          </w:tcPr>
          <w:p w14:paraId="228C4FF0">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GB 15603-2022</w:t>
            </w:r>
          </w:p>
        </w:tc>
      </w:tr>
      <w:tr w14:paraId="44C6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78495934">
            <w:pPr>
              <w:overflowPunct w:val="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11</w:t>
            </w:r>
          </w:p>
        </w:tc>
        <w:tc>
          <w:tcPr>
            <w:tcW w:w="3116" w:type="pct"/>
            <w:noWrap w:val="0"/>
            <w:vAlign w:val="center"/>
          </w:tcPr>
          <w:p w14:paraId="7C5B3900">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《安全色和安全标志》</w:t>
            </w:r>
          </w:p>
        </w:tc>
        <w:tc>
          <w:tcPr>
            <w:tcW w:w="1534" w:type="pct"/>
            <w:noWrap w:val="0"/>
            <w:vAlign w:val="center"/>
          </w:tcPr>
          <w:p w14:paraId="0F3A9801">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GB 2894-2025</w:t>
            </w:r>
          </w:p>
        </w:tc>
      </w:tr>
      <w:tr w14:paraId="3C646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579009AB">
            <w:pPr>
              <w:overflowPunct w:val="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12</w:t>
            </w:r>
          </w:p>
        </w:tc>
        <w:tc>
          <w:tcPr>
            <w:tcW w:w="3116" w:type="pct"/>
            <w:noWrap w:val="0"/>
            <w:vAlign w:val="center"/>
          </w:tcPr>
          <w:p w14:paraId="17813E47">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r>
              <w:rPr>
                <w:rFonts w:hint="eastAsia"/>
                <w:vertAlign w:val="baseline"/>
                <w:lang w:val="en-US" w:eastAsia="zh-CN"/>
              </w:rPr>
              <w:t>眼面部防护 应急喷淋和洗眼设备</w:t>
            </w:r>
            <w:r>
              <w:rPr>
                <w:rFonts w:hint="eastAsia" w:ascii="Times New Roman" w:hAnsi="Times New Roman" w:eastAsia="宋体" w:cs="Times New Roman"/>
                <w:lang w:val="en-US" w:eastAsia="zh-CN"/>
              </w:rPr>
              <w:t>》</w:t>
            </w:r>
          </w:p>
        </w:tc>
        <w:tc>
          <w:tcPr>
            <w:tcW w:w="1534" w:type="pct"/>
            <w:noWrap w:val="0"/>
            <w:vAlign w:val="center"/>
          </w:tcPr>
          <w:p w14:paraId="571AC07E">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GB</w:t>
            </w:r>
            <w:r>
              <w:rPr>
                <w:rFonts w:hint="eastAsia" w:cs="Times New Roman"/>
                <w:lang w:val="en-US" w:eastAsia="zh-CN"/>
              </w:rPr>
              <w:t xml:space="preserve"> </w:t>
            </w:r>
            <w:r>
              <w:rPr>
                <w:rFonts w:hint="eastAsia" w:ascii="Times New Roman" w:hAnsi="Times New Roman" w:eastAsia="宋体" w:cs="Times New Roman"/>
                <w:lang w:val="en-US" w:eastAsia="zh-CN"/>
              </w:rPr>
              <w:t>38144-2025</w:t>
            </w:r>
          </w:p>
        </w:tc>
      </w:tr>
      <w:tr w14:paraId="71E64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13B0122B">
            <w:pPr>
              <w:overflowPunct w:val="0"/>
              <w:jc w:val="center"/>
              <w:rPr>
                <w:rFonts w:hint="default" w:ascii="宋体" w:hAnsi="宋体" w:cs="宋体"/>
                <w:sz w:val="21"/>
                <w:szCs w:val="21"/>
                <w:lang w:val="en-US" w:eastAsia="zh-CN"/>
              </w:rPr>
            </w:pPr>
            <w:r>
              <w:rPr>
                <w:rFonts w:hint="eastAsia" w:ascii="宋体" w:hAnsi="宋体" w:cs="宋体"/>
                <w:sz w:val="21"/>
                <w:szCs w:val="21"/>
                <w:lang w:val="en-US" w:eastAsia="zh-CN"/>
              </w:rPr>
              <w:t>13</w:t>
            </w:r>
          </w:p>
        </w:tc>
        <w:tc>
          <w:tcPr>
            <w:tcW w:w="3116" w:type="pct"/>
            <w:noWrap w:val="0"/>
            <w:vAlign w:val="center"/>
          </w:tcPr>
          <w:p w14:paraId="3E9DAE2C">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《危险废物识别标志设置技术规范》</w:t>
            </w:r>
          </w:p>
        </w:tc>
        <w:tc>
          <w:tcPr>
            <w:tcW w:w="1534" w:type="pct"/>
            <w:noWrap w:val="0"/>
            <w:vAlign w:val="center"/>
          </w:tcPr>
          <w:p w14:paraId="5E49E42B">
            <w:pPr>
              <w:spacing w:line="360"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HJ 1276</w:t>
            </w:r>
          </w:p>
        </w:tc>
      </w:tr>
    </w:tbl>
    <w:p w14:paraId="24EC62FD">
      <w:pPr>
        <w:numPr>
          <w:ilvl w:val="0"/>
          <w:numId w:val="28"/>
        </w:numPr>
        <w:spacing w:line="480" w:lineRule="exact"/>
        <w:rPr>
          <w:rFonts w:hint="eastAsia" w:ascii="黑体" w:hAnsi="宋体" w:eastAsia="黑体"/>
        </w:rPr>
      </w:pPr>
      <w:r>
        <w:rPr>
          <w:rFonts w:hint="eastAsia" w:ascii="黑体" w:hAnsi="宋体" w:eastAsia="黑体"/>
        </w:rPr>
        <w:t>技术规范和技术要求</w:t>
      </w:r>
    </w:p>
    <w:p w14:paraId="1A394A4C">
      <w:pPr>
        <w:pStyle w:val="116"/>
        <w:ind w:left="0" w:leftChars="0" w:firstLine="0" w:firstLineChars="0"/>
        <w:rPr>
          <w:rFonts w:hint="eastAsia" w:ascii="宋体" w:hAnsi="宋体" w:eastAsia="宋体" w:cs="Times New Roman"/>
          <w:b/>
          <w:kern w:val="2"/>
          <w:sz w:val="24"/>
          <w:szCs w:val="24"/>
          <w:lang w:val="en-US" w:eastAsia="zh-CN" w:bidi="ar-SA"/>
        </w:rPr>
      </w:pPr>
    </w:p>
    <w:p w14:paraId="417CC605">
      <w:pPr>
        <w:pStyle w:val="116"/>
        <w:ind w:left="0" w:leftChars="0" w:firstLine="0" w:firstLineChars="0"/>
        <w:rPr>
          <w:rFonts w:hint="default" w:ascii="宋体" w:hAnsi="宋体" w:eastAsia="宋体" w:cs="Times New Roman"/>
          <w:b/>
          <w:kern w:val="2"/>
          <w:sz w:val="24"/>
          <w:szCs w:val="24"/>
          <w:lang w:val="en-US" w:eastAsia="zh-CN" w:bidi="ar-SA"/>
        </w:rPr>
      </w:pPr>
      <w:r>
        <w:rPr>
          <w:rFonts w:hint="eastAsia" w:ascii="宋体" w:hAnsi="宋体" w:eastAsia="宋体" w:cs="Times New Roman"/>
          <w:b/>
          <w:kern w:val="2"/>
          <w:sz w:val="24"/>
          <w:szCs w:val="24"/>
          <w:lang w:val="en-US" w:eastAsia="zh-CN" w:bidi="ar-SA"/>
        </w:rPr>
        <w:t>3.1</w:t>
      </w:r>
      <w:r>
        <w:rPr>
          <w:rFonts w:hint="eastAsia" w:cs="Times New Roman"/>
          <w:b/>
          <w:kern w:val="2"/>
          <w:sz w:val="24"/>
          <w:szCs w:val="24"/>
          <w:lang w:val="en-US" w:eastAsia="zh-CN" w:bidi="ar-SA"/>
        </w:rPr>
        <w:t>整体箱体结构</w:t>
      </w:r>
      <w:r>
        <w:rPr>
          <w:rFonts w:hint="eastAsia" w:ascii="宋体" w:hAnsi="宋体" w:eastAsia="宋体" w:cs="Times New Roman"/>
          <w:b/>
          <w:kern w:val="2"/>
          <w:sz w:val="24"/>
          <w:szCs w:val="24"/>
          <w:lang w:val="en-US" w:eastAsia="zh-CN" w:bidi="ar-SA"/>
        </w:rPr>
        <w:t>要求</w:t>
      </w:r>
    </w:p>
    <w:p w14:paraId="239159FA">
      <w:pPr>
        <w:overflowPunct w:val="0"/>
        <w:spacing w:line="360" w:lineRule="auto"/>
        <w:ind w:firstLine="420" w:firstLineChars="200"/>
        <w:rPr>
          <w:rFonts w:hint="eastAsia" w:ascii="宋体" w:hAnsi="宋体" w:eastAsia="宋体" w:cs="宋体"/>
          <w:lang w:val="en-US" w:eastAsia="zh-CN"/>
        </w:rPr>
      </w:pPr>
      <w:r>
        <w:rPr>
          <w:rFonts w:hint="eastAsia" w:ascii="宋体" w:hAnsi="宋体" w:cs="宋体"/>
          <w:lang w:val="en-US" w:eastAsia="zh-CN"/>
        </w:rPr>
        <w:t>1、</w:t>
      </w:r>
      <w:r>
        <w:rPr>
          <w:rFonts w:hint="eastAsia" w:ascii="宋体" w:hAnsi="宋体" w:eastAsia="宋体" w:cs="宋体"/>
          <w:lang w:val="en-US" w:eastAsia="zh-CN"/>
        </w:rPr>
        <w:t>承重底座：采用国标12#槽钢整体满焊框架，保证整体结构强度。</w:t>
      </w:r>
    </w:p>
    <w:p w14:paraId="5C4726B3">
      <w:pPr>
        <w:overflowPunct w:val="0"/>
        <w:spacing w:line="360" w:lineRule="auto"/>
        <w:ind w:firstLine="420" w:firstLineChars="200"/>
        <w:rPr>
          <w:rFonts w:hint="eastAsia" w:ascii="宋体" w:hAnsi="宋体" w:eastAsia="宋体" w:cs="宋体"/>
          <w:lang w:val="en-US" w:eastAsia="zh-CN"/>
        </w:rPr>
      </w:pPr>
      <w:r>
        <w:rPr>
          <w:rFonts w:hint="eastAsia" w:ascii="宋体" w:hAnsi="宋体" w:cs="宋体"/>
          <w:lang w:val="en-US" w:eastAsia="zh-CN"/>
        </w:rPr>
        <w:t>2、</w:t>
      </w:r>
      <w:r>
        <w:rPr>
          <w:rFonts w:hint="eastAsia" w:ascii="宋体" w:hAnsi="宋体" w:eastAsia="宋体" w:cs="宋体"/>
          <w:lang w:val="en-US" w:eastAsia="zh-CN"/>
        </w:rPr>
        <w:t>箱体板材：外墙1.2mm瓦楞碳钢板，内墙1.2mm平整碳钢板；底板采用5mm加厚花纹钢板。</w:t>
      </w:r>
    </w:p>
    <w:p w14:paraId="4572B92B">
      <w:pPr>
        <w:overflowPunct w:val="0"/>
        <w:spacing w:line="360" w:lineRule="auto"/>
        <w:ind w:firstLine="420" w:firstLineChars="200"/>
        <w:rPr>
          <w:rFonts w:hint="eastAsia" w:ascii="宋体" w:hAnsi="宋体" w:eastAsia="宋体" w:cs="宋体"/>
          <w:lang w:val="en-US" w:eastAsia="zh-CN"/>
        </w:rPr>
      </w:pPr>
      <w:r>
        <w:rPr>
          <w:rFonts w:hint="eastAsia" w:ascii="宋体" w:hAnsi="宋体" w:cs="宋体"/>
          <w:lang w:val="en-US" w:eastAsia="zh-CN"/>
        </w:rPr>
        <w:t>3、</w:t>
      </w:r>
      <w:r>
        <w:rPr>
          <w:rFonts w:hint="eastAsia" w:ascii="宋体" w:hAnsi="宋体" w:eastAsia="宋体" w:cs="宋体"/>
          <w:lang w:val="en-US" w:eastAsia="zh-CN"/>
        </w:rPr>
        <w:t>防火填充：墙体夹层填充50mm（80kg容重）优质岩棉，兼具防火、保温隔热性能。</w:t>
      </w:r>
    </w:p>
    <w:p w14:paraId="603E4C74">
      <w:pPr>
        <w:overflowPunct w:val="0"/>
        <w:spacing w:line="360" w:lineRule="auto"/>
        <w:ind w:firstLine="420" w:firstLineChars="200"/>
        <w:rPr>
          <w:rFonts w:hint="default" w:ascii="宋体" w:hAnsi="宋体" w:eastAsia="宋体" w:cs="宋体"/>
          <w:lang w:val="en-US" w:eastAsia="zh-CN"/>
        </w:rPr>
      </w:pPr>
      <w:r>
        <w:rPr>
          <w:rFonts w:hint="eastAsia" w:ascii="宋体" w:hAnsi="宋体" w:cs="宋体"/>
          <w:lang w:val="en-US" w:eastAsia="zh-CN"/>
        </w:rPr>
        <w:t>4、</w:t>
      </w:r>
      <w:r>
        <w:rPr>
          <w:rFonts w:hint="eastAsia" w:ascii="宋体" w:hAnsi="宋体" w:eastAsia="宋体" w:cs="宋体"/>
          <w:lang w:val="en-US" w:eastAsia="zh-CN"/>
        </w:rPr>
        <w:t>全套防腐工艺：底座涂刷环氧富锌防锈底漆；地面铺设环氧地坪漆；箱体内外整体喷涂环保无甲醛聚氨酯防腐涂层，耐酸碱、有机溶剂长期腐蚀</w:t>
      </w:r>
      <w:r>
        <w:rPr>
          <w:rFonts w:hint="eastAsia" w:ascii="宋体" w:hAnsi="宋体" w:cs="宋体"/>
          <w:lang w:val="en-US" w:eastAsia="zh-CN"/>
        </w:rPr>
        <w:t>，废铅酸电池存放区域做耐酸碱处理。</w:t>
      </w:r>
    </w:p>
    <w:p w14:paraId="3C82B22F">
      <w:pPr>
        <w:overflowPunct w:val="0"/>
        <w:spacing w:line="360" w:lineRule="auto"/>
        <w:ind w:firstLine="420" w:firstLineChars="200"/>
        <w:rPr>
          <w:rFonts w:hint="eastAsia" w:ascii="宋体" w:hAnsi="宋体" w:eastAsia="宋体" w:cs="宋体"/>
          <w:lang w:val="en-US" w:eastAsia="zh-CN"/>
        </w:rPr>
      </w:pPr>
      <w:r>
        <w:rPr>
          <w:rFonts w:hint="eastAsia" w:ascii="宋体" w:hAnsi="宋体" w:cs="宋体"/>
          <w:lang w:val="en-US" w:eastAsia="zh-CN"/>
        </w:rPr>
        <w:t>5、</w:t>
      </w:r>
      <w:r>
        <w:rPr>
          <w:rFonts w:hint="eastAsia" w:ascii="宋体" w:hAnsi="宋体" w:eastAsia="宋体" w:cs="宋体"/>
          <w:lang w:val="en-US" w:eastAsia="zh-CN"/>
        </w:rPr>
        <w:t>耐火门（锁杆门）规格：宽4000mm*高2500mm*1套，设置于8m长边中部，带防雨门檐；耐火门（锁杆门）规格：宽1800mm*高2500mm*1套。</w:t>
      </w:r>
    </w:p>
    <w:p w14:paraId="10C40283">
      <w:pPr>
        <w:overflowPunct w:val="0"/>
        <w:spacing w:line="360" w:lineRule="auto"/>
        <w:ind w:firstLine="420" w:firstLineChars="200"/>
        <w:rPr>
          <w:rFonts w:hint="eastAsia" w:ascii="宋体" w:hAnsi="宋体" w:eastAsia="宋体" w:cs="宋体"/>
          <w:lang w:val="en-US" w:eastAsia="zh-CN"/>
        </w:rPr>
      </w:pPr>
      <w:r>
        <w:rPr>
          <w:rFonts w:hint="eastAsia" w:ascii="宋体" w:hAnsi="宋体" w:cs="宋体"/>
          <w:lang w:val="en-US" w:eastAsia="zh-CN"/>
        </w:rPr>
        <w:t>6、</w:t>
      </w:r>
      <w:r>
        <w:rPr>
          <w:rFonts w:hint="eastAsia" w:ascii="宋体" w:hAnsi="宋体" w:eastAsia="宋体" w:cs="宋体"/>
          <w:lang w:val="en-US" w:eastAsia="zh-CN"/>
        </w:rPr>
        <w:t>门锁配置：双锁管理结构（抗冲击机械锁+专业安全锁），满足危废双人双锁管理法规要求。</w:t>
      </w:r>
    </w:p>
    <w:p w14:paraId="0D4D8724">
      <w:pPr>
        <w:overflowPunct w:val="0"/>
        <w:spacing w:line="360" w:lineRule="auto"/>
        <w:ind w:firstLine="420" w:firstLineChars="200"/>
        <w:rPr>
          <w:rFonts w:hint="eastAsia" w:ascii="宋体" w:hAnsi="宋体" w:eastAsia="宋体" w:cs="宋体"/>
          <w:lang w:val="en-US" w:eastAsia="zh-CN"/>
        </w:rPr>
      </w:pPr>
      <w:r>
        <w:rPr>
          <w:rFonts w:hint="eastAsia" w:ascii="宋体" w:hAnsi="宋体" w:cs="宋体"/>
          <w:lang w:val="en-US" w:eastAsia="zh-CN"/>
        </w:rPr>
        <w:t>7、</w:t>
      </w:r>
      <w:r>
        <w:rPr>
          <w:rFonts w:hint="eastAsia" w:ascii="宋体" w:hAnsi="宋体" w:eastAsia="宋体" w:cs="宋体"/>
          <w:lang w:val="en-US" w:eastAsia="zh-CN"/>
        </w:rPr>
        <w:t>吊装结构：箱体四角预埋专用吊装件，满足整车吊装、厂区移位需求。</w:t>
      </w:r>
    </w:p>
    <w:p w14:paraId="61FD9C56">
      <w:pPr>
        <w:overflowPunct w:val="0"/>
        <w:spacing w:line="360" w:lineRule="auto"/>
        <w:ind w:firstLine="420" w:firstLineChars="200"/>
        <w:rPr>
          <w:rFonts w:hint="eastAsia" w:ascii="宋体" w:hAnsi="宋体" w:eastAsia="宋体" w:cs="宋体"/>
          <w:lang w:val="en-US" w:eastAsia="zh-CN"/>
        </w:rPr>
      </w:pPr>
      <w:r>
        <w:rPr>
          <w:rFonts w:hint="eastAsia" w:ascii="宋体" w:hAnsi="宋体" w:cs="宋体"/>
          <w:lang w:val="en-US" w:eastAsia="zh-CN"/>
        </w:rPr>
        <w:t>8、</w:t>
      </w:r>
      <w:r>
        <w:rPr>
          <w:rFonts w:hint="eastAsia" w:ascii="宋体" w:hAnsi="宋体" w:eastAsia="宋体" w:cs="宋体"/>
          <w:lang w:val="en-US" w:eastAsia="zh-CN"/>
        </w:rPr>
        <w:t>耐火检测：供方需提供第三方检测报告，</w:t>
      </w:r>
      <w:r>
        <w:rPr>
          <w:rFonts w:hint="eastAsia" w:ascii="宋体" w:hAnsi="宋体" w:cs="宋体"/>
          <w:lang w:val="en-US" w:eastAsia="zh-CN"/>
        </w:rPr>
        <w:t>防火、</w:t>
      </w:r>
      <w:r>
        <w:rPr>
          <w:rFonts w:hint="eastAsia" w:ascii="宋体" w:hAnsi="宋体" w:eastAsia="宋体" w:cs="宋体"/>
          <w:lang w:val="en-US" w:eastAsia="zh-CN"/>
        </w:rPr>
        <w:t>耐火极限分别达到2h、4.2h。</w:t>
      </w:r>
    </w:p>
    <w:p w14:paraId="353CA6CE">
      <w:pPr>
        <w:overflowPunct w:val="0"/>
        <w:spacing w:line="360" w:lineRule="auto"/>
        <w:ind w:firstLine="420" w:firstLineChars="200"/>
        <w:rPr>
          <w:rFonts w:hint="eastAsia" w:ascii="宋体" w:hAnsi="宋体" w:cs="宋体"/>
          <w:lang w:val="en-US" w:eastAsia="zh-CN"/>
        </w:rPr>
      </w:pPr>
      <w:r>
        <w:rPr>
          <w:rFonts w:hint="eastAsia" w:ascii="宋体" w:hAnsi="宋体" w:cs="宋体"/>
          <w:lang w:val="en-US" w:eastAsia="zh-CN"/>
        </w:rPr>
        <w:t>9、</w:t>
      </w:r>
      <w:r>
        <w:rPr>
          <w:rFonts w:hint="eastAsia" w:ascii="宋体" w:hAnsi="宋体" w:eastAsia="宋体" w:cs="宋体"/>
          <w:lang w:val="en-US" w:eastAsia="zh-CN"/>
        </w:rPr>
        <w:t>配套检测资料：随货提供防爆、防水、防尘、防腐、防渗、抗风、静载荷、CE认证全套纸质+电子版报告</w:t>
      </w:r>
      <w:r>
        <w:rPr>
          <w:rFonts w:hint="eastAsia" w:ascii="宋体" w:hAnsi="宋体" w:cs="宋体"/>
          <w:lang w:val="en-US" w:eastAsia="zh-CN"/>
        </w:rPr>
        <w:t>，满足环评验收标准。</w:t>
      </w:r>
    </w:p>
    <w:p w14:paraId="54D52942">
      <w:pPr>
        <w:overflowPunct w:val="0"/>
        <w:spacing w:line="360" w:lineRule="auto"/>
        <w:ind w:firstLine="420" w:firstLineChars="200"/>
        <w:rPr>
          <w:rFonts w:hint="eastAsia" w:ascii="宋体" w:hAnsi="宋体" w:cs="宋体"/>
          <w:lang w:val="en-US" w:eastAsia="zh-CN"/>
        </w:rPr>
      </w:pPr>
      <w:r>
        <w:rPr>
          <w:rFonts w:hint="eastAsia" w:ascii="宋体" w:hAnsi="宋体" w:cs="宋体"/>
          <w:lang w:val="en-US" w:eastAsia="zh-CN"/>
        </w:rPr>
        <w:t>10、底座最大承重要求不低于15吨，可支持3吨叉车在箱子内部转向叉货工作。</w:t>
      </w:r>
    </w:p>
    <w:p w14:paraId="37956EEF">
      <w:pPr>
        <w:pStyle w:val="12"/>
        <w:rPr>
          <w:rFonts w:hint="eastAsia"/>
          <w:lang w:val="en-US" w:eastAsia="zh-CN"/>
        </w:rPr>
      </w:pPr>
    </w:p>
    <w:p w14:paraId="686C40DC">
      <w:pPr>
        <w:numPr>
          <w:ilvl w:val="0"/>
          <w:numId w:val="0"/>
        </w:numPr>
        <w:adjustRightInd w:val="0"/>
        <w:snapToGrid w:val="0"/>
        <w:spacing w:line="360" w:lineRule="auto"/>
        <w:ind w:leftChars="0"/>
        <w:rPr>
          <w:rFonts w:hint="eastAsia" w:ascii="宋体" w:hAnsi="宋体" w:eastAsia="宋体" w:cs="Times New Roman"/>
          <w:b/>
          <w:bCs/>
          <w:sz w:val="24"/>
          <w:szCs w:val="24"/>
          <w:lang w:val="en-US" w:eastAsia="zh-CN"/>
        </w:rPr>
      </w:pPr>
      <w:r>
        <w:rPr>
          <w:rFonts w:hint="eastAsia" w:ascii="宋体" w:hAnsi="宋体" w:eastAsia="宋体" w:cs="Times New Roman"/>
          <w:b/>
          <w:bCs/>
          <w:sz w:val="24"/>
          <w:szCs w:val="24"/>
          <w:lang w:val="en-US" w:eastAsia="zh-CN"/>
        </w:rPr>
        <w:t>3.2防爆配电箱与PLC远程控制系统技术要求</w:t>
      </w:r>
    </w:p>
    <w:p w14:paraId="5E121026">
      <w:pPr>
        <w:overflowPunct w:val="0"/>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1、防爆配电箱</w:t>
      </w:r>
      <w:r>
        <w:rPr>
          <w:rFonts w:hint="eastAsia" w:ascii="宋体" w:hAnsi="宋体" w:cs="宋体"/>
          <w:lang w:val="en-US" w:eastAsia="zh-CN"/>
        </w:rPr>
        <w:t>2</w:t>
      </w:r>
      <w:r>
        <w:rPr>
          <w:rFonts w:hint="eastAsia" w:ascii="宋体" w:hAnsi="宋体" w:eastAsia="宋体" w:cs="宋体"/>
          <w:lang w:val="en-US" w:eastAsia="zh-CN"/>
        </w:rPr>
        <w:t>套：铝合金铸压外壳，防爆等级Ex db eb IIB T6 Gb，防护IP66；箱体开合部位做防摩擦火花结构处理。</w:t>
      </w:r>
    </w:p>
    <w:p w14:paraId="5FBF6617">
      <w:pPr>
        <w:overflowPunct w:val="0"/>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2、防爆PLC远程控制柜</w:t>
      </w:r>
      <w:r>
        <w:rPr>
          <w:rFonts w:hint="eastAsia" w:ascii="宋体" w:hAnsi="宋体" w:cs="宋体"/>
          <w:lang w:val="en-US" w:eastAsia="zh-CN"/>
        </w:rPr>
        <w:t>2</w:t>
      </w:r>
      <w:r>
        <w:rPr>
          <w:rFonts w:hint="eastAsia" w:ascii="宋体" w:hAnsi="宋体" w:eastAsia="宋体" w:cs="宋体"/>
          <w:lang w:val="en-US" w:eastAsia="zh-CN"/>
        </w:rPr>
        <w:t>套：防爆等级Ex db IIB T4Gb，防护IP66。</w:t>
      </w:r>
    </w:p>
    <w:p w14:paraId="4F2921FF">
      <w:pPr>
        <w:overflowPunct w:val="0"/>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3、PLC核心功能：24小时不间断采集仓内温湿度、可燃气体实时数据；参数超出设定阈值自动现场声光报警，同步输出联动信号控制风机、防爆空调、消防设备。</w:t>
      </w:r>
    </w:p>
    <w:p w14:paraId="351C2DA2">
      <w:pPr>
        <w:overflowPunct w:val="0"/>
        <w:spacing w:line="36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4、防爆布线辅材：全套防爆穿线盒、三通、弯头、防爆镀锌线管、桥架成套配置，防爆等级Ex e IIC，防护IP66密封防水。</w:t>
      </w:r>
    </w:p>
    <w:p w14:paraId="2188FB5C">
      <w:pPr>
        <w:numPr>
          <w:ilvl w:val="0"/>
          <w:numId w:val="0"/>
        </w:numPr>
        <w:adjustRightInd w:val="0"/>
        <w:snapToGrid w:val="0"/>
        <w:spacing w:line="360" w:lineRule="auto"/>
        <w:ind w:leftChars="0"/>
        <w:rPr>
          <w:rFonts w:hint="eastAsia" w:ascii="宋体" w:hAnsi="宋体" w:eastAsia="宋体" w:cs="Times New Roman"/>
          <w:b/>
          <w:bCs/>
          <w:sz w:val="24"/>
          <w:szCs w:val="24"/>
          <w:lang w:val="en-US" w:eastAsia="zh-CN"/>
        </w:rPr>
      </w:pPr>
    </w:p>
    <w:p w14:paraId="54673A64">
      <w:pPr>
        <w:numPr>
          <w:ilvl w:val="0"/>
          <w:numId w:val="0"/>
        </w:numPr>
        <w:adjustRightInd w:val="0"/>
        <w:snapToGrid w:val="0"/>
        <w:spacing w:line="360" w:lineRule="auto"/>
        <w:ind w:leftChars="0"/>
        <w:rPr>
          <w:rFonts w:hint="eastAsia" w:ascii="宋体" w:hAnsi="宋体" w:eastAsia="宋体" w:cs="Times New Roman"/>
          <w:b/>
          <w:bCs/>
          <w:sz w:val="24"/>
          <w:szCs w:val="24"/>
          <w:lang w:val="en-US" w:eastAsia="zh-CN"/>
        </w:rPr>
      </w:pPr>
      <w:r>
        <w:rPr>
          <w:rFonts w:hint="eastAsia" w:ascii="宋体" w:hAnsi="宋体" w:eastAsia="宋体" w:cs="Times New Roman"/>
          <w:b/>
          <w:bCs/>
          <w:sz w:val="24"/>
          <w:szCs w:val="24"/>
          <w:lang w:val="en-US" w:eastAsia="zh-CN"/>
        </w:rPr>
        <w:t>3.3</w:t>
      </w:r>
      <w:r>
        <w:rPr>
          <w:rFonts w:hint="eastAsia" w:ascii="宋体" w:hAnsi="宋体" w:eastAsia="宋体" w:cs="Times New Roman"/>
          <w:b/>
          <w:bCs/>
          <w:sz w:val="24"/>
          <w:szCs w:val="24"/>
        </w:rPr>
        <w:t>通风及活性炭废气净化系统</w:t>
      </w:r>
      <w:r>
        <w:rPr>
          <w:rFonts w:hint="eastAsia" w:ascii="宋体" w:hAnsi="宋体" w:eastAsia="宋体" w:cs="Times New Roman"/>
          <w:b/>
          <w:bCs/>
          <w:sz w:val="24"/>
          <w:szCs w:val="24"/>
          <w:lang w:val="en-US" w:eastAsia="zh-CN"/>
        </w:rPr>
        <w:t>技术要求</w:t>
      </w:r>
    </w:p>
    <w:p w14:paraId="42927159">
      <w:pPr>
        <w:pStyle w:val="116"/>
        <w:numPr>
          <w:ilvl w:val="0"/>
          <w:numId w:val="0"/>
        </w:numPr>
        <w:tabs>
          <w:tab w:val="left" w:pos="640"/>
          <w:tab w:val="left" w:pos="1060"/>
        </w:tabs>
        <w:ind w:firstLine="420" w:firstLineChars="200"/>
        <w:rPr>
          <w:rFonts w:hint="eastAsia" w:ascii="宋体" w:hAnsi="宋体" w:eastAsia="宋体" w:cs="宋体"/>
          <w:kern w:val="2"/>
          <w:sz w:val="21"/>
          <w:lang w:val="en-US" w:eastAsia="zh-CN" w:bidi="ar-SA"/>
        </w:rPr>
      </w:pPr>
      <w:r>
        <w:rPr>
          <w:rFonts w:hint="eastAsia" w:cs="宋体"/>
          <w:kern w:val="2"/>
          <w:sz w:val="21"/>
          <w:lang w:val="en-US" w:eastAsia="zh-CN" w:bidi="ar-SA"/>
        </w:rPr>
        <w:t>1、</w:t>
      </w:r>
      <w:r>
        <w:rPr>
          <w:rFonts w:hint="eastAsia" w:ascii="宋体" w:hAnsi="宋体" w:eastAsia="宋体" w:cs="宋体"/>
          <w:kern w:val="2"/>
          <w:sz w:val="21"/>
          <w:lang w:val="en-US" w:eastAsia="zh-CN" w:bidi="ar-SA"/>
        </w:rPr>
        <w:t>防爆风机4台，AC220V供电，防爆Ex db IIB T4 Gb、IP65防护，每台配置独立启停开关。</w:t>
      </w:r>
    </w:p>
    <w:p w14:paraId="1CE1BA24">
      <w:pPr>
        <w:pStyle w:val="116"/>
        <w:numPr>
          <w:ilvl w:val="0"/>
          <w:numId w:val="0"/>
        </w:numPr>
        <w:tabs>
          <w:tab w:val="left" w:pos="640"/>
          <w:tab w:val="left" w:pos="1060"/>
        </w:tabs>
        <w:ind w:firstLine="420" w:firstLineChars="200"/>
        <w:rPr>
          <w:rFonts w:hint="eastAsia" w:ascii="宋体" w:hAnsi="宋体" w:eastAsia="宋体" w:cs="宋体"/>
          <w:kern w:val="2"/>
          <w:sz w:val="21"/>
          <w:lang w:val="en-US" w:eastAsia="zh-CN" w:bidi="ar-SA"/>
        </w:rPr>
      </w:pPr>
      <w:r>
        <w:rPr>
          <w:rFonts w:hint="eastAsia" w:cs="宋体"/>
          <w:kern w:val="2"/>
          <w:sz w:val="21"/>
          <w:lang w:val="en-US" w:eastAsia="zh-CN" w:bidi="ar-SA"/>
        </w:rPr>
        <w:t>2、</w:t>
      </w:r>
      <w:r>
        <w:rPr>
          <w:rFonts w:hint="eastAsia" w:ascii="宋体" w:hAnsi="宋体" w:eastAsia="宋体" w:cs="宋体"/>
          <w:kern w:val="2"/>
          <w:sz w:val="21"/>
          <w:lang w:val="en-US" w:eastAsia="zh-CN" w:bidi="ar-SA"/>
        </w:rPr>
        <w:t>每台风机配套一体化活性炭吸附净化箱。</w:t>
      </w:r>
    </w:p>
    <w:p w14:paraId="65A81A9D">
      <w:pPr>
        <w:pStyle w:val="116"/>
        <w:numPr>
          <w:ilvl w:val="0"/>
          <w:numId w:val="0"/>
        </w:numPr>
        <w:tabs>
          <w:tab w:val="left" w:pos="640"/>
          <w:tab w:val="left" w:pos="1060"/>
        </w:tabs>
        <w:ind w:firstLine="420" w:firstLineChars="200"/>
        <w:rPr>
          <w:rFonts w:hint="eastAsia" w:ascii="宋体" w:hAnsi="宋体" w:eastAsia="宋体" w:cs="宋体"/>
          <w:kern w:val="2"/>
          <w:sz w:val="21"/>
          <w:lang w:val="en-US" w:eastAsia="zh-CN" w:bidi="ar-SA"/>
        </w:rPr>
      </w:pPr>
      <w:r>
        <w:rPr>
          <w:rFonts w:hint="eastAsia" w:cs="宋体"/>
          <w:kern w:val="2"/>
          <w:sz w:val="21"/>
          <w:lang w:val="en-US" w:eastAsia="zh-CN" w:bidi="ar-SA"/>
        </w:rPr>
        <w:t>3、</w:t>
      </w:r>
      <w:r>
        <w:rPr>
          <w:rFonts w:hint="eastAsia" w:ascii="宋体" w:hAnsi="宋体" w:eastAsia="宋体" w:cs="宋体"/>
          <w:kern w:val="2"/>
          <w:sz w:val="21"/>
          <w:lang w:val="en-US" w:eastAsia="zh-CN" w:bidi="ar-SA"/>
        </w:rPr>
        <w:t>侧面通风百叶5套（300×450mm），内置防虫纱网，保障</w:t>
      </w:r>
      <w:r>
        <w:rPr>
          <w:rFonts w:hint="eastAsia" w:cs="宋体"/>
          <w:kern w:val="2"/>
          <w:sz w:val="21"/>
          <w:lang w:val="en-US" w:eastAsia="zh-CN" w:bidi="ar-SA"/>
        </w:rPr>
        <w:t>箱</w:t>
      </w:r>
      <w:r>
        <w:rPr>
          <w:rFonts w:hint="eastAsia" w:ascii="宋体" w:hAnsi="宋体" w:eastAsia="宋体" w:cs="宋体"/>
          <w:kern w:val="2"/>
          <w:sz w:val="21"/>
          <w:lang w:val="en-US" w:eastAsia="zh-CN" w:bidi="ar-SA"/>
        </w:rPr>
        <w:t>内新风补给。</w:t>
      </w:r>
    </w:p>
    <w:p w14:paraId="2DAC326D">
      <w:pPr>
        <w:pStyle w:val="116"/>
        <w:numPr>
          <w:ilvl w:val="0"/>
          <w:numId w:val="0"/>
        </w:numPr>
        <w:tabs>
          <w:tab w:val="left" w:pos="640"/>
          <w:tab w:val="left" w:pos="1060"/>
        </w:tabs>
        <w:ind w:firstLine="420" w:firstLineChars="200"/>
        <w:rPr>
          <w:rFonts w:hint="eastAsia" w:ascii="宋体" w:hAnsi="宋体" w:eastAsia="宋体" w:cs="宋体"/>
          <w:b/>
          <w:bCs/>
          <w:kern w:val="2"/>
          <w:sz w:val="24"/>
          <w:szCs w:val="24"/>
          <w:lang w:val="en-US" w:eastAsia="zh-CN" w:bidi="ar-SA"/>
        </w:rPr>
      </w:pPr>
      <w:r>
        <w:rPr>
          <w:rFonts w:hint="eastAsia" w:cs="宋体"/>
          <w:kern w:val="2"/>
          <w:sz w:val="21"/>
          <w:lang w:val="en-US" w:eastAsia="zh-CN" w:bidi="ar-SA"/>
        </w:rPr>
        <w:t>4、</w:t>
      </w:r>
      <w:r>
        <w:rPr>
          <w:rFonts w:hint="eastAsia" w:ascii="宋体" w:hAnsi="宋体" w:eastAsia="宋体" w:cs="宋体"/>
          <w:kern w:val="2"/>
          <w:sz w:val="21"/>
          <w:lang w:val="en-US" w:eastAsia="zh-CN" w:bidi="ar-SA"/>
        </w:rPr>
        <w:t>自动联动：可燃气体、温湿度超标时系统自动启动全部防爆风机强制换气</w:t>
      </w:r>
      <w:r>
        <w:rPr>
          <w:rFonts w:ascii="宋体" w:hAnsi="宋体" w:eastAsia="宋体" w:cs="宋体"/>
          <w:sz w:val="24"/>
          <w:szCs w:val="24"/>
        </w:rPr>
        <w:t>。</w:t>
      </w:r>
    </w:p>
    <w:p w14:paraId="24EE4F92">
      <w:pPr>
        <w:pStyle w:val="14"/>
        <w:numPr>
          <w:ilvl w:val="0"/>
          <w:numId w:val="0"/>
        </w:numPr>
        <w:spacing w:line="360" w:lineRule="auto"/>
        <w:ind w:firstLine="482" w:firstLineChars="200"/>
        <w:outlineLvl w:val="0"/>
        <w:rPr>
          <w:rFonts w:hint="eastAsia" w:ascii="宋体" w:hAnsi="宋体" w:eastAsia="宋体" w:cs="宋体"/>
          <w:b/>
          <w:bCs/>
          <w:kern w:val="2"/>
          <w:sz w:val="24"/>
          <w:szCs w:val="24"/>
          <w:lang w:val="en-US" w:eastAsia="zh-CN" w:bidi="ar-SA"/>
        </w:rPr>
      </w:pPr>
    </w:p>
    <w:p w14:paraId="2BB15468">
      <w:pPr>
        <w:pStyle w:val="14"/>
        <w:numPr>
          <w:ilvl w:val="0"/>
          <w:numId w:val="0"/>
        </w:numPr>
        <w:spacing w:line="360" w:lineRule="auto"/>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w:t>
      </w:r>
      <w:r>
        <w:rPr>
          <w:rFonts w:hint="eastAsia" w:hAnsi="宋体" w:eastAsia="宋体" w:cs="宋体"/>
          <w:b/>
          <w:bCs/>
          <w:kern w:val="2"/>
          <w:sz w:val="24"/>
          <w:szCs w:val="24"/>
          <w:lang w:val="en-US" w:eastAsia="zh-CN" w:bidi="ar-SA"/>
        </w:rPr>
        <w:t>4</w:t>
      </w:r>
      <w:r>
        <w:rPr>
          <w:rFonts w:hint="eastAsia" w:ascii="宋体" w:hAnsi="宋体" w:eastAsia="宋体" w:cs="宋体"/>
          <w:b/>
          <w:bCs/>
          <w:kern w:val="2"/>
          <w:sz w:val="24"/>
          <w:szCs w:val="24"/>
          <w:lang w:val="en-US" w:eastAsia="zh-CN" w:bidi="ar-SA"/>
        </w:rPr>
        <w:t>消防自动灭火与声光报警系统</w:t>
      </w:r>
      <w:r>
        <w:rPr>
          <w:rFonts w:hint="eastAsia" w:hAnsi="宋体" w:cs="宋体"/>
          <w:b/>
          <w:bCs/>
          <w:kern w:val="2"/>
          <w:sz w:val="24"/>
          <w:szCs w:val="24"/>
          <w:lang w:val="en-US" w:eastAsia="zh-CN" w:bidi="ar-SA"/>
        </w:rPr>
        <w:t>技术</w:t>
      </w:r>
      <w:r>
        <w:rPr>
          <w:rFonts w:hint="eastAsia" w:ascii="宋体" w:hAnsi="宋体" w:eastAsia="宋体" w:cs="宋体"/>
          <w:b/>
          <w:bCs/>
          <w:kern w:val="2"/>
          <w:sz w:val="24"/>
          <w:szCs w:val="24"/>
          <w:lang w:val="en-US" w:eastAsia="zh-CN" w:bidi="ar-SA"/>
        </w:rPr>
        <w:t>要求</w:t>
      </w:r>
    </w:p>
    <w:p w14:paraId="00ECD9D7">
      <w:pPr>
        <w:pStyle w:val="14"/>
        <w:spacing w:line="360" w:lineRule="auto"/>
        <w:ind w:firstLine="420" w:firstLineChars="200"/>
        <w:rPr>
          <w:rFonts w:hint="eastAsia" w:ascii="宋体" w:hAnsi="宋体" w:eastAsia="宋体" w:cs="宋体"/>
          <w:kern w:val="2"/>
          <w:sz w:val="21"/>
          <w:lang w:val="en-US" w:eastAsia="zh-CN" w:bidi="ar-SA"/>
        </w:rPr>
      </w:pPr>
      <w:r>
        <w:rPr>
          <w:rFonts w:hint="eastAsia" w:hAnsi="宋体" w:cs="宋体"/>
          <w:kern w:val="2"/>
          <w:sz w:val="21"/>
          <w:lang w:val="en-US" w:eastAsia="zh-CN" w:bidi="ar-SA"/>
        </w:rPr>
        <w:t>1、</w:t>
      </w:r>
      <w:r>
        <w:rPr>
          <w:rFonts w:hint="eastAsia" w:ascii="宋体" w:hAnsi="宋体" w:eastAsia="宋体" w:cs="宋体"/>
          <w:kern w:val="2"/>
          <w:sz w:val="21"/>
          <w:lang w:val="en-US" w:eastAsia="zh-CN" w:bidi="ar-SA"/>
        </w:rPr>
        <w:t>悬挂式4KG超细干粉喷淋装置6套。</w:t>
      </w:r>
    </w:p>
    <w:p w14:paraId="6B230BE1">
      <w:pPr>
        <w:pStyle w:val="14"/>
        <w:spacing w:line="360" w:lineRule="auto"/>
        <w:ind w:firstLine="420" w:firstLineChars="200"/>
        <w:rPr>
          <w:rFonts w:hint="eastAsia" w:ascii="宋体" w:hAnsi="宋体" w:eastAsia="宋体" w:cs="宋体"/>
          <w:kern w:val="2"/>
          <w:sz w:val="21"/>
          <w:lang w:val="en-US" w:eastAsia="zh-CN" w:bidi="ar-SA"/>
        </w:rPr>
      </w:pPr>
      <w:r>
        <w:rPr>
          <w:rFonts w:hint="eastAsia" w:hAnsi="宋体" w:cs="宋体"/>
          <w:kern w:val="2"/>
          <w:sz w:val="21"/>
          <w:lang w:val="en-US" w:eastAsia="zh-CN" w:bidi="ar-SA"/>
        </w:rPr>
        <w:t>2、</w:t>
      </w:r>
      <w:r>
        <w:rPr>
          <w:rFonts w:hint="eastAsia" w:ascii="宋体" w:hAnsi="宋体" w:eastAsia="宋体" w:cs="宋体"/>
          <w:kern w:val="2"/>
          <w:sz w:val="21"/>
          <w:lang w:val="en-US" w:eastAsia="zh-CN" w:bidi="ar-SA"/>
        </w:rPr>
        <w:t>启动逻辑：烟感+高温双重触发，68℃感温玻璃球启动，报警延时30秒后全域自动喷射干粉灭火。</w:t>
      </w:r>
    </w:p>
    <w:p w14:paraId="70D62305">
      <w:pPr>
        <w:pStyle w:val="14"/>
        <w:spacing w:line="360" w:lineRule="auto"/>
        <w:ind w:firstLine="420" w:firstLineChars="200"/>
        <w:rPr>
          <w:rFonts w:hint="eastAsia" w:ascii="宋体" w:hAnsi="宋体" w:eastAsia="宋体" w:cs="宋体"/>
          <w:kern w:val="2"/>
          <w:sz w:val="21"/>
          <w:lang w:val="en-US" w:eastAsia="zh-CN" w:bidi="ar-SA"/>
        </w:rPr>
      </w:pPr>
      <w:r>
        <w:rPr>
          <w:rFonts w:hint="eastAsia" w:hAnsi="宋体" w:cs="宋体"/>
          <w:kern w:val="2"/>
          <w:sz w:val="21"/>
          <w:lang w:val="en-US" w:eastAsia="zh-CN" w:bidi="ar-SA"/>
        </w:rPr>
        <w:t>3、</w:t>
      </w:r>
      <w:r>
        <w:rPr>
          <w:rFonts w:hint="eastAsia" w:ascii="宋体" w:hAnsi="宋体" w:eastAsia="宋体" w:cs="宋体"/>
          <w:kern w:val="2"/>
          <w:sz w:val="21"/>
          <w:lang w:val="en-US" w:eastAsia="zh-CN" w:bidi="ar-SA"/>
        </w:rPr>
        <w:t>覆盖要求：喷淋范围无贮存死角，适配各类有机危废火情。</w:t>
      </w:r>
    </w:p>
    <w:p w14:paraId="25085700">
      <w:pPr>
        <w:pStyle w:val="14"/>
        <w:spacing w:line="360" w:lineRule="auto"/>
        <w:ind w:firstLine="420" w:firstLineChars="200"/>
        <w:rPr>
          <w:rFonts w:hint="eastAsia" w:ascii="宋体" w:hAnsi="宋体" w:eastAsia="宋体" w:cs="宋体"/>
          <w:kern w:val="2"/>
          <w:sz w:val="21"/>
          <w:lang w:val="en-US" w:eastAsia="zh-CN" w:bidi="ar-SA"/>
        </w:rPr>
      </w:pPr>
      <w:r>
        <w:rPr>
          <w:rFonts w:hint="eastAsia" w:hAnsi="宋体" w:cs="宋体"/>
          <w:kern w:val="2"/>
          <w:sz w:val="21"/>
          <w:lang w:val="en-US" w:eastAsia="zh-CN" w:bidi="ar-SA"/>
        </w:rPr>
        <w:t>4、</w:t>
      </w:r>
      <w:r>
        <w:rPr>
          <w:rFonts w:hint="eastAsia" w:ascii="宋体" w:hAnsi="宋体" w:eastAsia="宋体" w:cs="宋体"/>
          <w:kern w:val="2"/>
          <w:sz w:val="21"/>
          <w:lang w:val="en-US" w:eastAsia="zh-CN" w:bidi="ar-SA"/>
        </w:rPr>
        <w:t>联动逻辑：火情触发同步启动防爆声光报警、全部排烟风机。</w:t>
      </w:r>
    </w:p>
    <w:p w14:paraId="250D4061">
      <w:pPr>
        <w:pStyle w:val="14"/>
        <w:spacing w:line="360" w:lineRule="auto"/>
        <w:rPr>
          <w:rFonts w:hint="default" w:ascii="宋体" w:hAnsi="宋体" w:eastAsia="宋体" w:cs="宋体"/>
          <w:kern w:val="2"/>
          <w:sz w:val="21"/>
          <w:lang w:val="en-US" w:eastAsia="zh-CN" w:bidi="ar-SA"/>
        </w:rPr>
      </w:pPr>
    </w:p>
    <w:p w14:paraId="6800489B">
      <w:pPr>
        <w:pStyle w:val="14"/>
        <w:spacing w:line="360" w:lineRule="auto"/>
        <w:ind w:firstLine="480" w:firstLineChars="200"/>
        <w:rPr>
          <w:rFonts w:hint="eastAsia" w:ascii="黑体" w:hAnsi="黑体" w:eastAsia="黑体"/>
          <w:b w:val="0"/>
          <w:bCs w:val="0"/>
          <w:sz w:val="24"/>
          <w:szCs w:val="24"/>
        </w:rPr>
      </w:pPr>
    </w:p>
    <w:p w14:paraId="73342439">
      <w:pPr>
        <w:pStyle w:val="14"/>
        <w:numPr>
          <w:ilvl w:val="0"/>
          <w:numId w:val="0"/>
        </w:numPr>
        <w:spacing w:line="360" w:lineRule="auto"/>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w:t>
      </w:r>
      <w:r>
        <w:rPr>
          <w:rFonts w:hint="eastAsia" w:hAnsi="宋体" w:cs="宋体"/>
          <w:b/>
          <w:bCs/>
          <w:kern w:val="2"/>
          <w:sz w:val="24"/>
          <w:szCs w:val="24"/>
          <w:lang w:val="en-US" w:eastAsia="zh-CN" w:bidi="ar-SA"/>
        </w:rPr>
        <w:t>5</w:t>
      </w:r>
      <w:r>
        <w:rPr>
          <w:rFonts w:hint="eastAsia" w:ascii="宋体" w:hAnsi="宋体" w:eastAsia="宋体" w:cs="宋体"/>
          <w:b/>
          <w:bCs/>
          <w:kern w:val="2"/>
          <w:sz w:val="24"/>
          <w:szCs w:val="24"/>
          <w:lang w:val="en-US" w:eastAsia="zh-CN" w:bidi="ar-SA"/>
        </w:rPr>
        <w:t>防爆环境监测传感器系统</w:t>
      </w:r>
      <w:r>
        <w:rPr>
          <w:rFonts w:hint="eastAsia" w:hAnsi="宋体" w:cs="宋体"/>
          <w:b/>
          <w:bCs/>
          <w:kern w:val="2"/>
          <w:sz w:val="24"/>
          <w:szCs w:val="24"/>
          <w:lang w:val="en-US" w:eastAsia="zh-CN" w:bidi="ar-SA"/>
        </w:rPr>
        <w:t>技术</w:t>
      </w:r>
      <w:r>
        <w:rPr>
          <w:rFonts w:hint="eastAsia" w:ascii="宋体" w:hAnsi="宋体" w:eastAsia="宋体" w:cs="宋体"/>
          <w:b/>
          <w:bCs/>
          <w:kern w:val="2"/>
          <w:sz w:val="24"/>
          <w:szCs w:val="24"/>
          <w:lang w:val="en-US" w:eastAsia="zh-CN" w:bidi="ar-SA"/>
        </w:rPr>
        <w:t>要求</w:t>
      </w:r>
    </w:p>
    <w:p w14:paraId="6492C53D">
      <w:pPr>
        <w:pStyle w:val="14"/>
        <w:spacing w:line="360" w:lineRule="auto"/>
        <w:ind w:firstLine="420" w:firstLineChars="200"/>
        <w:rPr>
          <w:rFonts w:hint="eastAsia" w:ascii="宋体" w:hAnsi="宋体" w:eastAsia="宋体" w:cs="宋体"/>
          <w:kern w:val="2"/>
          <w:sz w:val="21"/>
          <w:lang w:val="en-US" w:eastAsia="zh-CN" w:bidi="ar-SA"/>
        </w:rPr>
      </w:pPr>
      <w:r>
        <w:rPr>
          <w:rFonts w:hint="eastAsia" w:hAnsi="宋体" w:cs="宋体"/>
          <w:kern w:val="2"/>
          <w:sz w:val="21"/>
          <w:lang w:val="en-US" w:eastAsia="zh-CN" w:bidi="ar-SA"/>
        </w:rPr>
        <w:t>1、</w:t>
      </w:r>
      <w:r>
        <w:rPr>
          <w:rFonts w:hint="eastAsia" w:ascii="宋体" w:hAnsi="宋体" w:eastAsia="宋体" w:cs="宋体"/>
          <w:kern w:val="2"/>
          <w:sz w:val="21"/>
          <w:lang w:val="en-US" w:eastAsia="zh-CN" w:bidi="ar-SA"/>
        </w:rPr>
        <w:t>防爆烟感报警器6套，防爆Ex d(ib) IIBT6；检测到烟雾声光报警，联动风机排烟。</w:t>
      </w:r>
    </w:p>
    <w:p w14:paraId="64ADA6A2">
      <w:pPr>
        <w:pStyle w:val="14"/>
        <w:spacing w:line="360" w:lineRule="auto"/>
        <w:ind w:firstLine="420" w:firstLineChars="200"/>
        <w:rPr>
          <w:rFonts w:hint="eastAsia" w:ascii="宋体" w:hAnsi="宋体" w:eastAsia="宋体" w:cs="宋体"/>
          <w:kern w:val="2"/>
          <w:sz w:val="21"/>
          <w:lang w:val="en-US" w:eastAsia="zh-CN" w:bidi="ar-SA"/>
        </w:rPr>
      </w:pPr>
      <w:r>
        <w:rPr>
          <w:rFonts w:hint="eastAsia" w:hAnsi="宋体" w:cs="宋体"/>
          <w:kern w:val="2"/>
          <w:sz w:val="21"/>
          <w:lang w:val="en-US" w:eastAsia="zh-CN" w:bidi="ar-SA"/>
        </w:rPr>
        <w:t>2、</w:t>
      </w:r>
      <w:r>
        <w:rPr>
          <w:rFonts w:hint="eastAsia" w:ascii="宋体" w:hAnsi="宋体" w:eastAsia="宋体" w:cs="宋体"/>
          <w:kern w:val="2"/>
          <w:sz w:val="21"/>
          <w:lang w:val="en-US" w:eastAsia="zh-CN" w:bidi="ar-SA"/>
        </w:rPr>
        <w:t>防爆可燃气体探测器5套，防爆Ex d IIC T6 Gb，量程0~100%LEL；</w:t>
      </w:r>
      <w:r>
        <w:rPr>
          <w:rFonts w:hint="eastAsia" w:hAnsi="宋体" w:cs="宋体"/>
          <w:kern w:val="2"/>
          <w:sz w:val="21"/>
          <w:lang w:val="en-US" w:eastAsia="zh-CN" w:bidi="ar-SA"/>
        </w:rPr>
        <w:t>安装高度符合《石油化工可燃气体和有毒气体检测报警设计标准》第6.1条要求</w:t>
      </w:r>
      <w:r>
        <w:rPr>
          <w:rFonts w:hint="eastAsia" w:ascii="宋体" w:hAnsi="宋体" w:eastAsia="宋体" w:cs="宋体"/>
          <w:kern w:val="2"/>
          <w:sz w:val="21"/>
          <w:lang w:val="en-US" w:eastAsia="zh-CN" w:bidi="ar-SA"/>
        </w:rPr>
        <w:t>，超标自动报警排风。</w:t>
      </w:r>
    </w:p>
    <w:p w14:paraId="03508CBB">
      <w:pPr>
        <w:pStyle w:val="14"/>
        <w:spacing w:line="360" w:lineRule="auto"/>
        <w:ind w:firstLine="420" w:firstLineChars="200"/>
        <w:rPr>
          <w:rFonts w:hint="eastAsia" w:ascii="宋体" w:hAnsi="宋体" w:eastAsia="宋体" w:cs="宋体"/>
          <w:kern w:val="2"/>
          <w:sz w:val="21"/>
          <w:lang w:val="en-US" w:eastAsia="zh-CN" w:bidi="ar-SA"/>
        </w:rPr>
      </w:pPr>
      <w:r>
        <w:rPr>
          <w:rFonts w:hint="eastAsia" w:hAnsi="宋体" w:cs="宋体"/>
          <w:kern w:val="2"/>
          <w:sz w:val="21"/>
          <w:lang w:val="en-US" w:eastAsia="zh-CN" w:bidi="ar-SA"/>
        </w:rPr>
        <w:t>3、</w:t>
      </w:r>
      <w:r>
        <w:rPr>
          <w:rFonts w:hint="eastAsia" w:ascii="宋体" w:hAnsi="宋体" w:eastAsia="宋体" w:cs="宋体"/>
          <w:kern w:val="2"/>
          <w:sz w:val="21"/>
          <w:lang w:val="en-US" w:eastAsia="zh-CN" w:bidi="ar-SA"/>
        </w:rPr>
        <w:t>防爆温湿度探测器5套，防爆Ex db IIC T6 / Ex tb IIIC T80℃Db；温湿度超限联动防爆空调启停。</w:t>
      </w:r>
    </w:p>
    <w:p w14:paraId="49102468">
      <w:pPr>
        <w:pStyle w:val="14"/>
        <w:spacing w:line="360" w:lineRule="auto"/>
        <w:ind w:firstLine="420" w:firstLineChars="200"/>
        <w:rPr>
          <w:rFonts w:hint="eastAsia" w:ascii="宋体" w:hAnsi="宋体" w:eastAsia="宋体" w:cs="宋体"/>
          <w:kern w:val="2"/>
          <w:sz w:val="21"/>
          <w:lang w:val="en-US" w:eastAsia="zh-CN" w:bidi="ar-SA"/>
        </w:rPr>
      </w:pPr>
      <w:r>
        <w:rPr>
          <w:rFonts w:hint="eastAsia" w:hAnsi="宋体" w:cs="宋体"/>
          <w:kern w:val="2"/>
          <w:sz w:val="21"/>
          <w:lang w:val="en-US" w:eastAsia="zh-CN" w:bidi="ar-SA"/>
        </w:rPr>
        <w:t>4、</w:t>
      </w:r>
      <w:r>
        <w:rPr>
          <w:rFonts w:hint="eastAsia" w:ascii="宋体" w:hAnsi="宋体" w:eastAsia="宋体" w:cs="宋体"/>
          <w:kern w:val="2"/>
          <w:sz w:val="21"/>
          <w:lang w:val="en-US" w:eastAsia="zh-CN" w:bidi="ar-SA"/>
        </w:rPr>
        <w:t>数据存储：所有传感器实时数据统一接入PLC控制柜，支持历史数据查询、导出。</w:t>
      </w:r>
    </w:p>
    <w:p w14:paraId="690F558C">
      <w:pPr>
        <w:pStyle w:val="14"/>
        <w:spacing w:line="360" w:lineRule="auto"/>
        <w:ind w:firstLine="420" w:firstLineChars="200"/>
        <w:rPr>
          <w:rFonts w:hint="eastAsia" w:ascii="宋体" w:hAnsi="宋体" w:eastAsia="宋体" w:cs="宋体"/>
          <w:kern w:val="2"/>
          <w:sz w:val="21"/>
          <w:lang w:val="en-US" w:eastAsia="zh-CN" w:bidi="ar-SA"/>
        </w:rPr>
      </w:pPr>
      <w:r>
        <w:rPr>
          <w:rFonts w:hint="eastAsia" w:hAnsi="宋体" w:cs="宋体"/>
          <w:kern w:val="2"/>
          <w:sz w:val="21"/>
          <w:lang w:val="en-US" w:eastAsia="zh-CN" w:bidi="ar-SA"/>
        </w:rPr>
        <w:t>5、</w:t>
      </w:r>
      <w:r>
        <w:rPr>
          <w:rFonts w:hint="eastAsia" w:ascii="宋体" w:hAnsi="宋体" w:eastAsia="宋体" w:cs="宋体"/>
          <w:kern w:val="2"/>
          <w:sz w:val="21"/>
          <w:lang w:val="en-US" w:eastAsia="zh-CN" w:bidi="ar-SA"/>
        </w:rPr>
        <w:t>资质要求：全部传感器附带第三方防爆检测证书。</w:t>
      </w:r>
    </w:p>
    <w:p w14:paraId="2AEFBC8A">
      <w:pPr>
        <w:pStyle w:val="14"/>
        <w:spacing w:line="360" w:lineRule="auto"/>
        <w:rPr>
          <w:rFonts w:hint="eastAsia" w:ascii="宋体" w:hAnsi="宋体" w:eastAsia="宋体" w:cs="宋体"/>
          <w:kern w:val="2"/>
          <w:sz w:val="21"/>
          <w:lang w:val="en-US" w:eastAsia="zh-CN" w:bidi="ar-SA"/>
        </w:rPr>
      </w:pPr>
    </w:p>
    <w:p w14:paraId="3A07C686">
      <w:pPr>
        <w:pStyle w:val="14"/>
        <w:numPr>
          <w:ilvl w:val="0"/>
          <w:numId w:val="0"/>
        </w:numPr>
        <w:spacing w:line="360" w:lineRule="auto"/>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w:t>
      </w:r>
      <w:r>
        <w:rPr>
          <w:rFonts w:hint="eastAsia" w:hAnsi="宋体" w:cs="宋体"/>
          <w:b/>
          <w:bCs/>
          <w:kern w:val="2"/>
          <w:sz w:val="24"/>
          <w:szCs w:val="24"/>
          <w:lang w:val="en-US" w:eastAsia="zh-CN" w:bidi="ar-SA"/>
        </w:rPr>
        <w:t>6</w:t>
      </w:r>
      <w:r>
        <w:rPr>
          <w:rFonts w:hint="eastAsia" w:ascii="宋体" w:hAnsi="宋体" w:eastAsia="宋体" w:cs="宋体"/>
          <w:b/>
          <w:bCs/>
          <w:kern w:val="2"/>
          <w:sz w:val="24"/>
          <w:szCs w:val="24"/>
          <w:lang w:val="en-US" w:eastAsia="zh-CN" w:bidi="ar-SA"/>
        </w:rPr>
        <w:t>防爆视频监控系统</w:t>
      </w:r>
      <w:r>
        <w:rPr>
          <w:rFonts w:hint="eastAsia" w:hAnsi="宋体" w:cs="宋体"/>
          <w:b/>
          <w:bCs/>
          <w:kern w:val="2"/>
          <w:sz w:val="24"/>
          <w:szCs w:val="24"/>
          <w:lang w:val="en-US" w:eastAsia="zh-CN" w:bidi="ar-SA"/>
        </w:rPr>
        <w:t>技术</w:t>
      </w:r>
      <w:r>
        <w:rPr>
          <w:rFonts w:hint="eastAsia" w:ascii="宋体" w:hAnsi="宋体" w:eastAsia="宋体" w:cs="宋体"/>
          <w:b/>
          <w:bCs/>
          <w:kern w:val="2"/>
          <w:sz w:val="24"/>
          <w:szCs w:val="24"/>
          <w:lang w:val="en-US" w:eastAsia="zh-CN" w:bidi="ar-SA"/>
        </w:rPr>
        <w:t>要求</w:t>
      </w:r>
    </w:p>
    <w:p w14:paraId="65D5A53A">
      <w:pPr>
        <w:pStyle w:val="14"/>
        <w:spacing w:line="360" w:lineRule="auto"/>
        <w:ind w:firstLine="420" w:firstLineChars="200"/>
        <w:rPr>
          <w:rFonts w:hint="eastAsia" w:ascii="宋体" w:hAnsi="宋体" w:eastAsia="宋体" w:cs="宋体"/>
          <w:kern w:val="2"/>
          <w:sz w:val="21"/>
          <w:lang w:val="en-US" w:eastAsia="zh-CN" w:bidi="ar-SA"/>
        </w:rPr>
      </w:pPr>
      <w:r>
        <w:rPr>
          <w:rFonts w:hint="eastAsia" w:hAnsi="宋体" w:cs="宋体"/>
          <w:kern w:val="2"/>
          <w:sz w:val="21"/>
          <w:lang w:val="en-US" w:eastAsia="zh-CN" w:bidi="ar-SA"/>
        </w:rPr>
        <w:t>1、</w:t>
      </w:r>
      <w:r>
        <w:rPr>
          <w:rFonts w:hint="eastAsia" w:ascii="宋体" w:hAnsi="宋体" w:eastAsia="宋体" w:cs="宋体"/>
          <w:kern w:val="2"/>
          <w:sz w:val="21"/>
          <w:lang w:val="en-US" w:eastAsia="zh-CN" w:bidi="ar-SA"/>
        </w:rPr>
        <w:t>箱内防爆摄像机3套，防爆Ex db IIC T6 Gb，1080P高清，带火焰识别功能</w:t>
      </w:r>
      <w:r>
        <w:rPr>
          <w:rFonts w:hint="eastAsia" w:hAnsi="宋体" w:cs="宋体"/>
          <w:kern w:val="2"/>
          <w:sz w:val="21"/>
          <w:lang w:val="en-US" w:eastAsia="zh-CN" w:bidi="ar-SA"/>
        </w:rPr>
        <w:t>，</w:t>
      </w:r>
      <w:r>
        <w:rPr>
          <w:rFonts w:hint="eastAsia" w:ascii="宋体" w:hAnsi="宋体" w:eastAsia="宋体" w:cs="宋体"/>
          <w:kern w:val="2"/>
          <w:sz w:val="21"/>
          <w:lang w:val="en-US" w:eastAsia="zh-CN" w:bidi="ar-SA"/>
        </w:rPr>
        <w:t>箱内无监控盲区。</w:t>
      </w:r>
    </w:p>
    <w:p w14:paraId="1B4BD36D">
      <w:pPr>
        <w:pStyle w:val="14"/>
        <w:spacing w:line="360" w:lineRule="auto"/>
        <w:ind w:firstLine="420" w:firstLineChars="200"/>
        <w:rPr>
          <w:rFonts w:hint="eastAsia" w:ascii="宋体" w:hAnsi="宋体" w:eastAsia="宋体" w:cs="宋体"/>
          <w:kern w:val="2"/>
          <w:sz w:val="21"/>
          <w:lang w:val="en-US" w:eastAsia="zh-CN" w:bidi="ar-SA"/>
        </w:rPr>
      </w:pPr>
      <w:r>
        <w:rPr>
          <w:rFonts w:hint="eastAsia" w:hAnsi="宋体" w:cs="宋体"/>
          <w:kern w:val="2"/>
          <w:sz w:val="21"/>
          <w:lang w:val="en-US" w:eastAsia="zh-CN" w:bidi="ar-SA"/>
        </w:rPr>
        <w:t>2、</w:t>
      </w:r>
      <w:r>
        <w:rPr>
          <w:rFonts w:hint="eastAsia" w:ascii="宋体" w:hAnsi="宋体" w:eastAsia="宋体" w:cs="宋体"/>
          <w:kern w:val="2"/>
          <w:sz w:val="21"/>
          <w:lang w:val="en-US" w:eastAsia="zh-CN" w:bidi="ar-SA"/>
        </w:rPr>
        <w:t>拓展接口：预留标准网络接口，可无缝对接厂区</w:t>
      </w:r>
      <w:r>
        <w:rPr>
          <w:rFonts w:hint="eastAsia" w:hAnsi="宋体" w:cs="宋体"/>
          <w:kern w:val="2"/>
          <w:sz w:val="21"/>
          <w:lang w:val="en-US" w:eastAsia="zh-CN" w:bidi="ar-SA"/>
        </w:rPr>
        <w:t>消防中控室</w:t>
      </w:r>
      <w:r>
        <w:rPr>
          <w:rFonts w:hint="eastAsia" w:ascii="宋体" w:hAnsi="宋体" w:eastAsia="宋体" w:cs="宋体"/>
          <w:kern w:val="2"/>
          <w:sz w:val="21"/>
          <w:lang w:val="en-US" w:eastAsia="zh-CN" w:bidi="ar-SA"/>
        </w:rPr>
        <w:t>监控平台。</w:t>
      </w:r>
    </w:p>
    <w:p w14:paraId="2DE3D8A8">
      <w:pPr>
        <w:pStyle w:val="14"/>
        <w:spacing w:line="360" w:lineRule="auto"/>
        <w:ind w:firstLine="420" w:firstLineChars="200"/>
        <w:rPr>
          <w:rFonts w:hint="eastAsia" w:ascii="宋体" w:hAnsi="宋体" w:eastAsia="宋体" w:cs="宋体"/>
          <w:kern w:val="2"/>
          <w:sz w:val="21"/>
          <w:lang w:val="en-US" w:eastAsia="zh-CN" w:bidi="ar-SA"/>
        </w:rPr>
      </w:pPr>
      <w:r>
        <w:rPr>
          <w:rFonts w:hint="eastAsia" w:hAnsi="宋体" w:cs="宋体"/>
          <w:kern w:val="2"/>
          <w:sz w:val="21"/>
          <w:lang w:val="en-US" w:eastAsia="zh-CN" w:bidi="ar-SA"/>
        </w:rPr>
        <w:t>3、</w:t>
      </w:r>
      <w:r>
        <w:rPr>
          <w:rFonts w:hint="eastAsia" w:ascii="宋体" w:hAnsi="宋体" w:eastAsia="宋体" w:cs="宋体"/>
          <w:kern w:val="2"/>
          <w:sz w:val="21"/>
          <w:lang w:val="en-US" w:eastAsia="zh-CN" w:bidi="ar-SA"/>
        </w:rPr>
        <w:t>存储功能：本地录像保存，支持历史回放查询。</w:t>
      </w:r>
    </w:p>
    <w:p w14:paraId="139422CF">
      <w:pPr>
        <w:pStyle w:val="14"/>
        <w:spacing w:line="360" w:lineRule="auto"/>
        <w:ind w:firstLine="420" w:firstLineChars="200"/>
        <w:rPr>
          <w:rFonts w:hint="eastAsia" w:ascii="宋体" w:hAnsi="宋体" w:eastAsia="宋体" w:cs="宋体"/>
          <w:kern w:val="2"/>
          <w:sz w:val="21"/>
          <w:lang w:val="en-US" w:eastAsia="zh-CN" w:bidi="ar-SA"/>
        </w:rPr>
      </w:pPr>
      <w:r>
        <w:rPr>
          <w:rFonts w:hint="eastAsia" w:hAnsi="宋体" w:cs="宋体"/>
          <w:kern w:val="2"/>
          <w:sz w:val="21"/>
          <w:lang w:val="en-US" w:eastAsia="zh-CN" w:bidi="ar-SA"/>
        </w:rPr>
        <w:t>4、</w:t>
      </w:r>
      <w:r>
        <w:rPr>
          <w:rFonts w:hint="eastAsia" w:ascii="宋体" w:hAnsi="宋体" w:eastAsia="宋体" w:cs="宋体"/>
          <w:kern w:val="2"/>
          <w:sz w:val="21"/>
          <w:lang w:val="en-US" w:eastAsia="zh-CN" w:bidi="ar-SA"/>
        </w:rPr>
        <w:t>防爆摄像机需要引线至配电箱，配备交换机，便于连接主机。</w:t>
      </w:r>
    </w:p>
    <w:p w14:paraId="7370E2DB">
      <w:pPr>
        <w:pStyle w:val="14"/>
        <w:spacing w:line="360" w:lineRule="auto"/>
        <w:rPr>
          <w:rFonts w:hint="eastAsia" w:ascii="宋体" w:hAnsi="宋体" w:eastAsia="宋体" w:cs="宋体"/>
          <w:kern w:val="2"/>
          <w:sz w:val="21"/>
          <w:lang w:val="en-US" w:eastAsia="zh-CN" w:bidi="ar-SA"/>
        </w:rPr>
      </w:pPr>
    </w:p>
    <w:p w14:paraId="05A4D5DD">
      <w:pPr>
        <w:pStyle w:val="14"/>
        <w:numPr>
          <w:ilvl w:val="0"/>
          <w:numId w:val="0"/>
        </w:numPr>
        <w:spacing w:line="360" w:lineRule="auto"/>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w:t>
      </w:r>
      <w:r>
        <w:rPr>
          <w:rFonts w:hint="eastAsia" w:hAnsi="宋体" w:cs="宋体"/>
          <w:b/>
          <w:bCs/>
          <w:kern w:val="2"/>
          <w:sz w:val="24"/>
          <w:szCs w:val="24"/>
          <w:lang w:val="en-US" w:eastAsia="zh-CN" w:bidi="ar-SA"/>
        </w:rPr>
        <w:t>7</w:t>
      </w:r>
      <w:r>
        <w:rPr>
          <w:rFonts w:hint="eastAsia" w:ascii="宋体" w:hAnsi="宋体" w:eastAsia="宋体" w:cs="宋体"/>
          <w:b/>
          <w:bCs/>
          <w:kern w:val="2"/>
          <w:sz w:val="24"/>
          <w:szCs w:val="24"/>
          <w:lang w:val="en-US" w:eastAsia="zh-CN" w:bidi="ar-SA"/>
        </w:rPr>
        <w:t>防泄漏防渗集液系统</w:t>
      </w:r>
      <w:r>
        <w:rPr>
          <w:rFonts w:hint="eastAsia" w:hAnsi="宋体" w:cs="宋体"/>
          <w:b/>
          <w:bCs/>
          <w:kern w:val="2"/>
          <w:sz w:val="24"/>
          <w:szCs w:val="24"/>
          <w:lang w:val="en-US" w:eastAsia="zh-CN" w:bidi="ar-SA"/>
        </w:rPr>
        <w:t>技术</w:t>
      </w:r>
      <w:r>
        <w:rPr>
          <w:rFonts w:hint="eastAsia" w:ascii="宋体" w:hAnsi="宋体" w:eastAsia="宋体" w:cs="宋体"/>
          <w:b/>
          <w:bCs/>
          <w:kern w:val="2"/>
          <w:sz w:val="24"/>
          <w:szCs w:val="24"/>
          <w:lang w:val="en-US" w:eastAsia="zh-CN" w:bidi="ar-SA"/>
        </w:rPr>
        <w:t>要求</w:t>
      </w:r>
    </w:p>
    <w:p w14:paraId="297B9348">
      <w:pPr>
        <w:pStyle w:val="14"/>
        <w:spacing w:line="360" w:lineRule="auto"/>
        <w:ind w:firstLine="420" w:firstLineChars="200"/>
        <w:rPr>
          <w:rFonts w:hint="eastAsia" w:ascii="宋体" w:hAnsi="宋体" w:eastAsia="宋体" w:cs="宋体"/>
          <w:kern w:val="2"/>
          <w:sz w:val="21"/>
          <w:lang w:val="en-US" w:eastAsia="zh-CN" w:bidi="ar-SA"/>
        </w:rPr>
      </w:pPr>
      <w:r>
        <w:rPr>
          <w:rFonts w:hint="eastAsia" w:hAnsi="宋体" w:cs="宋体"/>
          <w:kern w:val="2"/>
          <w:sz w:val="21"/>
          <w:lang w:val="en-US" w:eastAsia="zh-CN" w:bidi="ar-SA"/>
        </w:rPr>
        <w:t>1、箱</w:t>
      </w:r>
      <w:r>
        <w:rPr>
          <w:rFonts w:hint="eastAsia" w:ascii="宋体" w:hAnsi="宋体" w:eastAsia="宋体" w:cs="宋体"/>
          <w:kern w:val="2"/>
          <w:sz w:val="21"/>
          <w:lang w:val="en-US" w:eastAsia="zh-CN" w:bidi="ar-SA"/>
        </w:rPr>
        <w:t>内全域防腐集液槽，上铺镀锌承重格栅，满足GB 18597防渗强制条款。</w:t>
      </w:r>
    </w:p>
    <w:p w14:paraId="4D546220">
      <w:pPr>
        <w:pStyle w:val="14"/>
        <w:spacing w:line="360" w:lineRule="auto"/>
        <w:ind w:firstLine="420" w:firstLineChars="200"/>
        <w:rPr>
          <w:rFonts w:hint="eastAsia" w:ascii="宋体" w:hAnsi="宋体" w:eastAsia="宋体" w:cs="宋体"/>
          <w:kern w:val="2"/>
          <w:sz w:val="21"/>
          <w:lang w:val="en-US" w:eastAsia="zh-CN" w:bidi="ar-SA"/>
        </w:rPr>
      </w:pPr>
      <w:r>
        <w:rPr>
          <w:rFonts w:hint="eastAsia" w:hAnsi="宋体" w:cs="宋体"/>
          <w:kern w:val="2"/>
          <w:sz w:val="21"/>
          <w:lang w:val="en-US" w:eastAsia="zh-CN" w:bidi="ar-SA"/>
        </w:rPr>
        <w:t>2、</w:t>
      </w:r>
      <w:r>
        <w:rPr>
          <w:rFonts w:hint="eastAsia" w:ascii="宋体" w:hAnsi="宋体" w:eastAsia="宋体" w:cs="宋体"/>
          <w:kern w:val="2"/>
          <w:sz w:val="21"/>
          <w:lang w:val="en-US" w:eastAsia="zh-CN" w:bidi="ar-SA"/>
        </w:rPr>
        <w:t>集液外侧配置带阀门废液排放口，可集中导出泄漏危废液体。</w:t>
      </w:r>
    </w:p>
    <w:p w14:paraId="47357C82">
      <w:pPr>
        <w:pStyle w:val="14"/>
        <w:spacing w:line="360" w:lineRule="auto"/>
        <w:ind w:firstLine="420" w:firstLineChars="200"/>
        <w:rPr>
          <w:rFonts w:hint="eastAsia" w:ascii="宋体" w:hAnsi="宋体" w:eastAsia="宋体" w:cs="宋体"/>
          <w:kern w:val="2"/>
          <w:sz w:val="21"/>
          <w:lang w:val="en-US" w:eastAsia="zh-CN" w:bidi="ar-SA"/>
        </w:rPr>
      </w:pPr>
      <w:r>
        <w:rPr>
          <w:rFonts w:hint="eastAsia" w:hAnsi="宋体" w:cs="宋体"/>
          <w:kern w:val="2"/>
          <w:sz w:val="21"/>
          <w:lang w:val="en-US" w:eastAsia="zh-CN" w:bidi="ar-SA"/>
        </w:rPr>
        <w:t>3、</w:t>
      </w:r>
      <w:r>
        <w:rPr>
          <w:rFonts w:hint="eastAsia" w:ascii="宋体" w:hAnsi="宋体" w:eastAsia="宋体" w:cs="宋体"/>
          <w:kern w:val="2"/>
          <w:sz w:val="21"/>
          <w:lang w:val="en-US" w:eastAsia="zh-CN" w:bidi="ar-SA"/>
        </w:rPr>
        <w:t>底板工艺：整体无缝满焊，多层防腐涂层，耐酸碱、有机溶剂长期浸泡不渗漏。</w:t>
      </w:r>
    </w:p>
    <w:p w14:paraId="4CBDEEE9">
      <w:pPr>
        <w:pStyle w:val="14"/>
        <w:spacing w:line="360" w:lineRule="auto"/>
        <w:ind w:firstLine="420" w:firstLineChars="200"/>
        <w:rPr>
          <w:rFonts w:hint="eastAsia"/>
          <w:vertAlign w:val="baseline"/>
          <w:lang w:eastAsia="zh-CN"/>
        </w:rPr>
      </w:pPr>
      <w:r>
        <w:rPr>
          <w:rFonts w:hint="eastAsia" w:hAnsi="宋体" w:cs="宋体"/>
          <w:kern w:val="2"/>
          <w:sz w:val="21"/>
          <w:lang w:val="en-US" w:eastAsia="zh-CN" w:bidi="ar-SA"/>
        </w:rPr>
        <w:t>4、</w:t>
      </w:r>
      <w:r>
        <w:rPr>
          <w:rFonts w:hint="eastAsia"/>
          <w:vertAlign w:val="baseline"/>
        </w:rPr>
        <w:t>危废间沿边设计，不影响叉车工作</w:t>
      </w:r>
      <w:r>
        <w:rPr>
          <w:rFonts w:hint="eastAsia"/>
          <w:vertAlign w:val="baseline"/>
          <w:lang w:eastAsia="zh-CN"/>
        </w:rPr>
        <w:t>。</w:t>
      </w:r>
    </w:p>
    <w:p w14:paraId="09B16FA7">
      <w:pPr>
        <w:pStyle w:val="14"/>
        <w:spacing w:line="360" w:lineRule="auto"/>
        <w:ind w:firstLine="420" w:firstLineChars="200"/>
        <w:rPr>
          <w:rFonts w:hint="eastAsia"/>
          <w:vertAlign w:val="baseline"/>
          <w:lang w:val="en-US" w:eastAsia="zh-CN"/>
        </w:rPr>
      </w:pPr>
    </w:p>
    <w:p w14:paraId="3996DED0">
      <w:pPr>
        <w:pStyle w:val="14"/>
        <w:numPr>
          <w:ilvl w:val="0"/>
          <w:numId w:val="0"/>
        </w:numPr>
        <w:spacing w:line="360" w:lineRule="auto"/>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w:t>
      </w:r>
      <w:r>
        <w:rPr>
          <w:rFonts w:hint="eastAsia" w:hAnsi="宋体" w:cs="宋体"/>
          <w:b/>
          <w:bCs/>
          <w:kern w:val="2"/>
          <w:sz w:val="24"/>
          <w:szCs w:val="24"/>
          <w:lang w:val="en-US" w:eastAsia="zh-CN" w:bidi="ar-SA"/>
        </w:rPr>
        <w:t>8</w:t>
      </w:r>
      <w:r>
        <w:rPr>
          <w:rFonts w:hint="eastAsia" w:ascii="宋体" w:hAnsi="宋体" w:eastAsia="宋体" w:cs="宋体"/>
          <w:b/>
          <w:bCs/>
          <w:kern w:val="2"/>
          <w:sz w:val="24"/>
          <w:szCs w:val="24"/>
          <w:lang w:val="en-US" w:eastAsia="zh-CN" w:bidi="ar-SA"/>
        </w:rPr>
        <w:t>防静电、防雷、泄爆安全系统</w:t>
      </w:r>
      <w:r>
        <w:rPr>
          <w:rFonts w:hint="eastAsia" w:hAnsi="宋体" w:cs="宋体"/>
          <w:b/>
          <w:bCs/>
          <w:kern w:val="2"/>
          <w:sz w:val="24"/>
          <w:szCs w:val="24"/>
          <w:lang w:val="en-US" w:eastAsia="zh-CN" w:bidi="ar-SA"/>
        </w:rPr>
        <w:t>技术</w:t>
      </w:r>
      <w:r>
        <w:rPr>
          <w:rFonts w:hint="eastAsia" w:ascii="宋体" w:hAnsi="宋体" w:eastAsia="宋体" w:cs="宋体"/>
          <w:b/>
          <w:bCs/>
          <w:kern w:val="2"/>
          <w:sz w:val="24"/>
          <w:szCs w:val="24"/>
          <w:lang w:val="en-US" w:eastAsia="zh-CN" w:bidi="ar-SA"/>
        </w:rPr>
        <w:t>要求</w:t>
      </w:r>
    </w:p>
    <w:p w14:paraId="6E32D6E4">
      <w:pPr>
        <w:pStyle w:val="14"/>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1、防爆人体静电释放装置2套（Ex ia IIC T6 Ga），安装于箱门入口；设备整体连通专用接地桩，接地桩埋深≥0.8m。</w:t>
      </w:r>
    </w:p>
    <w:p w14:paraId="263C83AC">
      <w:pPr>
        <w:pStyle w:val="14"/>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2、等电位连接：箱体全部金属构件连通，形成完整防静电接地网络。</w:t>
      </w:r>
    </w:p>
    <w:p w14:paraId="0EACF23D">
      <w:pPr>
        <w:pStyle w:val="14"/>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3、箱顶自动泄爆窗口4套，规格300*400mm，执行EN 14797，箱内压力超标自动泄压，防止箱体炸裂。</w:t>
      </w:r>
    </w:p>
    <w:p w14:paraId="75B101B2">
      <w:pPr>
        <w:pStyle w:val="14"/>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4、独立不锈钢避雷针防雷系统1套，符合GB 50057规范。</w:t>
      </w:r>
    </w:p>
    <w:p w14:paraId="7C069D21">
      <w:pPr>
        <w:pStyle w:val="14"/>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5、配套全套防雷线缆、接地连接件。</w:t>
      </w:r>
    </w:p>
    <w:p w14:paraId="22195194">
      <w:pPr>
        <w:pStyle w:val="14"/>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6、提供泄爆片第三方压力检测报告。</w:t>
      </w:r>
    </w:p>
    <w:p w14:paraId="47909B04">
      <w:pPr>
        <w:pStyle w:val="14"/>
        <w:spacing w:line="360" w:lineRule="auto"/>
        <w:rPr>
          <w:rFonts w:hint="eastAsia" w:hAnsi="宋体" w:cs="宋体"/>
          <w:kern w:val="2"/>
          <w:sz w:val="21"/>
          <w:lang w:val="en-US" w:eastAsia="zh-CN" w:bidi="ar-SA"/>
        </w:rPr>
      </w:pPr>
    </w:p>
    <w:p w14:paraId="7D74E3D2">
      <w:pPr>
        <w:pStyle w:val="14"/>
        <w:numPr>
          <w:ilvl w:val="0"/>
          <w:numId w:val="0"/>
        </w:numPr>
        <w:spacing w:line="360" w:lineRule="auto"/>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w:t>
      </w:r>
      <w:r>
        <w:rPr>
          <w:rFonts w:hint="eastAsia" w:hAnsi="宋体" w:cs="宋体"/>
          <w:b/>
          <w:bCs/>
          <w:kern w:val="2"/>
          <w:sz w:val="24"/>
          <w:szCs w:val="24"/>
          <w:lang w:val="en-US" w:eastAsia="zh-CN" w:bidi="ar-SA"/>
        </w:rPr>
        <w:t>9</w:t>
      </w:r>
      <w:r>
        <w:rPr>
          <w:rFonts w:hint="eastAsia" w:ascii="宋体" w:hAnsi="宋体" w:eastAsia="宋体" w:cs="宋体"/>
          <w:b/>
          <w:bCs/>
          <w:kern w:val="2"/>
          <w:sz w:val="24"/>
          <w:szCs w:val="24"/>
          <w:lang w:val="en-US" w:eastAsia="zh-CN" w:bidi="ar-SA"/>
        </w:rPr>
        <w:t>防爆空调、照明及应急指示系统</w:t>
      </w:r>
      <w:r>
        <w:rPr>
          <w:rFonts w:hint="eastAsia" w:hAnsi="宋体" w:cs="宋体"/>
          <w:b/>
          <w:bCs/>
          <w:kern w:val="2"/>
          <w:sz w:val="24"/>
          <w:szCs w:val="24"/>
          <w:lang w:val="en-US" w:eastAsia="zh-CN" w:bidi="ar-SA"/>
        </w:rPr>
        <w:t>技术</w:t>
      </w:r>
      <w:r>
        <w:rPr>
          <w:rFonts w:hint="eastAsia" w:ascii="宋体" w:hAnsi="宋体" w:eastAsia="宋体" w:cs="宋体"/>
          <w:b/>
          <w:bCs/>
          <w:kern w:val="2"/>
          <w:sz w:val="24"/>
          <w:szCs w:val="24"/>
          <w:lang w:val="en-US" w:eastAsia="zh-CN" w:bidi="ar-SA"/>
        </w:rPr>
        <w:t>要求</w:t>
      </w:r>
    </w:p>
    <w:p w14:paraId="10577340">
      <w:pPr>
        <w:pStyle w:val="14"/>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1、1.5匹冷热变频防爆空调3台，防爆Ex db eb ib mb IIB T4 Gb，IP66防护，由PLC联动自动控温。</w:t>
      </w:r>
    </w:p>
    <w:p w14:paraId="0624EB4B">
      <w:pPr>
        <w:pStyle w:val="14"/>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2、防爆LED照明灯6套，Exd II CT6、IP65防护，箱内照明无死角。</w:t>
      </w:r>
    </w:p>
    <w:p w14:paraId="14679D1E">
      <w:pPr>
        <w:pStyle w:val="14"/>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3、防爆声光报警灯2套，Ex d IIC T5，超标高分贝现场警示。</w:t>
      </w:r>
    </w:p>
    <w:p w14:paraId="59D5B4C4">
      <w:pPr>
        <w:pStyle w:val="14"/>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4、防爆应急指示灯7套，Ex db IIB T6 Gb，断电自动点亮。</w:t>
      </w:r>
    </w:p>
    <w:p w14:paraId="62394D74">
      <w:pPr>
        <w:pStyle w:val="14"/>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5、空调、照明全部线路采用防爆管件密封敷设。</w:t>
      </w:r>
    </w:p>
    <w:p w14:paraId="368735AF">
      <w:pPr>
        <w:pStyle w:val="14"/>
        <w:spacing w:line="360" w:lineRule="auto"/>
        <w:ind w:firstLine="420" w:firstLineChars="200"/>
        <w:rPr>
          <w:rFonts w:hint="eastAsia" w:hAnsi="宋体" w:cs="宋体"/>
          <w:kern w:val="2"/>
          <w:sz w:val="21"/>
          <w:lang w:val="en-US" w:eastAsia="zh-CN" w:bidi="ar-SA"/>
        </w:rPr>
      </w:pPr>
    </w:p>
    <w:p w14:paraId="04C89BC7">
      <w:pPr>
        <w:pStyle w:val="14"/>
        <w:numPr>
          <w:ilvl w:val="0"/>
          <w:numId w:val="0"/>
        </w:numPr>
        <w:spacing w:line="360" w:lineRule="auto"/>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w:t>
      </w:r>
      <w:r>
        <w:rPr>
          <w:rFonts w:hint="eastAsia" w:hAnsi="宋体" w:cs="宋体"/>
          <w:b/>
          <w:bCs/>
          <w:kern w:val="2"/>
          <w:sz w:val="24"/>
          <w:szCs w:val="24"/>
          <w:lang w:val="en-US" w:eastAsia="zh-CN" w:bidi="ar-SA"/>
        </w:rPr>
        <w:t>10</w:t>
      </w:r>
      <w:r>
        <w:rPr>
          <w:rFonts w:hint="eastAsia" w:ascii="宋体" w:hAnsi="宋体" w:eastAsia="宋体" w:cs="宋体"/>
          <w:b/>
          <w:bCs/>
          <w:kern w:val="2"/>
          <w:sz w:val="24"/>
          <w:szCs w:val="24"/>
          <w:lang w:val="en-US" w:eastAsia="zh-CN" w:bidi="ar-SA"/>
        </w:rPr>
        <w:t>安全环保标识、标牌与说明要求</w:t>
      </w:r>
    </w:p>
    <w:p w14:paraId="57D5C637">
      <w:pPr>
        <w:pStyle w:val="14"/>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标识符合《危险废物贮存污染控制标准》、《危险废物识别标志设置技术规范》、《</w:t>
      </w:r>
      <w:r>
        <w:rPr>
          <w:rFonts w:hint="eastAsia" w:ascii="Times New Roman" w:hAnsi="Times New Roman" w:eastAsia="宋体" w:cs="Times New Roman"/>
          <w:lang w:val="en-US" w:eastAsia="zh-CN"/>
        </w:rPr>
        <w:t>安全色和安全标志</w:t>
      </w:r>
      <w:r>
        <w:rPr>
          <w:rFonts w:hint="eastAsia" w:hAnsi="宋体" w:cs="宋体"/>
          <w:kern w:val="2"/>
          <w:sz w:val="21"/>
          <w:lang w:val="en-US" w:eastAsia="zh-CN" w:bidi="ar-SA"/>
        </w:rPr>
        <w:t>》要求，包含危废储存间标识、污染防治责任制度、产生工艺流程图、组织架构图、应急预案、管理办法、责任信息公示牌、危废分区、储存设施标识及其他安全标识、专业规范的反光警示胶带，标识两年内不发生老化、褪色，共计2套。</w:t>
      </w:r>
    </w:p>
    <w:p w14:paraId="6279FC0F">
      <w:pPr>
        <w:pStyle w:val="14"/>
        <w:spacing w:line="360" w:lineRule="auto"/>
        <w:ind w:firstLine="420" w:firstLineChars="200"/>
        <w:rPr>
          <w:rFonts w:hint="eastAsia" w:hAnsi="宋体" w:cs="宋体"/>
          <w:kern w:val="2"/>
          <w:sz w:val="21"/>
          <w:lang w:val="en-US" w:eastAsia="zh-CN" w:bidi="ar-SA"/>
        </w:rPr>
      </w:pPr>
    </w:p>
    <w:p w14:paraId="54E91D6E">
      <w:pPr>
        <w:pStyle w:val="14"/>
        <w:numPr>
          <w:ilvl w:val="0"/>
          <w:numId w:val="0"/>
        </w:numPr>
        <w:spacing w:line="360" w:lineRule="auto"/>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w:t>
      </w:r>
      <w:r>
        <w:rPr>
          <w:rFonts w:hint="eastAsia" w:hAnsi="宋体" w:cs="宋体"/>
          <w:b/>
          <w:bCs/>
          <w:kern w:val="2"/>
          <w:sz w:val="24"/>
          <w:szCs w:val="24"/>
          <w:lang w:val="en-US" w:eastAsia="zh-CN" w:bidi="ar-SA"/>
        </w:rPr>
        <w:t>11</w:t>
      </w:r>
      <w:r>
        <w:rPr>
          <w:rFonts w:hint="eastAsia" w:ascii="宋体" w:hAnsi="宋体" w:eastAsia="宋体" w:cs="宋体"/>
          <w:b/>
          <w:bCs/>
          <w:kern w:val="2"/>
          <w:sz w:val="24"/>
          <w:szCs w:val="24"/>
          <w:lang w:val="en-US" w:eastAsia="zh-CN" w:bidi="ar-SA"/>
        </w:rPr>
        <w:t>洗眼器</w:t>
      </w:r>
      <w:r>
        <w:rPr>
          <w:rFonts w:hint="eastAsia" w:hAnsi="宋体" w:cs="宋体"/>
          <w:b/>
          <w:bCs/>
          <w:kern w:val="2"/>
          <w:sz w:val="24"/>
          <w:szCs w:val="24"/>
          <w:lang w:val="en-US" w:eastAsia="zh-CN" w:bidi="ar-SA"/>
        </w:rPr>
        <w:t>技术</w:t>
      </w:r>
      <w:r>
        <w:rPr>
          <w:rFonts w:hint="eastAsia" w:ascii="宋体" w:hAnsi="宋体" w:eastAsia="宋体" w:cs="宋体"/>
          <w:b/>
          <w:bCs/>
          <w:kern w:val="2"/>
          <w:sz w:val="24"/>
          <w:szCs w:val="24"/>
          <w:lang w:val="en-US" w:eastAsia="zh-CN" w:bidi="ar-SA"/>
        </w:rPr>
        <w:t>要求</w:t>
      </w:r>
    </w:p>
    <w:p w14:paraId="11F57FF5">
      <w:pPr>
        <w:pStyle w:val="14"/>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洗眼器1套，防护等级IP66，符合《眼面部防护 应急喷淋和洗眼设备GB38144-2025》压力、流量、高度等技术要求。</w:t>
      </w:r>
    </w:p>
    <w:p w14:paraId="15A9C5B0">
      <w:pPr>
        <w:pStyle w:val="14"/>
        <w:spacing w:line="360" w:lineRule="auto"/>
        <w:ind w:firstLine="420" w:firstLineChars="200"/>
        <w:rPr>
          <w:rFonts w:hint="eastAsia" w:hAnsi="宋体" w:cs="宋体"/>
          <w:kern w:val="2"/>
          <w:sz w:val="21"/>
          <w:lang w:val="en-US" w:eastAsia="zh-CN" w:bidi="ar-SA"/>
        </w:rPr>
      </w:pPr>
    </w:p>
    <w:p w14:paraId="37BC939E">
      <w:pPr>
        <w:pStyle w:val="14"/>
        <w:numPr>
          <w:ilvl w:val="0"/>
          <w:numId w:val="0"/>
        </w:numPr>
        <w:spacing w:line="360" w:lineRule="auto"/>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w:t>
      </w:r>
      <w:r>
        <w:rPr>
          <w:rFonts w:hint="eastAsia" w:hAnsi="宋体" w:cs="宋体"/>
          <w:b/>
          <w:bCs/>
          <w:kern w:val="2"/>
          <w:sz w:val="24"/>
          <w:szCs w:val="24"/>
          <w:lang w:val="en-US" w:eastAsia="zh-CN" w:bidi="ar-SA"/>
        </w:rPr>
        <w:t>12其他配件设施</w:t>
      </w:r>
      <w:r>
        <w:rPr>
          <w:rFonts w:hint="eastAsia" w:ascii="宋体" w:hAnsi="宋体" w:eastAsia="宋体" w:cs="宋体"/>
          <w:b/>
          <w:bCs/>
          <w:kern w:val="2"/>
          <w:sz w:val="24"/>
          <w:szCs w:val="24"/>
          <w:lang w:val="en-US" w:eastAsia="zh-CN" w:bidi="ar-SA"/>
        </w:rPr>
        <w:t>要求</w:t>
      </w:r>
    </w:p>
    <w:p w14:paraId="0817C05C">
      <w:pPr>
        <w:pStyle w:val="14"/>
        <w:numPr>
          <w:ilvl w:val="0"/>
          <w:numId w:val="29"/>
        </w:numPr>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防爆穿线盒+三通+弯头：防爆标志：Exe IIC Gb，防护等级：IP66。产品外壳进行高速抛丸处理，采用高压静电喷塑工艺；镀镍螺丝配套平垫弹垫，更加耐用、美观以及维护方便；产品的螺纹清晰，能更好的与其他接头结合定电压；产品体与盖的结合面采用橡皮密封，密封性好，防水性强。</w:t>
      </w:r>
    </w:p>
    <w:p w14:paraId="7560CE8D">
      <w:pPr>
        <w:pStyle w:val="14"/>
        <w:numPr>
          <w:ilvl w:val="0"/>
          <w:numId w:val="29"/>
        </w:numPr>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防爆穿线管+桥架：防爆标志：Exd IIC Gb，防护等级：IP66。规格：一寸防爆镀锌管+桥架盒定制。</w:t>
      </w:r>
    </w:p>
    <w:p w14:paraId="4DD2869A">
      <w:pPr>
        <w:pStyle w:val="14"/>
        <w:numPr>
          <w:ilvl w:val="0"/>
          <w:numId w:val="0"/>
        </w:numPr>
        <w:spacing w:line="360" w:lineRule="auto"/>
        <w:rPr>
          <w:rFonts w:hint="eastAsia" w:hAnsi="宋体" w:cs="宋体"/>
          <w:kern w:val="2"/>
          <w:sz w:val="21"/>
          <w:lang w:val="en-US" w:eastAsia="zh-CN" w:bidi="ar-SA"/>
        </w:rPr>
      </w:pPr>
    </w:p>
    <w:p w14:paraId="4D11065E">
      <w:pPr>
        <w:pStyle w:val="14"/>
        <w:numPr>
          <w:ilvl w:val="0"/>
          <w:numId w:val="0"/>
        </w:numPr>
        <w:spacing w:line="360" w:lineRule="auto"/>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w:t>
      </w:r>
      <w:r>
        <w:rPr>
          <w:rFonts w:hint="eastAsia" w:hAnsi="宋体" w:cs="宋体"/>
          <w:b/>
          <w:bCs/>
          <w:kern w:val="2"/>
          <w:sz w:val="24"/>
          <w:szCs w:val="24"/>
          <w:lang w:val="en-US" w:eastAsia="zh-CN" w:bidi="ar-SA"/>
        </w:rPr>
        <w:t>13信号传输</w:t>
      </w:r>
      <w:r>
        <w:rPr>
          <w:rFonts w:hint="eastAsia" w:ascii="宋体" w:hAnsi="宋体" w:eastAsia="宋体" w:cs="宋体"/>
          <w:b/>
          <w:bCs/>
          <w:kern w:val="2"/>
          <w:sz w:val="24"/>
          <w:szCs w:val="24"/>
          <w:lang w:val="en-US" w:eastAsia="zh-CN" w:bidi="ar-SA"/>
        </w:rPr>
        <w:t>要求</w:t>
      </w:r>
    </w:p>
    <w:p w14:paraId="77A9EB1F">
      <w:pPr>
        <w:pStyle w:val="14"/>
        <w:numPr>
          <w:ilvl w:val="0"/>
          <w:numId w:val="0"/>
        </w:numPr>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1500米网络线（四路）及管材，地面开槽预埋网络线管，地面修复，箱体相关报警信号传输至中控室。</w:t>
      </w:r>
    </w:p>
    <w:p w14:paraId="05B5C953">
      <w:pPr>
        <w:pStyle w:val="14"/>
        <w:numPr>
          <w:ilvl w:val="0"/>
          <w:numId w:val="0"/>
        </w:numPr>
        <w:spacing w:line="360" w:lineRule="auto"/>
        <w:rPr>
          <w:rFonts w:hint="eastAsia" w:hAnsi="宋体" w:cs="宋体"/>
          <w:kern w:val="2"/>
          <w:sz w:val="21"/>
          <w:lang w:val="en-US" w:eastAsia="zh-CN" w:bidi="ar-SA"/>
        </w:rPr>
      </w:pPr>
    </w:p>
    <w:p w14:paraId="7286F56B">
      <w:pPr>
        <w:pStyle w:val="14"/>
        <w:numPr>
          <w:ilvl w:val="0"/>
          <w:numId w:val="0"/>
        </w:numPr>
        <w:spacing w:line="360" w:lineRule="auto"/>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w:t>
      </w:r>
      <w:r>
        <w:rPr>
          <w:rFonts w:hint="eastAsia" w:hAnsi="宋体" w:cs="宋体"/>
          <w:b/>
          <w:bCs/>
          <w:kern w:val="2"/>
          <w:sz w:val="24"/>
          <w:szCs w:val="24"/>
          <w:lang w:val="en-US" w:eastAsia="zh-CN" w:bidi="ar-SA"/>
        </w:rPr>
        <w:t>14其他工程</w:t>
      </w:r>
      <w:r>
        <w:rPr>
          <w:rFonts w:hint="eastAsia" w:ascii="宋体" w:hAnsi="宋体" w:eastAsia="宋体" w:cs="宋体"/>
          <w:b/>
          <w:bCs/>
          <w:kern w:val="2"/>
          <w:sz w:val="24"/>
          <w:szCs w:val="24"/>
          <w:lang w:val="en-US" w:eastAsia="zh-CN" w:bidi="ar-SA"/>
        </w:rPr>
        <w:t>要求</w:t>
      </w:r>
    </w:p>
    <w:p w14:paraId="4D24C653">
      <w:pPr>
        <w:pStyle w:val="14"/>
        <w:numPr>
          <w:ilvl w:val="0"/>
          <w:numId w:val="0"/>
        </w:numPr>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含运费、拼接费、吊车卸货、住宿费、安装接线、箱子网格画线、箱子顶部防晒隔热顶棚（镀锌钢材料）处理，项目出具安全评价报告，办理固废专章报告。</w:t>
      </w:r>
    </w:p>
    <w:p w14:paraId="26713DA9">
      <w:pPr>
        <w:pStyle w:val="14"/>
        <w:spacing w:line="360" w:lineRule="auto"/>
        <w:rPr>
          <w:rFonts w:hint="eastAsia" w:ascii="黑体" w:hAnsi="黑体" w:eastAsia="黑体"/>
          <w:b w:val="0"/>
          <w:bCs w:val="0"/>
          <w:sz w:val="24"/>
          <w:szCs w:val="24"/>
        </w:rPr>
      </w:pPr>
    </w:p>
    <w:p w14:paraId="4C07B0F2">
      <w:pPr>
        <w:numPr>
          <w:ilvl w:val="0"/>
          <w:numId w:val="28"/>
        </w:numPr>
        <w:spacing w:line="480" w:lineRule="exact"/>
        <w:rPr>
          <w:rFonts w:hint="eastAsia" w:ascii="黑体" w:hAnsi="宋体" w:eastAsia="黑体"/>
        </w:rPr>
      </w:pPr>
      <w:r>
        <w:rPr>
          <w:rFonts w:hint="eastAsia" w:ascii="黑体" w:hAnsi="宋体" w:eastAsia="黑体"/>
        </w:rPr>
        <w:t>供货、工期、运输约定</w:t>
      </w:r>
    </w:p>
    <w:p w14:paraId="55357DB0">
      <w:pPr>
        <w:pStyle w:val="14"/>
        <w:numPr>
          <w:ilvl w:val="0"/>
          <w:numId w:val="0"/>
        </w:numPr>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1、交货周期：合同签订后30个自然日内完成生产，45个自然日内完成现场拼接。</w:t>
      </w:r>
    </w:p>
    <w:p w14:paraId="310AB32C">
      <w:pPr>
        <w:pStyle w:val="14"/>
        <w:numPr>
          <w:ilvl w:val="0"/>
          <w:numId w:val="0"/>
        </w:numPr>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2、施工分界：供方承担现场卸货、外部电源接线、设备安装施工。</w:t>
      </w:r>
    </w:p>
    <w:p w14:paraId="10178C21">
      <w:pPr>
        <w:pStyle w:val="14"/>
        <w:numPr>
          <w:ilvl w:val="0"/>
          <w:numId w:val="0"/>
        </w:numPr>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3、出厂检验：设备出厂前完成全套自检，出具出厂检测记录表，自检合格方可发货。</w:t>
      </w:r>
    </w:p>
    <w:p w14:paraId="6279B11E">
      <w:pPr>
        <w:pStyle w:val="14"/>
        <w:numPr>
          <w:ilvl w:val="0"/>
          <w:numId w:val="0"/>
        </w:numPr>
        <w:spacing w:line="360" w:lineRule="auto"/>
        <w:ind w:firstLine="420" w:firstLineChars="200"/>
        <w:rPr>
          <w:rFonts w:hint="eastAsia" w:hAnsi="宋体" w:cs="宋体"/>
          <w:kern w:val="2"/>
          <w:sz w:val="21"/>
          <w:lang w:val="en-US" w:eastAsia="zh-CN" w:bidi="ar-SA"/>
        </w:rPr>
      </w:pPr>
    </w:p>
    <w:p w14:paraId="5FFDC4DA">
      <w:pPr>
        <w:numPr>
          <w:ilvl w:val="0"/>
          <w:numId w:val="28"/>
        </w:numPr>
        <w:spacing w:line="480" w:lineRule="exact"/>
        <w:rPr>
          <w:rFonts w:hint="eastAsia" w:ascii="黑体" w:hAnsi="宋体" w:eastAsia="黑体"/>
        </w:rPr>
      </w:pPr>
      <w:r>
        <w:rPr>
          <w:rFonts w:hint="eastAsia" w:ascii="黑体" w:hAnsi="宋体" w:eastAsia="黑体"/>
        </w:rPr>
        <w:t>质保、售后终身维保要求</w:t>
      </w:r>
    </w:p>
    <w:p w14:paraId="5A29AF5F">
      <w:pPr>
        <w:pStyle w:val="14"/>
        <w:numPr>
          <w:ilvl w:val="0"/>
          <w:numId w:val="0"/>
        </w:numPr>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1、整机质保1年。</w:t>
      </w:r>
    </w:p>
    <w:p w14:paraId="0AC52097">
      <w:pPr>
        <w:pStyle w:val="14"/>
        <w:numPr>
          <w:ilvl w:val="0"/>
          <w:numId w:val="0"/>
        </w:numPr>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2、质保期内，设备原厂材料、工艺故障，供方免费提供配件、远程/上门维修。</w:t>
      </w:r>
    </w:p>
    <w:p w14:paraId="51391478">
      <w:pPr>
        <w:pStyle w:val="14"/>
        <w:numPr>
          <w:ilvl w:val="0"/>
          <w:numId w:val="0"/>
        </w:numPr>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3、质保期满提供终身维保服务，仅收取配件成本、合理人工差旅费。</w:t>
      </w:r>
    </w:p>
    <w:p w14:paraId="08E9200A">
      <w:pPr>
        <w:pStyle w:val="14"/>
        <w:numPr>
          <w:ilvl w:val="0"/>
          <w:numId w:val="0"/>
        </w:numPr>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4、售后响应：线上即时对接，全国可快速上门检修。</w:t>
      </w:r>
    </w:p>
    <w:p w14:paraId="66599D89">
      <w:pPr>
        <w:numPr>
          <w:ilvl w:val="0"/>
          <w:numId w:val="28"/>
        </w:numPr>
        <w:spacing w:line="480" w:lineRule="exact"/>
        <w:rPr>
          <w:rFonts w:hint="eastAsia" w:ascii="黑体" w:hAnsi="宋体" w:eastAsia="黑体"/>
        </w:rPr>
      </w:pPr>
      <w:r>
        <w:rPr>
          <w:rFonts w:hint="eastAsia" w:ascii="黑体" w:hAnsi="宋体" w:eastAsia="黑体"/>
        </w:rPr>
        <w:t>随货交付全套资料要求</w:t>
      </w:r>
    </w:p>
    <w:p w14:paraId="0AF07012">
      <w:pPr>
        <w:pStyle w:val="14"/>
        <w:numPr>
          <w:ilvl w:val="0"/>
          <w:numId w:val="0"/>
        </w:numPr>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1、第三方检测报告：耐火、防爆、防渗、抗风、静载荷、CE认证纸质+电子档全套。</w:t>
      </w:r>
    </w:p>
    <w:p w14:paraId="6E6DC097">
      <w:pPr>
        <w:pStyle w:val="14"/>
        <w:numPr>
          <w:ilvl w:val="0"/>
          <w:numId w:val="0"/>
        </w:numPr>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2、技术文件：箱子设备CAD图纸、PLC操作手册、设备运维SOP。</w:t>
      </w:r>
    </w:p>
    <w:p w14:paraId="2DB5AB21">
      <w:pPr>
        <w:pStyle w:val="14"/>
        <w:numPr>
          <w:ilvl w:val="0"/>
          <w:numId w:val="0"/>
        </w:numPr>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3、配件资质：防爆电器、传感器等合格证、3C认证复印件。</w:t>
      </w:r>
    </w:p>
    <w:p w14:paraId="089DA624">
      <w:pPr>
        <w:pStyle w:val="14"/>
        <w:numPr>
          <w:ilvl w:val="0"/>
          <w:numId w:val="0"/>
        </w:numPr>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4、交付资料：出厂合格证、出厂检测记录表。</w:t>
      </w:r>
    </w:p>
    <w:p w14:paraId="199B058D">
      <w:pPr>
        <w:pStyle w:val="14"/>
        <w:numPr>
          <w:ilvl w:val="0"/>
          <w:numId w:val="0"/>
        </w:numPr>
        <w:spacing w:line="360" w:lineRule="auto"/>
        <w:ind w:firstLine="420" w:firstLineChars="200"/>
        <w:rPr>
          <w:rFonts w:hint="eastAsia" w:hAnsi="宋体" w:cs="宋体"/>
          <w:kern w:val="2"/>
          <w:sz w:val="21"/>
          <w:lang w:val="en-US" w:eastAsia="zh-CN" w:bidi="ar-SA"/>
        </w:rPr>
      </w:pPr>
    </w:p>
    <w:p w14:paraId="26577AF2">
      <w:pPr>
        <w:numPr>
          <w:ilvl w:val="0"/>
          <w:numId w:val="28"/>
        </w:numPr>
        <w:spacing w:line="480" w:lineRule="exact"/>
        <w:rPr>
          <w:rFonts w:hint="eastAsia" w:ascii="黑体" w:hAnsi="宋体" w:eastAsia="黑体"/>
        </w:rPr>
      </w:pPr>
      <w:r>
        <w:rPr>
          <w:rFonts w:hint="eastAsia" w:ascii="黑体" w:hAnsi="宋体" w:eastAsia="黑体"/>
        </w:rPr>
        <w:t>现场验收判定标准</w:t>
      </w:r>
    </w:p>
    <w:p w14:paraId="46F79296">
      <w:pPr>
        <w:pStyle w:val="14"/>
        <w:numPr>
          <w:ilvl w:val="0"/>
          <w:numId w:val="0"/>
        </w:numPr>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1、外观结构验收：箱体焊接完整，涂层均匀无掉漆锈蚀；板材厚度、槽钢底座、门体结构全部与条款一致。</w:t>
      </w:r>
    </w:p>
    <w:p w14:paraId="0E640BC7">
      <w:pPr>
        <w:pStyle w:val="14"/>
        <w:numPr>
          <w:ilvl w:val="0"/>
          <w:numId w:val="0"/>
        </w:numPr>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2、硬件清点：风机、空调、传感器、消防、监控、静电、防雷、泄爆配件等型号、数量完全匹配需求清单。</w:t>
      </w:r>
    </w:p>
    <w:p w14:paraId="5DFEBA8C">
      <w:pPr>
        <w:pStyle w:val="14"/>
        <w:numPr>
          <w:ilvl w:val="0"/>
          <w:numId w:val="0"/>
        </w:numPr>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3、联动功能逐项测试（全部合格方可通过验收）：</w:t>
      </w:r>
    </w:p>
    <w:p w14:paraId="508581CA">
      <w:pPr>
        <w:pStyle w:val="14"/>
        <w:numPr>
          <w:ilvl w:val="0"/>
          <w:numId w:val="0"/>
        </w:numPr>
        <w:spacing w:line="360" w:lineRule="auto"/>
        <w:ind w:firstLine="840" w:firstLineChars="400"/>
        <w:rPr>
          <w:rFonts w:hint="eastAsia" w:hAnsi="宋体" w:cs="宋体"/>
          <w:kern w:val="2"/>
          <w:sz w:val="21"/>
          <w:lang w:val="en-US" w:eastAsia="zh-CN" w:bidi="ar-SA"/>
        </w:rPr>
      </w:pPr>
      <w:r>
        <w:rPr>
          <w:rFonts w:hint="eastAsia" w:hAnsi="宋体" w:cs="宋体"/>
          <w:kern w:val="2"/>
          <w:sz w:val="21"/>
          <w:lang w:val="en-US" w:eastAsia="zh-CN" w:bidi="ar-SA"/>
        </w:rPr>
        <w:t>① 温湿度超标 → 防爆空调自动启停；</w:t>
      </w:r>
    </w:p>
    <w:p w14:paraId="1B1AD8DF">
      <w:pPr>
        <w:pStyle w:val="14"/>
        <w:numPr>
          <w:ilvl w:val="0"/>
          <w:numId w:val="0"/>
        </w:numPr>
        <w:spacing w:line="360" w:lineRule="auto"/>
        <w:ind w:firstLine="840" w:firstLineChars="400"/>
        <w:rPr>
          <w:rFonts w:hint="eastAsia" w:hAnsi="宋体" w:cs="宋体"/>
          <w:kern w:val="2"/>
          <w:sz w:val="21"/>
          <w:lang w:val="en-US" w:eastAsia="zh-CN" w:bidi="ar-SA"/>
        </w:rPr>
      </w:pPr>
      <w:r>
        <w:rPr>
          <w:rFonts w:hint="eastAsia" w:hAnsi="宋体" w:cs="宋体"/>
          <w:kern w:val="2"/>
          <w:sz w:val="21"/>
          <w:lang w:val="en-US" w:eastAsia="zh-CN" w:bidi="ar-SA"/>
        </w:rPr>
        <w:t>② 可燃气体超标 → 声光报警+强制排风；</w:t>
      </w:r>
    </w:p>
    <w:p w14:paraId="51D4E052">
      <w:pPr>
        <w:pStyle w:val="14"/>
        <w:numPr>
          <w:ilvl w:val="0"/>
          <w:numId w:val="0"/>
        </w:numPr>
        <w:spacing w:line="360" w:lineRule="auto"/>
        <w:ind w:firstLine="840" w:firstLineChars="400"/>
        <w:rPr>
          <w:rFonts w:hint="eastAsia" w:hAnsi="宋体" w:cs="宋体"/>
          <w:kern w:val="2"/>
          <w:sz w:val="21"/>
          <w:lang w:val="en-US" w:eastAsia="zh-CN" w:bidi="ar-SA"/>
        </w:rPr>
      </w:pPr>
      <w:r>
        <w:rPr>
          <w:rFonts w:hint="eastAsia" w:hAnsi="宋体" w:cs="宋体"/>
          <w:kern w:val="2"/>
          <w:sz w:val="21"/>
          <w:lang w:val="en-US" w:eastAsia="zh-CN" w:bidi="ar-SA"/>
        </w:rPr>
        <w:t>③ 烟雾+高温双触发 → 自动干粉喷淋；</w:t>
      </w:r>
    </w:p>
    <w:p w14:paraId="276D3D57">
      <w:pPr>
        <w:pStyle w:val="14"/>
        <w:numPr>
          <w:ilvl w:val="0"/>
          <w:numId w:val="0"/>
        </w:numPr>
        <w:spacing w:line="360" w:lineRule="auto"/>
        <w:ind w:firstLine="840" w:firstLineChars="400"/>
        <w:rPr>
          <w:rFonts w:hint="eastAsia" w:hAnsi="宋体" w:cs="宋体"/>
          <w:kern w:val="2"/>
          <w:sz w:val="21"/>
          <w:lang w:val="en-US" w:eastAsia="zh-CN" w:bidi="ar-SA"/>
        </w:rPr>
      </w:pPr>
      <w:r>
        <w:rPr>
          <w:rFonts w:hint="eastAsia" w:hAnsi="宋体" w:cs="宋体"/>
          <w:kern w:val="2"/>
          <w:sz w:val="21"/>
          <w:lang w:val="en-US" w:eastAsia="zh-CN" w:bidi="ar-SA"/>
        </w:rPr>
        <w:t>④ PLC可实时查看、调取全部历史监测数据。</w:t>
      </w:r>
    </w:p>
    <w:p w14:paraId="42F580CE">
      <w:pPr>
        <w:pStyle w:val="14"/>
        <w:numPr>
          <w:ilvl w:val="0"/>
          <w:numId w:val="0"/>
        </w:numPr>
        <w:spacing w:line="360" w:lineRule="auto"/>
        <w:ind w:firstLine="420" w:firstLineChars="200"/>
        <w:rPr>
          <w:rFonts w:hint="eastAsia" w:hAnsi="宋体" w:cs="宋体"/>
          <w:kern w:val="2"/>
          <w:sz w:val="21"/>
          <w:lang w:val="en-US" w:eastAsia="zh-CN" w:bidi="ar-SA"/>
        </w:rPr>
      </w:pPr>
      <w:r>
        <w:rPr>
          <w:rFonts w:hint="eastAsia" w:hAnsi="宋体" w:cs="宋体"/>
          <w:kern w:val="2"/>
          <w:sz w:val="21"/>
          <w:lang w:val="en-US" w:eastAsia="zh-CN" w:bidi="ar-SA"/>
        </w:rPr>
        <w:t>4、资料核验：全套检测报告、资质证书、操作手册齐全完整。</w:t>
      </w:r>
    </w:p>
    <w:p w14:paraId="0132E746">
      <w:pPr>
        <w:spacing w:line="480" w:lineRule="exact"/>
        <w:rPr>
          <w:rFonts w:hint="default"/>
          <w:lang w:val="en-US" w:eastAsia="zh-CN"/>
        </w:rPr>
      </w:pPr>
      <w:r>
        <w:rPr>
          <w:rFonts w:ascii="宋体" w:hAnsi="宋体"/>
        </w:rPr>
        <w:br w:type="page"/>
      </w:r>
    </w:p>
    <w:p w14:paraId="207E7CFA">
      <w:pPr>
        <w:pStyle w:val="71"/>
        <w:numPr>
          <w:ilvl w:val="0"/>
          <w:numId w:val="30"/>
        </w:numPr>
        <w:rPr>
          <w:rFonts w:hint="eastAsia"/>
        </w:rPr>
      </w:pPr>
      <w:r>
        <w:rPr>
          <w:rFonts w:hint="eastAsia"/>
        </w:rPr>
        <w:t>合同主要条款</w:t>
      </w:r>
      <w:bookmarkEnd w:id="13"/>
      <w:bookmarkEnd w:id="14"/>
    </w:p>
    <w:p w14:paraId="6D55CBFE">
      <w:pPr>
        <w:wordWrap w:val="0"/>
        <w:adjustRightInd w:val="0"/>
        <w:snapToGrid w:val="0"/>
        <w:spacing w:line="360" w:lineRule="auto"/>
        <w:jc w:val="right"/>
        <w:rPr>
          <w:rFonts w:ascii="宋体" w:hAnsi="宋体"/>
          <w:b/>
          <w:sz w:val="28"/>
          <w:szCs w:val="28"/>
        </w:rPr>
      </w:pPr>
    </w:p>
    <w:p w14:paraId="79E0CBCC">
      <w:pPr>
        <w:pStyle w:val="72"/>
        <w:numPr>
          <w:ilvl w:val="0"/>
          <w:numId w:val="31"/>
        </w:numPr>
        <w:ind w:left="420"/>
      </w:pPr>
      <w:bookmarkStart w:id="21" w:name="_Toc47976610"/>
      <w:bookmarkStart w:id="22" w:name="_Toc47976615"/>
      <w:r>
        <w:rPr>
          <w:rFonts w:hint="eastAsia"/>
          <w:lang w:val="en-US" w:eastAsia="zh-CN"/>
        </w:rPr>
        <w:t>标的、数量、</w:t>
      </w:r>
      <w:r>
        <w:rPr>
          <w:rFonts w:hint="eastAsia"/>
        </w:rPr>
        <w:t>交货期</w:t>
      </w:r>
      <w:bookmarkEnd w:id="21"/>
    </w:p>
    <w:p w14:paraId="0608A0A3">
      <w:pPr>
        <w:pStyle w:val="72"/>
      </w:pPr>
      <w:bookmarkStart w:id="23" w:name="_Toc47976611"/>
      <w:r>
        <w:rPr>
          <w:rFonts w:hint="eastAsia"/>
        </w:rPr>
        <w:t>交货地点</w:t>
      </w:r>
      <w:bookmarkEnd w:id="23"/>
    </w:p>
    <w:p w14:paraId="125B1828">
      <w:pPr>
        <w:pStyle w:val="72"/>
      </w:pPr>
      <w:bookmarkStart w:id="24" w:name="_Toc47976612"/>
      <w:r>
        <w:rPr>
          <w:rFonts w:hint="eastAsia"/>
          <w:lang w:val="en-US" w:eastAsia="zh-CN"/>
        </w:rPr>
        <w:t>价款及</w:t>
      </w:r>
      <w:r>
        <w:rPr>
          <w:rFonts w:hint="eastAsia"/>
        </w:rPr>
        <w:t>付款方式</w:t>
      </w:r>
      <w:bookmarkEnd w:id="24"/>
    </w:p>
    <w:p w14:paraId="263DD439">
      <w:pPr>
        <w:pStyle w:val="72"/>
      </w:pPr>
      <w:bookmarkStart w:id="25" w:name="_Toc47976613"/>
      <w:r>
        <w:rPr>
          <w:rFonts w:hint="eastAsia"/>
          <w:lang w:val="en-US" w:eastAsia="zh-CN"/>
        </w:rPr>
        <w:t>质量要求、</w:t>
      </w:r>
      <w:r>
        <w:rPr>
          <w:rFonts w:hint="eastAsia"/>
        </w:rPr>
        <w:t>保修期及售后服务</w:t>
      </w:r>
      <w:bookmarkEnd w:id="25"/>
    </w:p>
    <w:p w14:paraId="29701DDC">
      <w:pPr>
        <w:pStyle w:val="72"/>
      </w:pPr>
      <w:bookmarkStart w:id="26" w:name="_Toc47976614"/>
      <w:r>
        <w:rPr>
          <w:rFonts w:hint="eastAsia"/>
        </w:rPr>
        <w:t>安装、调试及验收要求</w:t>
      </w:r>
      <w:bookmarkEnd w:id="26"/>
    </w:p>
    <w:p w14:paraId="357B7309">
      <w:pPr>
        <w:pStyle w:val="72"/>
      </w:pPr>
      <w:r>
        <w:rPr>
          <w:rFonts w:hint="eastAsia"/>
          <w:lang w:val="en-US" w:eastAsia="zh-CN"/>
        </w:rPr>
        <w:t>违约责任</w:t>
      </w:r>
    </w:p>
    <w:p w14:paraId="57FB2450">
      <w:pPr>
        <w:pStyle w:val="72"/>
      </w:pPr>
      <w:r>
        <w:rPr>
          <w:rFonts w:hint="eastAsia"/>
          <w:lang w:val="en-US" w:eastAsia="zh-CN"/>
        </w:rPr>
        <w:t>争议解决方式</w:t>
      </w:r>
    </w:p>
    <w:p w14:paraId="5C521FC8">
      <w:pPr>
        <w:rPr>
          <w:rFonts w:hint="eastAsia"/>
        </w:rPr>
      </w:pPr>
    </w:p>
    <w:p w14:paraId="0047C608">
      <w:pPr>
        <w:rPr>
          <w:rFonts w:hint="eastAsia"/>
        </w:rPr>
      </w:pPr>
      <w:r>
        <w:rPr>
          <w:rFonts w:hint="eastAsia"/>
        </w:rPr>
        <w:br w:type="page"/>
      </w:r>
    </w:p>
    <w:p w14:paraId="5F7FEE17">
      <w:pPr>
        <w:pStyle w:val="71"/>
        <w:rPr>
          <w:rFonts w:ascii="黑体" w:hAnsi="Calibri" w:eastAsia="黑体" w:cs="Times New Roman"/>
          <w:color w:val="000000"/>
          <w:sz w:val="24"/>
          <w:szCs w:val="24"/>
        </w:rPr>
      </w:pPr>
      <w:bookmarkStart w:id="27" w:name="_Toc16500"/>
      <w:r>
        <w:rPr>
          <w:rFonts w:hint="eastAsia"/>
        </w:rPr>
        <w:t>第四部分　</w:t>
      </w:r>
      <w:bookmarkEnd w:id="22"/>
      <w:r>
        <w:rPr>
          <w:rFonts w:hint="eastAsia"/>
          <w:lang w:val="en-US" w:eastAsia="zh-CN"/>
        </w:rPr>
        <w:t>投标文件附件</w:t>
      </w:r>
      <w:bookmarkEnd w:id="27"/>
    </w:p>
    <w:p w14:paraId="50DFD905">
      <w:pPr>
        <w:jc w:val="both"/>
        <w:rPr>
          <w:rFonts w:ascii="宋体"/>
          <w:b/>
          <w:color w:val="000000"/>
          <w:szCs w:val="24"/>
        </w:rPr>
      </w:pPr>
    </w:p>
    <w:p w14:paraId="64861DDE">
      <w:pPr>
        <w:pStyle w:val="14"/>
      </w:pPr>
    </w:p>
    <w:p w14:paraId="63BCB7E4">
      <w:pPr>
        <w:pStyle w:val="72"/>
        <w:numPr>
          <w:ilvl w:val="0"/>
          <w:numId w:val="0"/>
        </w:numPr>
        <w:ind w:leftChars="0"/>
        <w:outlineLvl w:val="1"/>
        <w:rPr>
          <w:rFonts w:hint="default" w:ascii="宋体" w:hAnsi="宋体" w:eastAsia="宋体" w:cs="宋体"/>
          <w:sz w:val="32"/>
          <w:szCs w:val="32"/>
          <w:highlight w:val="yellow"/>
          <w:lang w:val="en-US" w:eastAsia="zh-CN"/>
        </w:rPr>
      </w:pPr>
      <w:bookmarkStart w:id="28" w:name="_Toc47976618"/>
      <w:bookmarkStart w:id="29" w:name="_Toc29366865"/>
      <w:bookmarkStart w:id="30" w:name="_Toc29366869"/>
      <w:r>
        <w:rPr>
          <w:rFonts w:hint="eastAsia" w:ascii="宋体" w:hAnsi="宋体" w:eastAsia="宋体" w:cs="宋体"/>
          <w:sz w:val="32"/>
          <w:szCs w:val="32"/>
          <w:highlight w:val="none"/>
          <w:lang w:val="en-US" w:eastAsia="zh-CN"/>
        </w:rPr>
        <w:t>附件1 法定代表人授权委托书</w:t>
      </w:r>
    </w:p>
    <w:bookmarkEnd w:id="28"/>
    <w:p w14:paraId="0CDEF286">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法定代表人授权委托书</w:t>
      </w:r>
    </w:p>
    <w:p w14:paraId="74B63EA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ascii="宋体" w:hAnsi="宋体" w:eastAsia="宋体" w:cs="Times New Roman"/>
          <w:b/>
          <w:bCs/>
          <w:color w:val="000000"/>
          <w:sz w:val="24"/>
          <w:szCs w:val="24"/>
          <w:u w:val="single"/>
        </w:rPr>
        <w:t xml:space="preserve"> </w:t>
      </w:r>
      <w:r>
        <w:rPr>
          <w:rFonts w:hint="eastAsia" w:ascii="宋体" w:hAnsi="宋体" w:eastAsia="宋体" w:cs="Times New Roman"/>
          <w:b/>
          <w:bCs/>
          <w:color w:val="000000"/>
          <w:sz w:val="24"/>
          <w:szCs w:val="24"/>
          <w:u w:val="single"/>
        </w:rPr>
        <w:t>特种车公司</w:t>
      </w:r>
      <w:r>
        <w:rPr>
          <w:rFonts w:hint="eastAsia" w:ascii="宋体" w:hAnsi="宋体" w:cs="Times New Roman"/>
          <w:b/>
          <w:bCs/>
          <w:color w:val="000000"/>
          <w:sz w:val="24"/>
          <w:szCs w:val="24"/>
          <w:u w:val="single"/>
          <w:lang w:val="en-US" w:eastAsia="zh-CN"/>
        </w:rPr>
        <w:t>新建危废库技改</w:t>
      </w:r>
      <w:r>
        <w:rPr>
          <w:rFonts w:hint="eastAsia" w:ascii="宋体" w:hAnsi="宋体" w:eastAsia="宋体" w:cs="Times New Roman"/>
          <w:b/>
          <w:bCs/>
          <w:color w:val="000000"/>
          <w:sz w:val="24"/>
          <w:szCs w:val="24"/>
          <w:u w:val="single"/>
        </w:rPr>
        <w:t>项目</w:t>
      </w:r>
      <w:r>
        <w:rPr>
          <w:rFonts w:hint="eastAsia" w:ascii="宋体" w:hAnsi="宋体" w:cs="Times New Roman"/>
          <w:b/>
          <w:bCs/>
          <w:color w:val="000000"/>
          <w:sz w:val="24"/>
          <w:szCs w:val="24"/>
          <w:highlight w:val="none"/>
          <w:u w:val="single"/>
          <w:lang w:val="en-US" w:eastAsia="zh-CN"/>
        </w:rPr>
        <w:t xml:space="preserve"> </w:t>
      </w:r>
      <w:r>
        <w:rPr>
          <w:rFonts w:hint="eastAsia" w:ascii="宋体" w:hAnsi="宋体" w:cs="Times New Roman"/>
          <w:b/>
          <w:bCs/>
          <w:color w:val="000000"/>
          <w:sz w:val="24"/>
          <w:szCs w:val="24"/>
          <w:u w:val="single"/>
          <w:lang w:val="en-US" w:eastAsia="zh-CN"/>
        </w:rPr>
        <w:t xml:space="preserve"> </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40EF336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0"/>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69B903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18F67E61">
            <w:pPr>
              <w:adjustRightInd w:val="0"/>
              <w:snapToGrid w:val="0"/>
              <w:spacing w:before="93" w:beforeLines="30" w:line="312" w:lineRule="auto"/>
              <w:jc w:val="center"/>
              <w:rPr>
                <w:rFonts w:ascii="宋体" w:hAnsi="Calibri" w:eastAsia="宋体" w:cs="Times New Roman"/>
                <w:sz w:val="24"/>
                <w:szCs w:val="20"/>
                <w:u w:val="none"/>
              </w:rPr>
            </w:pPr>
            <w:r>
              <w:rPr>
                <w:rFonts w:hint="eastAsia" w:ascii="宋体" w:hAnsi="宋体" w:eastAsia="宋体" w:cs="Times New Roman"/>
                <w:sz w:val="24"/>
                <w:szCs w:val="20"/>
              </w:rPr>
              <w:t>附法人身份证明复印件</w:t>
            </w:r>
            <w:r>
              <w:rPr>
                <w:rFonts w:hint="eastAsia" w:ascii="宋体" w:hAnsi="宋体" w:eastAsia="宋体" w:cs="Times New Roman"/>
                <w:sz w:val="24"/>
                <w:szCs w:val="20"/>
                <w:u w:val="none"/>
                <w:lang w:eastAsia="zh-CN"/>
              </w:rPr>
              <w:t>（</w:t>
            </w:r>
            <w:r>
              <w:rPr>
                <w:rFonts w:hint="eastAsia" w:ascii="宋体" w:hAnsi="宋体" w:eastAsia="宋体" w:cs="Times New Roman"/>
                <w:color w:val="000000" w:themeColor="text1"/>
                <w:sz w:val="24"/>
                <w:szCs w:val="20"/>
                <w:u w:val="none"/>
                <w:lang w:val="en-US" w:eastAsia="zh-CN"/>
                <w14:textFill>
                  <w14:solidFill>
                    <w14:schemeClr w14:val="tx1"/>
                  </w14:solidFill>
                </w14:textFill>
              </w:rPr>
              <w:t>正反面）</w:t>
            </w:r>
          </w:p>
          <w:p w14:paraId="067B67B8">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w:t>
            </w:r>
            <w:r>
              <w:rPr>
                <w:rFonts w:hint="eastAsia" w:ascii="宋体" w:hAnsi="宋体" w:eastAsia="宋体" w:cs="Times New Roman"/>
                <w:sz w:val="24"/>
                <w:szCs w:val="20"/>
                <w:lang w:eastAsia="zh-CN"/>
              </w:rPr>
              <w:t>（</w:t>
            </w:r>
            <w:r>
              <w:rPr>
                <w:rFonts w:hint="eastAsia" w:ascii="宋体" w:hAnsi="宋体" w:eastAsia="宋体" w:cs="Times New Roman"/>
                <w:sz w:val="24"/>
                <w:szCs w:val="20"/>
                <w:lang w:val="en-US" w:eastAsia="zh-CN"/>
              </w:rPr>
              <w:t>正反面</w:t>
            </w:r>
            <w:r>
              <w:rPr>
                <w:rFonts w:hint="eastAsia" w:ascii="宋体" w:hAnsi="宋体" w:eastAsia="宋体" w:cs="Times New Roman"/>
                <w:sz w:val="24"/>
                <w:szCs w:val="20"/>
                <w:lang w:eastAsia="zh-CN"/>
              </w:rPr>
              <w:t>）</w:t>
            </w:r>
          </w:p>
        </w:tc>
      </w:tr>
    </w:tbl>
    <w:p w14:paraId="1E3DF32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性别：</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年龄：</w:t>
      </w:r>
    </w:p>
    <w:p w14:paraId="084A3F9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部门：</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职务：</w:t>
      </w:r>
    </w:p>
    <w:p w14:paraId="7F91A4A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r>
        <w:rPr>
          <w:rFonts w:ascii="宋体" w:hAnsi="宋体" w:eastAsia="宋体" w:cs="Times New Roman"/>
          <w:color w:val="000000"/>
          <w:sz w:val="24"/>
          <w:szCs w:val="24"/>
        </w:rPr>
        <w:t xml:space="preserve">                          </w:t>
      </w:r>
    </w:p>
    <w:p w14:paraId="4A3C3D6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r>
        <w:rPr>
          <w:rFonts w:ascii="宋体" w:hAnsi="宋体" w:eastAsia="宋体" w:cs="Times New Roman"/>
          <w:color w:val="000000"/>
          <w:sz w:val="24"/>
          <w:szCs w:val="24"/>
        </w:rPr>
        <w:t xml:space="preserve">  </w:t>
      </w:r>
    </w:p>
    <w:p w14:paraId="7FCB0B5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r>
        <w:rPr>
          <w:rFonts w:ascii="宋体" w:hAnsi="宋体" w:eastAsia="宋体" w:cs="Times New Roman"/>
          <w:color w:val="000000"/>
          <w:sz w:val="24"/>
          <w:szCs w:val="24"/>
        </w:rPr>
        <w:t xml:space="preserve">   </w:t>
      </w:r>
    </w:p>
    <w:p w14:paraId="6114BDC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r>
        <w:rPr>
          <w:rFonts w:ascii="宋体" w:hAnsi="宋体" w:eastAsia="宋体" w:cs="Times New Roman"/>
          <w:color w:val="000000"/>
          <w:sz w:val="24"/>
          <w:szCs w:val="24"/>
        </w:rPr>
        <w:t xml:space="preserve">                       </w:t>
      </w:r>
    </w:p>
    <w:p w14:paraId="5B9795B6">
      <w:pPr>
        <w:spacing w:line="460" w:lineRule="exact"/>
        <w:ind w:firstLine="5520" w:firstLineChars="2300"/>
        <w:rPr>
          <w:rFonts w:ascii="宋体" w:hAnsi="Calibri"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284D91AC">
      <w:pPr>
        <w:spacing w:line="460" w:lineRule="exact"/>
        <w:ind w:firstLine="5520" w:firstLineChars="2300"/>
        <w:rPr>
          <w:rFonts w:ascii="宋体" w:hAnsi="Calibri" w:eastAsia="宋体" w:cs="Times New Roman"/>
          <w:sz w:val="24"/>
          <w:szCs w:val="20"/>
          <w:u w:val="single"/>
        </w:rPr>
      </w:pPr>
    </w:p>
    <w:p w14:paraId="49937AB2">
      <w:pPr>
        <w:rPr>
          <w:rFonts w:ascii="Calibri" w:hAnsi="Calibri" w:eastAsia="黑体" w:cs="Times New Roman"/>
          <w:b/>
          <w:bCs/>
          <w:color w:val="000000"/>
          <w:sz w:val="28"/>
          <w:szCs w:val="20"/>
        </w:rPr>
      </w:pPr>
    </w:p>
    <w:p w14:paraId="385ECC3A">
      <w:pPr>
        <w:pStyle w:val="14"/>
        <w:rPr>
          <w:rFonts w:ascii="Calibri" w:hAnsi="Calibri" w:eastAsia="黑体" w:cs="Times New Roman"/>
          <w:b/>
          <w:bCs/>
          <w:color w:val="000000"/>
          <w:sz w:val="28"/>
          <w:szCs w:val="20"/>
        </w:rPr>
        <w:sectPr>
          <w:footerReference r:id="rId9" w:type="first"/>
          <w:headerReference r:id="rId7" w:type="default"/>
          <w:footerReference r:id="rId8" w:type="default"/>
          <w:pgSz w:w="11906" w:h="16838"/>
          <w:pgMar w:top="1588" w:right="1418" w:bottom="1134" w:left="1418" w:header="851" w:footer="992" w:gutter="0"/>
          <w:cols w:space="720" w:num="1"/>
          <w:titlePg/>
          <w:docGrid w:type="lines" w:linePitch="312" w:charSpace="0"/>
        </w:sectPr>
      </w:pPr>
    </w:p>
    <w:p w14:paraId="6B88D216">
      <w:pPr>
        <w:pStyle w:val="72"/>
        <w:numPr>
          <w:ilvl w:val="0"/>
          <w:numId w:val="0"/>
        </w:numPr>
        <w:ind w:leftChars="0"/>
        <w:outlineLvl w:val="1"/>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附件2 保密承诺函</w:t>
      </w:r>
    </w:p>
    <w:p w14:paraId="618B0AD3">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保密承诺函</w:t>
      </w:r>
    </w:p>
    <w:p w14:paraId="0EABE4D4">
      <w:pPr>
        <w:spacing w:line="240" w:lineRule="exact"/>
        <w:jc w:val="center"/>
        <w:rPr>
          <w:rFonts w:ascii="宋体" w:hAnsi="Calibri" w:eastAsia="宋体" w:cs="Times New Roman"/>
          <w:b/>
          <w:bCs/>
          <w:sz w:val="36"/>
          <w:szCs w:val="20"/>
        </w:rPr>
      </w:pPr>
    </w:p>
    <w:p w14:paraId="19B42E48">
      <w:pPr>
        <w:spacing w:line="360" w:lineRule="auto"/>
        <w:rPr>
          <w:rFonts w:hint="default" w:ascii="宋体" w:hAnsi="宋体" w:eastAsia="宋体" w:cs="宋体"/>
          <w:b/>
          <w:bCs/>
          <w:sz w:val="24"/>
          <w:szCs w:val="24"/>
          <w:highlight w:val="none"/>
          <w:u w:val="single"/>
          <w:lang w:val="en-US" w:eastAsia="zh-CN"/>
        </w:rPr>
      </w:pPr>
      <w:r>
        <w:rPr>
          <w:rFonts w:hint="eastAsia" w:ascii="宋体" w:hAnsi="宋体" w:eastAsia="宋体" w:cs="Times New Roman"/>
          <w:sz w:val="24"/>
          <w:szCs w:val="20"/>
        </w:rPr>
        <w:t>项目名称：</w:t>
      </w:r>
      <w:r>
        <w:rPr>
          <w:rFonts w:hint="eastAsia" w:ascii="宋体" w:hAnsi="宋体" w:eastAsia="宋体" w:cs="Times New Roman"/>
          <w:b/>
          <w:bCs/>
          <w:color w:val="000000"/>
          <w:sz w:val="24"/>
          <w:szCs w:val="24"/>
          <w:u w:val="single"/>
        </w:rPr>
        <w:t>特种车公司</w:t>
      </w:r>
      <w:r>
        <w:rPr>
          <w:rFonts w:hint="eastAsia" w:ascii="宋体" w:hAnsi="宋体" w:cs="Times New Roman"/>
          <w:b/>
          <w:bCs/>
          <w:color w:val="000000"/>
          <w:sz w:val="24"/>
          <w:szCs w:val="24"/>
          <w:u w:val="single"/>
          <w:lang w:val="en-US" w:eastAsia="zh-CN"/>
        </w:rPr>
        <w:t>新建危废库技改</w:t>
      </w:r>
      <w:r>
        <w:rPr>
          <w:rFonts w:hint="eastAsia" w:ascii="宋体" w:hAnsi="宋体" w:eastAsia="宋体" w:cs="Times New Roman"/>
          <w:b/>
          <w:bCs/>
          <w:color w:val="000000"/>
          <w:sz w:val="24"/>
          <w:szCs w:val="24"/>
          <w:u w:val="single"/>
        </w:rPr>
        <w:t>项目</w:t>
      </w:r>
    </w:p>
    <w:p w14:paraId="070A8EA0">
      <w:pPr>
        <w:spacing w:line="360" w:lineRule="auto"/>
        <w:rPr>
          <w:rFonts w:ascii="宋体" w:hAnsi="Calibri" w:eastAsia="宋体" w:cs="Times New Roman"/>
          <w:b/>
          <w:bCs/>
          <w:sz w:val="24"/>
          <w:szCs w:val="20"/>
          <w:highlight w:val="none"/>
        </w:rPr>
      </w:pPr>
      <w:r>
        <w:rPr>
          <w:rFonts w:hint="eastAsia" w:ascii="宋体" w:hAnsi="宋体" w:cs="Times New Roman"/>
          <w:b/>
          <w:bCs/>
          <w:sz w:val="24"/>
          <w:szCs w:val="20"/>
          <w:highlight w:val="none"/>
          <w:lang w:eastAsia="zh-CN"/>
        </w:rPr>
        <w:t>中国重汽集团济南</w:t>
      </w:r>
      <w:r>
        <w:rPr>
          <w:rFonts w:hint="eastAsia" w:ascii="宋体" w:hAnsi="宋体" w:cs="Times New Roman"/>
          <w:b/>
          <w:bCs/>
          <w:sz w:val="24"/>
          <w:szCs w:val="20"/>
          <w:highlight w:val="none"/>
          <w:lang w:val="en-US" w:eastAsia="zh-CN"/>
        </w:rPr>
        <w:t>特种车</w:t>
      </w:r>
      <w:r>
        <w:rPr>
          <w:rFonts w:hint="eastAsia" w:ascii="宋体" w:hAnsi="宋体" w:cs="Times New Roman"/>
          <w:b/>
          <w:bCs/>
          <w:sz w:val="24"/>
          <w:szCs w:val="20"/>
          <w:highlight w:val="none"/>
          <w:lang w:eastAsia="zh-CN"/>
        </w:rPr>
        <w:t>有限公司</w:t>
      </w:r>
      <w:r>
        <w:rPr>
          <w:rFonts w:hint="eastAsia" w:ascii="宋体" w:hAnsi="宋体" w:eastAsia="宋体" w:cs="Times New Roman"/>
          <w:b/>
          <w:bCs/>
          <w:sz w:val="24"/>
          <w:szCs w:val="20"/>
          <w:highlight w:val="none"/>
        </w:rPr>
        <w:t>：</w:t>
      </w:r>
    </w:p>
    <w:p w14:paraId="6CDD1417">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w:t>
      </w:r>
      <w:r>
        <w:rPr>
          <w:rFonts w:hint="eastAsia" w:ascii="宋体" w:hAnsi="宋体" w:eastAsia="宋体" w:cs="Times New Roman"/>
          <w:sz w:val="24"/>
          <w:szCs w:val="20"/>
          <w:highlight w:val="none"/>
          <w:u w:val="single"/>
        </w:rPr>
        <w:t>投标单位名称</w:t>
      </w:r>
      <w:r>
        <w:rPr>
          <w:rFonts w:hint="eastAsia" w:ascii="宋体" w:hAnsi="宋体" w:eastAsia="宋体" w:cs="Times New Roman"/>
          <w:sz w:val="24"/>
          <w:szCs w:val="20"/>
        </w:rPr>
        <w:t>）对招标人的商业秘密作如下承诺：</w:t>
      </w:r>
    </w:p>
    <w:p w14:paraId="6429E792">
      <w:pPr>
        <w:spacing w:line="360" w:lineRule="auto"/>
        <w:ind w:left="479" w:leftChars="228"/>
        <w:rPr>
          <w:rFonts w:ascii="宋体" w:hAnsi="宋体"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r>
        <w:rPr>
          <w:rFonts w:ascii="宋体" w:hAnsi="宋体" w:eastAsia="宋体" w:cs="Times New Roman"/>
          <w:sz w:val="24"/>
          <w:szCs w:val="20"/>
          <w:u w:val="single"/>
        </w:rPr>
        <w:t xml:space="preserve">                                                                 </w:t>
      </w:r>
    </w:p>
    <w:p w14:paraId="19EA48F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FB26E26">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08B324A">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8BDB381">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D2F61D2">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77D8E3C">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87966C5">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B427372">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45D308E">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60DF78B">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F46CFBA">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70C5EFD">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4C54562">
      <w:pPr>
        <w:spacing w:line="360" w:lineRule="auto"/>
        <w:ind w:firstLine="480" w:firstLineChars="200"/>
        <w:rPr>
          <w:rFonts w:ascii="宋体" w:hAnsi="宋体" w:eastAsia="宋体" w:cs="Times New Roman"/>
          <w:sz w:val="24"/>
          <w:szCs w:val="20"/>
          <w:u w:val="single"/>
        </w:rPr>
      </w:pPr>
    </w:p>
    <w:p w14:paraId="766E9CD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27C6EFB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4E4A12B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bookmarkEnd w:id="29"/>
    <w:bookmarkEnd w:id="30"/>
    <w:p w14:paraId="185112E1">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046B564C">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3</w:t>
      </w:r>
      <w:r>
        <w:rPr>
          <w:rFonts w:hint="default" w:ascii="宋体" w:hAnsi="宋体" w:eastAsia="宋体" w:cs="宋体"/>
          <w:sz w:val="32"/>
          <w:szCs w:val="32"/>
          <w:highlight w:val="none"/>
          <w:lang w:val="en-US" w:eastAsia="zh-CN"/>
        </w:rPr>
        <w:t xml:space="preserve"> 技术规格偏离表</w:t>
      </w:r>
    </w:p>
    <w:p w14:paraId="12682288">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项目名称：</w:t>
      </w:r>
      <w:r>
        <w:rPr>
          <w:rFonts w:hint="eastAsia" w:ascii="宋体" w:hAnsi="宋体" w:eastAsia="宋体" w:cs="Times New Roman"/>
          <w:b/>
          <w:bCs/>
          <w:color w:val="000000"/>
          <w:sz w:val="24"/>
          <w:szCs w:val="24"/>
          <w:u w:val="single"/>
        </w:rPr>
        <w:t>特种车公司</w:t>
      </w:r>
      <w:r>
        <w:rPr>
          <w:rFonts w:hint="eastAsia" w:ascii="宋体" w:hAnsi="宋体" w:cs="Times New Roman"/>
          <w:b/>
          <w:bCs/>
          <w:color w:val="000000"/>
          <w:sz w:val="24"/>
          <w:szCs w:val="24"/>
          <w:u w:val="single"/>
          <w:lang w:val="en-US" w:eastAsia="zh-CN"/>
        </w:rPr>
        <w:t>新建危废库技改</w:t>
      </w:r>
      <w:r>
        <w:rPr>
          <w:rFonts w:hint="eastAsia" w:ascii="宋体" w:hAnsi="宋体" w:eastAsia="宋体" w:cs="Times New Roman"/>
          <w:b/>
          <w:bCs/>
          <w:color w:val="000000"/>
          <w:sz w:val="24"/>
          <w:szCs w:val="24"/>
          <w:u w:val="single"/>
        </w:rPr>
        <w:t>项目</w:t>
      </w:r>
      <w:r>
        <w:rPr>
          <w:rFonts w:hint="default" w:ascii="Times New Roman" w:hAnsi="Times New Roman" w:eastAsia="宋体" w:cs="Times New Roman"/>
          <w:color w:val="000000"/>
          <w:sz w:val="24"/>
          <w:szCs w:val="24"/>
        </w:rPr>
        <w:t xml:space="preserve">                                                          </w:t>
      </w:r>
    </w:p>
    <w:tbl>
      <w:tblPr>
        <w:tblStyle w:val="30"/>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275ED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0F7F4984">
            <w:pPr>
              <w:jc w:val="center"/>
              <w:rPr>
                <w:rFonts w:hint="default" w:ascii="Times New Roman" w:hAnsi="Times New Roman" w:eastAsia="宋体" w:cs="Times New Roman"/>
                <w:b/>
                <w:szCs w:val="20"/>
              </w:rPr>
            </w:pPr>
            <w:r>
              <w:rPr>
                <w:rFonts w:hint="default" w:ascii="Times New Roman" w:hAnsi="Times New Roman" w:eastAsia="宋体" w:cs="Times New Roman"/>
                <w:b/>
                <w:szCs w:val="20"/>
              </w:rPr>
              <w:t>序号</w:t>
            </w:r>
          </w:p>
        </w:tc>
        <w:tc>
          <w:tcPr>
            <w:tcW w:w="3449" w:type="dxa"/>
            <w:vAlign w:val="center"/>
          </w:tcPr>
          <w:p w14:paraId="6153395A">
            <w:pPr>
              <w:jc w:val="center"/>
              <w:rPr>
                <w:rFonts w:hint="default" w:ascii="Times New Roman" w:hAnsi="Times New Roman" w:eastAsia="宋体" w:cs="Times New Roman"/>
                <w:b/>
                <w:szCs w:val="20"/>
              </w:rPr>
            </w:pPr>
            <w:r>
              <w:rPr>
                <w:rFonts w:hint="default" w:ascii="Times New Roman" w:hAnsi="Times New Roman" w:eastAsia="宋体" w:cs="Times New Roman"/>
                <w:b/>
                <w:szCs w:val="20"/>
              </w:rPr>
              <w:t>招标要求</w:t>
            </w:r>
          </w:p>
        </w:tc>
        <w:tc>
          <w:tcPr>
            <w:tcW w:w="2414" w:type="dxa"/>
            <w:vAlign w:val="center"/>
          </w:tcPr>
          <w:p w14:paraId="3AB0CFF6">
            <w:pPr>
              <w:jc w:val="center"/>
              <w:rPr>
                <w:rFonts w:hint="default" w:ascii="Times New Roman" w:hAnsi="Times New Roman" w:eastAsia="宋体" w:cs="Times New Roman"/>
                <w:b/>
                <w:szCs w:val="20"/>
              </w:rPr>
            </w:pPr>
            <w:r>
              <w:rPr>
                <w:rFonts w:hint="default" w:ascii="Times New Roman" w:hAnsi="Times New Roman" w:eastAsia="宋体" w:cs="Times New Roman"/>
                <w:b/>
                <w:szCs w:val="20"/>
              </w:rPr>
              <w:t>响应规格</w:t>
            </w:r>
          </w:p>
        </w:tc>
        <w:tc>
          <w:tcPr>
            <w:tcW w:w="1608" w:type="dxa"/>
            <w:vAlign w:val="center"/>
          </w:tcPr>
          <w:p w14:paraId="741FF31B">
            <w:pPr>
              <w:jc w:val="center"/>
              <w:rPr>
                <w:rFonts w:hint="default" w:ascii="Times New Roman" w:hAnsi="Times New Roman" w:eastAsia="宋体" w:cs="Times New Roman"/>
                <w:b/>
                <w:szCs w:val="20"/>
              </w:rPr>
            </w:pPr>
            <w:r>
              <w:rPr>
                <w:rFonts w:hint="default" w:ascii="Times New Roman" w:hAnsi="Times New Roman" w:eastAsia="宋体" w:cs="Times New Roman"/>
                <w:b/>
                <w:szCs w:val="20"/>
              </w:rPr>
              <w:t>是否偏离</w:t>
            </w:r>
          </w:p>
        </w:tc>
      </w:tr>
      <w:tr w14:paraId="3FE38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AA65257">
            <w:pPr>
              <w:jc w:val="both"/>
              <w:rPr>
                <w:rFonts w:hint="default" w:ascii="Times New Roman" w:hAnsi="Times New Roman" w:eastAsia="宋体" w:cs="Times New Roman"/>
                <w:b/>
                <w:sz w:val="24"/>
                <w:szCs w:val="20"/>
              </w:rPr>
            </w:pPr>
          </w:p>
        </w:tc>
        <w:tc>
          <w:tcPr>
            <w:tcW w:w="3449" w:type="dxa"/>
          </w:tcPr>
          <w:p w14:paraId="4F8C55D6">
            <w:pPr>
              <w:jc w:val="both"/>
              <w:rPr>
                <w:rFonts w:hint="default" w:ascii="Times New Roman" w:hAnsi="Times New Roman" w:eastAsia="宋体" w:cs="Times New Roman"/>
                <w:b/>
                <w:sz w:val="24"/>
                <w:szCs w:val="20"/>
              </w:rPr>
            </w:pPr>
          </w:p>
        </w:tc>
        <w:tc>
          <w:tcPr>
            <w:tcW w:w="2414" w:type="dxa"/>
          </w:tcPr>
          <w:p w14:paraId="612B376F">
            <w:pPr>
              <w:jc w:val="both"/>
              <w:rPr>
                <w:rFonts w:hint="default" w:ascii="Times New Roman" w:hAnsi="Times New Roman" w:eastAsia="宋体" w:cs="Times New Roman"/>
                <w:b/>
                <w:sz w:val="24"/>
                <w:szCs w:val="20"/>
              </w:rPr>
            </w:pPr>
          </w:p>
        </w:tc>
        <w:tc>
          <w:tcPr>
            <w:tcW w:w="1608" w:type="dxa"/>
          </w:tcPr>
          <w:p w14:paraId="16334D71">
            <w:pPr>
              <w:jc w:val="both"/>
              <w:rPr>
                <w:rFonts w:hint="default" w:ascii="Times New Roman" w:hAnsi="Times New Roman" w:eastAsia="宋体" w:cs="Times New Roman"/>
                <w:b/>
                <w:sz w:val="24"/>
                <w:szCs w:val="20"/>
              </w:rPr>
            </w:pPr>
          </w:p>
        </w:tc>
      </w:tr>
      <w:tr w14:paraId="3D3A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3B103747">
            <w:pPr>
              <w:jc w:val="both"/>
              <w:rPr>
                <w:rFonts w:hint="default" w:ascii="Times New Roman" w:hAnsi="Times New Roman" w:eastAsia="宋体" w:cs="Times New Roman"/>
                <w:b/>
                <w:sz w:val="24"/>
                <w:szCs w:val="20"/>
              </w:rPr>
            </w:pPr>
          </w:p>
        </w:tc>
        <w:tc>
          <w:tcPr>
            <w:tcW w:w="3449" w:type="dxa"/>
          </w:tcPr>
          <w:p w14:paraId="48DCD05E">
            <w:pPr>
              <w:jc w:val="both"/>
              <w:rPr>
                <w:rFonts w:hint="default" w:ascii="Times New Roman" w:hAnsi="Times New Roman" w:eastAsia="宋体" w:cs="Times New Roman"/>
                <w:b/>
                <w:sz w:val="24"/>
                <w:szCs w:val="20"/>
              </w:rPr>
            </w:pPr>
          </w:p>
        </w:tc>
        <w:tc>
          <w:tcPr>
            <w:tcW w:w="2414" w:type="dxa"/>
          </w:tcPr>
          <w:p w14:paraId="2B85A087">
            <w:pPr>
              <w:jc w:val="both"/>
              <w:rPr>
                <w:rFonts w:hint="default" w:ascii="Times New Roman" w:hAnsi="Times New Roman" w:eastAsia="宋体" w:cs="Times New Roman"/>
                <w:b/>
                <w:sz w:val="24"/>
                <w:szCs w:val="20"/>
              </w:rPr>
            </w:pPr>
          </w:p>
        </w:tc>
        <w:tc>
          <w:tcPr>
            <w:tcW w:w="1608" w:type="dxa"/>
          </w:tcPr>
          <w:p w14:paraId="2897E9E5">
            <w:pPr>
              <w:jc w:val="both"/>
              <w:rPr>
                <w:rFonts w:hint="default" w:ascii="Times New Roman" w:hAnsi="Times New Roman" w:eastAsia="宋体" w:cs="Times New Roman"/>
                <w:b/>
                <w:sz w:val="24"/>
                <w:szCs w:val="20"/>
              </w:rPr>
            </w:pPr>
          </w:p>
        </w:tc>
      </w:tr>
      <w:tr w14:paraId="418EC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1176C6B4">
            <w:pPr>
              <w:jc w:val="both"/>
              <w:rPr>
                <w:rFonts w:hint="default" w:ascii="Times New Roman" w:hAnsi="Times New Roman" w:eastAsia="宋体" w:cs="Times New Roman"/>
                <w:b/>
                <w:sz w:val="24"/>
                <w:szCs w:val="20"/>
              </w:rPr>
            </w:pPr>
          </w:p>
        </w:tc>
        <w:tc>
          <w:tcPr>
            <w:tcW w:w="3449" w:type="dxa"/>
          </w:tcPr>
          <w:p w14:paraId="6AFB3C9F">
            <w:pPr>
              <w:jc w:val="both"/>
              <w:rPr>
                <w:rFonts w:hint="default" w:ascii="Times New Roman" w:hAnsi="Times New Roman" w:eastAsia="宋体" w:cs="Times New Roman"/>
                <w:b/>
                <w:sz w:val="24"/>
                <w:szCs w:val="20"/>
              </w:rPr>
            </w:pPr>
          </w:p>
        </w:tc>
        <w:tc>
          <w:tcPr>
            <w:tcW w:w="2414" w:type="dxa"/>
          </w:tcPr>
          <w:p w14:paraId="2213BF02">
            <w:pPr>
              <w:jc w:val="both"/>
              <w:rPr>
                <w:rFonts w:hint="default" w:ascii="Times New Roman" w:hAnsi="Times New Roman" w:eastAsia="宋体" w:cs="Times New Roman"/>
                <w:b/>
                <w:sz w:val="24"/>
                <w:szCs w:val="20"/>
              </w:rPr>
            </w:pPr>
          </w:p>
        </w:tc>
        <w:tc>
          <w:tcPr>
            <w:tcW w:w="1608" w:type="dxa"/>
          </w:tcPr>
          <w:p w14:paraId="6966F408">
            <w:pPr>
              <w:jc w:val="both"/>
              <w:rPr>
                <w:rFonts w:hint="default" w:ascii="Times New Roman" w:hAnsi="Times New Roman" w:eastAsia="宋体" w:cs="Times New Roman"/>
                <w:b/>
                <w:sz w:val="24"/>
                <w:szCs w:val="20"/>
              </w:rPr>
            </w:pPr>
          </w:p>
        </w:tc>
      </w:tr>
      <w:tr w14:paraId="17556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7F3ED41F">
            <w:pPr>
              <w:jc w:val="both"/>
              <w:rPr>
                <w:rFonts w:hint="default" w:ascii="Times New Roman" w:hAnsi="Times New Roman" w:eastAsia="宋体" w:cs="Times New Roman"/>
                <w:b/>
                <w:sz w:val="24"/>
                <w:szCs w:val="20"/>
              </w:rPr>
            </w:pPr>
          </w:p>
        </w:tc>
        <w:tc>
          <w:tcPr>
            <w:tcW w:w="3449" w:type="dxa"/>
          </w:tcPr>
          <w:p w14:paraId="172B6E08">
            <w:pPr>
              <w:jc w:val="both"/>
              <w:rPr>
                <w:rFonts w:hint="default" w:ascii="Times New Roman" w:hAnsi="Times New Roman" w:eastAsia="宋体" w:cs="Times New Roman"/>
                <w:b/>
                <w:sz w:val="24"/>
                <w:szCs w:val="20"/>
              </w:rPr>
            </w:pPr>
          </w:p>
        </w:tc>
        <w:tc>
          <w:tcPr>
            <w:tcW w:w="2414" w:type="dxa"/>
          </w:tcPr>
          <w:p w14:paraId="193973A3">
            <w:pPr>
              <w:jc w:val="both"/>
              <w:rPr>
                <w:rFonts w:hint="default" w:ascii="Times New Roman" w:hAnsi="Times New Roman" w:eastAsia="宋体" w:cs="Times New Roman"/>
                <w:b/>
                <w:sz w:val="24"/>
                <w:szCs w:val="20"/>
              </w:rPr>
            </w:pPr>
          </w:p>
        </w:tc>
        <w:tc>
          <w:tcPr>
            <w:tcW w:w="1608" w:type="dxa"/>
          </w:tcPr>
          <w:p w14:paraId="1092C7D9">
            <w:pPr>
              <w:jc w:val="both"/>
              <w:rPr>
                <w:rFonts w:hint="default" w:ascii="Times New Roman" w:hAnsi="Times New Roman" w:eastAsia="宋体" w:cs="Times New Roman"/>
                <w:b/>
                <w:sz w:val="24"/>
                <w:szCs w:val="20"/>
              </w:rPr>
            </w:pPr>
          </w:p>
        </w:tc>
      </w:tr>
      <w:tr w14:paraId="4FD5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D9B8D10">
            <w:pPr>
              <w:jc w:val="both"/>
              <w:rPr>
                <w:rFonts w:hint="default" w:ascii="Times New Roman" w:hAnsi="Times New Roman" w:eastAsia="宋体" w:cs="Times New Roman"/>
                <w:b/>
                <w:sz w:val="24"/>
                <w:szCs w:val="20"/>
              </w:rPr>
            </w:pPr>
          </w:p>
        </w:tc>
        <w:tc>
          <w:tcPr>
            <w:tcW w:w="3449" w:type="dxa"/>
          </w:tcPr>
          <w:p w14:paraId="4AD1E274">
            <w:pPr>
              <w:jc w:val="both"/>
              <w:rPr>
                <w:rFonts w:hint="default" w:ascii="Times New Roman" w:hAnsi="Times New Roman" w:eastAsia="宋体" w:cs="Times New Roman"/>
                <w:b/>
                <w:sz w:val="24"/>
                <w:szCs w:val="20"/>
              </w:rPr>
            </w:pPr>
          </w:p>
        </w:tc>
        <w:tc>
          <w:tcPr>
            <w:tcW w:w="2414" w:type="dxa"/>
          </w:tcPr>
          <w:p w14:paraId="2FD4F9EE">
            <w:pPr>
              <w:jc w:val="both"/>
              <w:rPr>
                <w:rFonts w:hint="default" w:ascii="Times New Roman" w:hAnsi="Times New Roman" w:eastAsia="宋体" w:cs="Times New Roman"/>
                <w:b/>
                <w:sz w:val="24"/>
                <w:szCs w:val="20"/>
              </w:rPr>
            </w:pPr>
          </w:p>
        </w:tc>
        <w:tc>
          <w:tcPr>
            <w:tcW w:w="1608" w:type="dxa"/>
          </w:tcPr>
          <w:p w14:paraId="6C579792">
            <w:pPr>
              <w:jc w:val="both"/>
              <w:rPr>
                <w:rFonts w:hint="default" w:ascii="Times New Roman" w:hAnsi="Times New Roman" w:eastAsia="宋体" w:cs="Times New Roman"/>
                <w:b/>
                <w:sz w:val="24"/>
                <w:szCs w:val="20"/>
              </w:rPr>
            </w:pPr>
          </w:p>
        </w:tc>
      </w:tr>
      <w:tr w14:paraId="2F0B5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39D52B24">
            <w:pPr>
              <w:jc w:val="both"/>
              <w:rPr>
                <w:rFonts w:hint="default" w:ascii="Times New Roman" w:hAnsi="Times New Roman" w:eastAsia="宋体" w:cs="Times New Roman"/>
                <w:b/>
                <w:sz w:val="24"/>
                <w:szCs w:val="20"/>
              </w:rPr>
            </w:pPr>
          </w:p>
        </w:tc>
        <w:tc>
          <w:tcPr>
            <w:tcW w:w="3449" w:type="dxa"/>
          </w:tcPr>
          <w:p w14:paraId="5C2B5003">
            <w:pPr>
              <w:jc w:val="both"/>
              <w:rPr>
                <w:rFonts w:hint="default" w:ascii="Times New Roman" w:hAnsi="Times New Roman" w:eastAsia="宋体" w:cs="Times New Roman"/>
                <w:b/>
                <w:sz w:val="24"/>
                <w:szCs w:val="20"/>
              </w:rPr>
            </w:pPr>
          </w:p>
        </w:tc>
        <w:tc>
          <w:tcPr>
            <w:tcW w:w="2414" w:type="dxa"/>
          </w:tcPr>
          <w:p w14:paraId="6728DA64">
            <w:pPr>
              <w:jc w:val="both"/>
              <w:rPr>
                <w:rFonts w:hint="default" w:ascii="Times New Roman" w:hAnsi="Times New Roman" w:eastAsia="宋体" w:cs="Times New Roman"/>
                <w:b/>
                <w:sz w:val="24"/>
                <w:szCs w:val="20"/>
              </w:rPr>
            </w:pPr>
          </w:p>
        </w:tc>
        <w:tc>
          <w:tcPr>
            <w:tcW w:w="1608" w:type="dxa"/>
          </w:tcPr>
          <w:p w14:paraId="6A2C503A">
            <w:pPr>
              <w:jc w:val="both"/>
              <w:rPr>
                <w:rFonts w:hint="default" w:ascii="Times New Roman" w:hAnsi="Times New Roman" w:eastAsia="宋体" w:cs="Times New Roman"/>
                <w:b/>
                <w:sz w:val="24"/>
                <w:szCs w:val="20"/>
              </w:rPr>
            </w:pPr>
          </w:p>
        </w:tc>
      </w:tr>
      <w:tr w14:paraId="4178B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EA085E9">
            <w:pPr>
              <w:jc w:val="both"/>
              <w:rPr>
                <w:rFonts w:hint="default" w:ascii="Times New Roman" w:hAnsi="Times New Roman" w:eastAsia="宋体" w:cs="Times New Roman"/>
                <w:b/>
                <w:sz w:val="24"/>
                <w:szCs w:val="20"/>
              </w:rPr>
            </w:pPr>
          </w:p>
        </w:tc>
        <w:tc>
          <w:tcPr>
            <w:tcW w:w="3449" w:type="dxa"/>
          </w:tcPr>
          <w:p w14:paraId="202609EE">
            <w:pPr>
              <w:jc w:val="both"/>
              <w:rPr>
                <w:rFonts w:hint="default" w:ascii="Times New Roman" w:hAnsi="Times New Roman" w:eastAsia="宋体" w:cs="Times New Roman"/>
                <w:b/>
                <w:sz w:val="24"/>
                <w:szCs w:val="20"/>
              </w:rPr>
            </w:pPr>
          </w:p>
        </w:tc>
        <w:tc>
          <w:tcPr>
            <w:tcW w:w="2414" w:type="dxa"/>
          </w:tcPr>
          <w:p w14:paraId="1CC0FAA5">
            <w:pPr>
              <w:jc w:val="both"/>
              <w:rPr>
                <w:rFonts w:hint="default" w:ascii="Times New Roman" w:hAnsi="Times New Roman" w:eastAsia="宋体" w:cs="Times New Roman"/>
                <w:b/>
                <w:sz w:val="24"/>
                <w:szCs w:val="20"/>
              </w:rPr>
            </w:pPr>
          </w:p>
        </w:tc>
        <w:tc>
          <w:tcPr>
            <w:tcW w:w="1608" w:type="dxa"/>
          </w:tcPr>
          <w:p w14:paraId="5BE12FD0">
            <w:pPr>
              <w:jc w:val="both"/>
              <w:rPr>
                <w:rFonts w:hint="default" w:ascii="Times New Roman" w:hAnsi="Times New Roman" w:eastAsia="宋体" w:cs="Times New Roman"/>
                <w:b/>
                <w:sz w:val="24"/>
                <w:szCs w:val="20"/>
              </w:rPr>
            </w:pPr>
          </w:p>
        </w:tc>
      </w:tr>
      <w:tr w14:paraId="0CB5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668CD151">
            <w:pPr>
              <w:jc w:val="both"/>
              <w:rPr>
                <w:rFonts w:hint="default" w:ascii="Times New Roman" w:hAnsi="Times New Roman" w:eastAsia="宋体" w:cs="Times New Roman"/>
                <w:b/>
                <w:sz w:val="24"/>
                <w:szCs w:val="20"/>
              </w:rPr>
            </w:pPr>
          </w:p>
        </w:tc>
        <w:tc>
          <w:tcPr>
            <w:tcW w:w="3449" w:type="dxa"/>
          </w:tcPr>
          <w:p w14:paraId="309D6B63">
            <w:pPr>
              <w:jc w:val="both"/>
              <w:rPr>
                <w:rFonts w:hint="default" w:ascii="Times New Roman" w:hAnsi="Times New Roman" w:eastAsia="宋体" w:cs="Times New Roman"/>
                <w:b/>
                <w:sz w:val="24"/>
                <w:szCs w:val="20"/>
              </w:rPr>
            </w:pPr>
          </w:p>
        </w:tc>
        <w:tc>
          <w:tcPr>
            <w:tcW w:w="2414" w:type="dxa"/>
          </w:tcPr>
          <w:p w14:paraId="265BFF68">
            <w:pPr>
              <w:jc w:val="both"/>
              <w:rPr>
                <w:rFonts w:hint="default" w:ascii="Times New Roman" w:hAnsi="Times New Roman" w:eastAsia="宋体" w:cs="Times New Roman"/>
                <w:b/>
                <w:sz w:val="24"/>
                <w:szCs w:val="20"/>
              </w:rPr>
            </w:pPr>
          </w:p>
        </w:tc>
        <w:tc>
          <w:tcPr>
            <w:tcW w:w="1608" w:type="dxa"/>
          </w:tcPr>
          <w:p w14:paraId="2993B54E">
            <w:pPr>
              <w:jc w:val="both"/>
              <w:rPr>
                <w:rFonts w:hint="default" w:ascii="Times New Roman" w:hAnsi="Times New Roman" w:eastAsia="宋体" w:cs="Times New Roman"/>
                <w:b/>
                <w:sz w:val="24"/>
                <w:szCs w:val="20"/>
              </w:rPr>
            </w:pPr>
          </w:p>
        </w:tc>
      </w:tr>
      <w:tr w14:paraId="1E980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C675E78">
            <w:pPr>
              <w:jc w:val="both"/>
              <w:rPr>
                <w:rFonts w:hint="default" w:ascii="Times New Roman" w:hAnsi="Times New Roman" w:eastAsia="宋体" w:cs="Times New Roman"/>
                <w:b/>
                <w:sz w:val="24"/>
                <w:szCs w:val="20"/>
              </w:rPr>
            </w:pPr>
          </w:p>
        </w:tc>
        <w:tc>
          <w:tcPr>
            <w:tcW w:w="3449" w:type="dxa"/>
          </w:tcPr>
          <w:p w14:paraId="55FCB82C">
            <w:pPr>
              <w:jc w:val="both"/>
              <w:rPr>
                <w:rFonts w:hint="default" w:ascii="Times New Roman" w:hAnsi="Times New Roman" w:eastAsia="宋体" w:cs="Times New Roman"/>
                <w:b/>
                <w:sz w:val="24"/>
                <w:szCs w:val="20"/>
              </w:rPr>
            </w:pPr>
          </w:p>
        </w:tc>
        <w:tc>
          <w:tcPr>
            <w:tcW w:w="2414" w:type="dxa"/>
          </w:tcPr>
          <w:p w14:paraId="37BA3A88">
            <w:pPr>
              <w:jc w:val="both"/>
              <w:rPr>
                <w:rFonts w:hint="default" w:ascii="Times New Roman" w:hAnsi="Times New Roman" w:eastAsia="宋体" w:cs="Times New Roman"/>
                <w:b/>
                <w:sz w:val="24"/>
                <w:szCs w:val="20"/>
              </w:rPr>
            </w:pPr>
          </w:p>
        </w:tc>
        <w:tc>
          <w:tcPr>
            <w:tcW w:w="1608" w:type="dxa"/>
          </w:tcPr>
          <w:p w14:paraId="55761853">
            <w:pPr>
              <w:jc w:val="both"/>
              <w:rPr>
                <w:rFonts w:hint="default" w:ascii="Times New Roman" w:hAnsi="Times New Roman" w:eastAsia="宋体" w:cs="Times New Roman"/>
                <w:b/>
                <w:sz w:val="24"/>
                <w:szCs w:val="20"/>
              </w:rPr>
            </w:pPr>
          </w:p>
        </w:tc>
      </w:tr>
      <w:tr w14:paraId="0D776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54D0687A">
            <w:pPr>
              <w:jc w:val="both"/>
              <w:rPr>
                <w:rFonts w:hint="default" w:ascii="Times New Roman" w:hAnsi="Times New Roman" w:eastAsia="宋体" w:cs="Times New Roman"/>
                <w:b/>
                <w:sz w:val="24"/>
                <w:szCs w:val="20"/>
              </w:rPr>
            </w:pPr>
          </w:p>
        </w:tc>
        <w:tc>
          <w:tcPr>
            <w:tcW w:w="3449" w:type="dxa"/>
          </w:tcPr>
          <w:p w14:paraId="24B03495">
            <w:pPr>
              <w:jc w:val="both"/>
              <w:rPr>
                <w:rFonts w:hint="default" w:ascii="Times New Roman" w:hAnsi="Times New Roman" w:eastAsia="宋体" w:cs="Times New Roman"/>
                <w:b/>
                <w:sz w:val="24"/>
                <w:szCs w:val="20"/>
              </w:rPr>
            </w:pPr>
          </w:p>
        </w:tc>
        <w:tc>
          <w:tcPr>
            <w:tcW w:w="2414" w:type="dxa"/>
          </w:tcPr>
          <w:p w14:paraId="1A0BA760">
            <w:pPr>
              <w:jc w:val="both"/>
              <w:rPr>
                <w:rFonts w:hint="default" w:ascii="Times New Roman" w:hAnsi="Times New Roman" w:eastAsia="宋体" w:cs="Times New Roman"/>
                <w:b/>
                <w:sz w:val="24"/>
                <w:szCs w:val="20"/>
              </w:rPr>
            </w:pPr>
          </w:p>
        </w:tc>
        <w:tc>
          <w:tcPr>
            <w:tcW w:w="1608" w:type="dxa"/>
          </w:tcPr>
          <w:p w14:paraId="4F93446F">
            <w:pPr>
              <w:jc w:val="both"/>
              <w:rPr>
                <w:rFonts w:hint="default" w:ascii="Times New Roman" w:hAnsi="Times New Roman" w:eastAsia="宋体" w:cs="Times New Roman"/>
                <w:b/>
                <w:sz w:val="24"/>
                <w:szCs w:val="20"/>
              </w:rPr>
            </w:pPr>
          </w:p>
        </w:tc>
      </w:tr>
      <w:tr w14:paraId="7CBF0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E46CB34">
            <w:pPr>
              <w:jc w:val="both"/>
              <w:rPr>
                <w:rFonts w:hint="default" w:ascii="Times New Roman" w:hAnsi="Times New Roman" w:eastAsia="宋体" w:cs="Times New Roman"/>
                <w:b/>
                <w:sz w:val="24"/>
                <w:szCs w:val="20"/>
              </w:rPr>
            </w:pPr>
          </w:p>
        </w:tc>
        <w:tc>
          <w:tcPr>
            <w:tcW w:w="3449" w:type="dxa"/>
          </w:tcPr>
          <w:p w14:paraId="75A43AB6">
            <w:pPr>
              <w:jc w:val="both"/>
              <w:rPr>
                <w:rFonts w:hint="default" w:ascii="Times New Roman" w:hAnsi="Times New Roman" w:eastAsia="宋体" w:cs="Times New Roman"/>
                <w:b/>
                <w:sz w:val="24"/>
                <w:szCs w:val="20"/>
              </w:rPr>
            </w:pPr>
          </w:p>
        </w:tc>
        <w:tc>
          <w:tcPr>
            <w:tcW w:w="2414" w:type="dxa"/>
          </w:tcPr>
          <w:p w14:paraId="085E19ED">
            <w:pPr>
              <w:jc w:val="both"/>
              <w:rPr>
                <w:rFonts w:hint="default" w:ascii="Times New Roman" w:hAnsi="Times New Roman" w:eastAsia="宋体" w:cs="Times New Roman"/>
                <w:b/>
                <w:sz w:val="24"/>
                <w:szCs w:val="20"/>
              </w:rPr>
            </w:pPr>
          </w:p>
        </w:tc>
        <w:tc>
          <w:tcPr>
            <w:tcW w:w="1608" w:type="dxa"/>
          </w:tcPr>
          <w:p w14:paraId="00BA8E17">
            <w:pPr>
              <w:jc w:val="both"/>
              <w:rPr>
                <w:rFonts w:hint="default" w:ascii="Times New Roman" w:hAnsi="Times New Roman" w:eastAsia="宋体" w:cs="Times New Roman"/>
                <w:b/>
                <w:sz w:val="24"/>
                <w:szCs w:val="20"/>
              </w:rPr>
            </w:pPr>
          </w:p>
        </w:tc>
      </w:tr>
      <w:tr w14:paraId="1B91C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672BFA3">
            <w:pPr>
              <w:jc w:val="both"/>
              <w:rPr>
                <w:rFonts w:hint="default" w:ascii="Times New Roman" w:hAnsi="Times New Roman" w:eastAsia="宋体" w:cs="Times New Roman"/>
                <w:b/>
                <w:sz w:val="24"/>
                <w:szCs w:val="20"/>
              </w:rPr>
            </w:pPr>
          </w:p>
        </w:tc>
        <w:tc>
          <w:tcPr>
            <w:tcW w:w="3449" w:type="dxa"/>
          </w:tcPr>
          <w:p w14:paraId="2B55D7A1">
            <w:pPr>
              <w:jc w:val="both"/>
              <w:rPr>
                <w:rFonts w:hint="default" w:ascii="Times New Roman" w:hAnsi="Times New Roman" w:eastAsia="宋体" w:cs="Times New Roman"/>
                <w:b/>
                <w:sz w:val="24"/>
                <w:szCs w:val="20"/>
              </w:rPr>
            </w:pPr>
          </w:p>
        </w:tc>
        <w:tc>
          <w:tcPr>
            <w:tcW w:w="2414" w:type="dxa"/>
          </w:tcPr>
          <w:p w14:paraId="122C3F72">
            <w:pPr>
              <w:jc w:val="both"/>
              <w:rPr>
                <w:rFonts w:hint="default" w:ascii="Times New Roman" w:hAnsi="Times New Roman" w:eastAsia="宋体" w:cs="Times New Roman"/>
                <w:b/>
                <w:sz w:val="24"/>
                <w:szCs w:val="20"/>
              </w:rPr>
            </w:pPr>
          </w:p>
        </w:tc>
        <w:tc>
          <w:tcPr>
            <w:tcW w:w="1608" w:type="dxa"/>
          </w:tcPr>
          <w:p w14:paraId="11AF55CB">
            <w:pPr>
              <w:jc w:val="both"/>
              <w:rPr>
                <w:rFonts w:hint="default" w:ascii="Times New Roman" w:hAnsi="Times New Roman" w:eastAsia="宋体" w:cs="Times New Roman"/>
                <w:b/>
                <w:sz w:val="24"/>
                <w:szCs w:val="20"/>
              </w:rPr>
            </w:pPr>
          </w:p>
        </w:tc>
      </w:tr>
      <w:tr w14:paraId="2936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01800531">
            <w:pPr>
              <w:jc w:val="both"/>
              <w:rPr>
                <w:rFonts w:hint="default" w:ascii="Times New Roman" w:hAnsi="Times New Roman" w:eastAsia="宋体" w:cs="Times New Roman"/>
                <w:b/>
                <w:sz w:val="24"/>
                <w:szCs w:val="20"/>
              </w:rPr>
            </w:pPr>
          </w:p>
        </w:tc>
        <w:tc>
          <w:tcPr>
            <w:tcW w:w="3449" w:type="dxa"/>
          </w:tcPr>
          <w:p w14:paraId="6DD7015C">
            <w:pPr>
              <w:jc w:val="both"/>
              <w:rPr>
                <w:rFonts w:hint="default" w:ascii="Times New Roman" w:hAnsi="Times New Roman" w:eastAsia="宋体" w:cs="Times New Roman"/>
                <w:b/>
                <w:sz w:val="24"/>
                <w:szCs w:val="20"/>
              </w:rPr>
            </w:pPr>
          </w:p>
        </w:tc>
        <w:tc>
          <w:tcPr>
            <w:tcW w:w="2414" w:type="dxa"/>
          </w:tcPr>
          <w:p w14:paraId="4DB69D9F">
            <w:pPr>
              <w:jc w:val="both"/>
              <w:rPr>
                <w:rFonts w:hint="default" w:ascii="Times New Roman" w:hAnsi="Times New Roman" w:eastAsia="宋体" w:cs="Times New Roman"/>
                <w:b/>
                <w:sz w:val="24"/>
                <w:szCs w:val="20"/>
              </w:rPr>
            </w:pPr>
          </w:p>
        </w:tc>
        <w:tc>
          <w:tcPr>
            <w:tcW w:w="1608" w:type="dxa"/>
          </w:tcPr>
          <w:p w14:paraId="28A71E85">
            <w:pPr>
              <w:jc w:val="both"/>
              <w:rPr>
                <w:rFonts w:hint="default" w:ascii="Times New Roman" w:hAnsi="Times New Roman" w:eastAsia="宋体" w:cs="Times New Roman"/>
                <w:b/>
                <w:sz w:val="24"/>
                <w:szCs w:val="20"/>
              </w:rPr>
            </w:pPr>
          </w:p>
        </w:tc>
      </w:tr>
      <w:tr w14:paraId="4A2B1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53285A3A">
            <w:pPr>
              <w:jc w:val="both"/>
              <w:rPr>
                <w:rFonts w:hint="default" w:ascii="Times New Roman" w:hAnsi="Times New Roman" w:eastAsia="宋体" w:cs="Times New Roman"/>
                <w:b/>
                <w:sz w:val="24"/>
                <w:szCs w:val="20"/>
              </w:rPr>
            </w:pPr>
          </w:p>
        </w:tc>
        <w:tc>
          <w:tcPr>
            <w:tcW w:w="3449" w:type="dxa"/>
          </w:tcPr>
          <w:p w14:paraId="1331CEBC">
            <w:pPr>
              <w:jc w:val="both"/>
              <w:rPr>
                <w:rFonts w:hint="default" w:ascii="Times New Roman" w:hAnsi="Times New Roman" w:eastAsia="宋体" w:cs="Times New Roman"/>
                <w:b/>
                <w:sz w:val="24"/>
                <w:szCs w:val="20"/>
              </w:rPr>
            </w:pPr>
          </w:p>
        </w:tc>
        <w:tc>
          <w:tcPr>
            <w:tcW w:w="2414" w:type="dxa"/>
          </w:tcPr>
          <w:p w14:paraId="2673190E">
            <w:pPr>
              <w:jc w:val="both"/>
              <w:rPr>
                <w:rFonts w:hint="default" w:ascii="Times New Roman" w:hAnsi="Times New Roman" w:eastAsia="宋体" w:cs="Times New Roman"/>
                <w:b/>
                <w:sz w:val="24"/>
                <w:szCs w:val="20"/>
              </w:rPr>
            </w:pPr>
          </w:p>
        </w:tc>
        <w:tc>
          <w:tcPr>
            <w:tcW w:w="1608" w:type="dxa"/>
          </w:tcPr>
          <w:p w14:paraId="7128E168">
            <w:pPr>
              <w:jc w:val="both"/>
              <w:rPr>
                <w:rFonts w:hint="default" w:ascii="Times New Roman" w:hAnsi="Times New Roman" w:eastAsia="宋体" w:cs="Times New Roman"/>
                <w:b/>
                <w:sz w:val="24"/>
                <w:szCs w:val="20"/>
              </w:rPr>
            </w:pPr>
          </w:p>
        </w:tc>
      </w:tr>
    </w:tbl>
    <w:p w14:paraId="39598F96">
      <w:pPr>
        <w:spacing w:line="660" w:lineRule="exact"/>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投标人：（盖章）</w:t>
      </w:r>
    </w:p>
    <w:p w14:paraId="380945F3">
      <w:pPr>
        <w:rPr>
          <w:rFonts w:hint="eastAsia" w:ascii="宋体" w:hAnsi="宋体" w:eastAsia="宋体" w:cs="宋体"/>
          <w:sz w:val="32"/>
          <w:szCs w:val="32"/>
          <w:highlight w:val="none"/>
          <w:lang w:val="en-US" w:eastAsia="zh-CN"/>
        </w:rPr>
      </w:pPr>
      <w:r>
        <w:rPr>
          <w:rFonts w:hint="default" w:ascii="Times New Roman" w:hAnsi="Times New Roman" w:eastAsia="宋体" w:cs="Times New Roman"/>
          <w:sz w:val="24"/>
          <w:szCs w:val="20"/>
        </w:rPr>
        <w:t>法定代表人（委托代理人）：（签字）</w:t>
      </w:r>
      <w:r>
        <w:rPr>
          <w:rFonts w:hint="eastAsia" w:ascii="宋体" w:hAnsi="宋体" w:eastAsia="宋体" w:cs="宋体"/>
          <w:sz w:val="32"/>
          <w:szCs w:val="32"/>
          <w:highlight w:val="none"/>
          <w:lang w:val="en-US" w:eastAsia="zh-CN"/>
        </w:rPr>
        <w:br w:type="page"/>
      </w:r>
    </w:p>
    <w:p w14:paraId="7A0B3535">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附件4 开标一览表</w:t>
      </w:r>
    </w:p>
    <w:p w14:paraId="0F131DE3">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开标一览表</w:t>
      </w:r>
    </w:p>
    <w:p w14:paraId="61C8DA6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项目名称：</w:t>
      </w:r>
      <w:r>
        <w:rPr>
          <w:rFonts w:hint="eastAsia" w:ascii="宋体" w:hAnsi="宋体" w:cs="Times New Roman"/>
          <w:color w:val="000000"/>
          <w:sz w:val="24"/>
          <w:szCs w:val="24"/>
          <w:u w:val="single"/>
          <w:lang w:val="en-US" w:eastAsia="zh-CN"/>
        </w:rPr>
        <w:t xml:space="preserve"> </w:t>
      </w:r>
      <w:r>
        <w:rPr>
          <w:rFonts w:hint="eastAsia" w:ascii="宋体" w:hAnsi="宋体" w:eastAsia="宋体" w:cs="Times New Roman"/>
          <w:b/>
          <w:bCs/>
          <w:color w:val="000000"/>
          <w:sz w:val="24"/>
          <w:szCs w:val="24"/>
          <w:u w:val="single"/>
        </w:rPr>
        <w:t>特种车公司</w:t>
      </w:r>
      <w:r>
        <w:rPr>
          <w:rFonts w:hint="eastAsia" w:ascii="宋体" w:hAnsi="宋体" w:cs="Times New Roman"/>
          <w:b/>
          <w:bCs/>
          <w:color w:val="000000"/>
          <w:sz w:val="24"/>
          <w:szCs w:val="24"/>
          <w:u w:val="single"/>
          <w:lang w:val="en-US" w:eastAsia="zh-CN"/>
        </w:rPr>
        <w:t>新建危废库技改</w:t>
      </w:r>
      <w:r>
        <w:rPr>
          <w:rFonts w:hint="eastAsia" w:ascii="宋体" w:hAnsi="宋体" w:eastAsia="宋体" w:cs="Times New Roman"/>
          <w:b/>
          <w:bCs/>
          <w:color w:val="000000"/>
          <w:sz w:val="24"/>
          <w:szCs w:val="24"/>
          <w:u w:val="single"/>
        </w:rPr>
        <w:t>项目</w:t>
      </w:r>
      <w:r>
        <w:rPr>
          <w:rFonts w:hint="eastAsia" w:ascii="宋体" w:hAnsi="宋体" w:cs="Times New Roman"/>
          <w:color w:val="000000"/>
          <w:sz w:val="24"/>
          <w:szCs w:val="24"/>
          <w:u w:val="single"/>
          <w:lang w:val="en-US" w:eastAsia="zh-CN"/>
        </w:rPr>
        <w:t xml:space="preserve">  </w:t>
      </w:r>
      <w:r>
        <w:rPr>
          <w:rFonts w:ascii="宋体" w:hAnsi="宋体" w:eastAsia="宋体" w:cs="Times New Roman"/>
          <w:color w:val="000000"/>
          <w:sz w:val="24"/>
          <w:szCs w:val="24"/>
        </w:rPr>
        <w:t xml:space="preserve">                                                        </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8"/>
        <w:gridCol w:w="1146"/>
        <w:gridCol w:w="578"/>
        <w:gridCol w:w="2616"/>
        <w:gridCol w:w="728"/>
        <w:gridCol w:w="1933"/>
        <w:gridCol w:w="1481"/>
      </w:tblGrid>
      <w:tr w14:paraId="78716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0" w:type="auto"/>
            <w:vAlign w:val="center"/>
          </w:tcPr>
          <w:p w14:paraId="29F3014C">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0" w:type="auto"/>
            <w:vAlign w:val="center"/>
          </w:tcPr>
          <w:p w14:paraId="23FC3AB2">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0" w:type="auto"/>
            <w:vAlign w:val="center"/>
          </w:tcPr>
          <w:p w14:paraId="70574E83">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0" w:type="auto"/>
            <w:vAlign w:val="center"/>
          </w:tcPr>
          <w:p w14:paraId="45A0F700">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0" w:type="auto"/>
            <w:vAlign w:val="center"/>
          </w:tcPr>
          <w:p w14:paraId="614A1B17">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质保期</w:t>
            </w:r>
          </w:p>
        </w:tc>
        <w:tc>
          <w:tcPr>
            <w:tcW w:w="0" w:type="auto"/>
            <w:vAlign w:val="center"/>
          </w:tcPr>
          <w:p w14:paraId="0B4BF5F8">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付款方式及比例如何响应</w:t>
            </w:r>
          </w:p>
        </w:tc>
        <w:tc>
          <w:tcPr>
            <w:tcW w:w="0" w:type="auto"/>
            <w:vAlign w:val="center"/>
          </w:tcPr>
          <w:p w14:paraId="106A8101">
            <w:pPr>
              <w:jc w:val="center"/>
              <w:rPr>
                <w:rFonts w:hint="default" w:ascii="等线" w:hAnsi="等线" w:eastAsia="等线" w:cs="Times New Roman"/>
                <w:b/>
                <w:szCs w:val="20"/>
                <w:lang w:val="en-US"/>
              </w:rPr>
            </w:pPr>
            <w:r>
              <w:rPr>
                <w:rFonts w:hint="eastAsia" w:cs="Times New Roman"/>
                <w:b/>
                <w:szCs w:val="20"/>
                <w:lang w:val="en-US" w:eastAsia="zh-CN"/>
              </w:rPr>
              <w:t>商务条款是否偏离</w:t>
            </w:r>
          </w:p>
        </w:tc>
      </w:tr>
      <w:tr w14:paraId="36D9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0" w:type="auto"/>
            <w:vAlign w:val="center"/>
          </w:tcPr>
          <w:p w14:paraId="3E3241DB">
            <w:pPr>
              <w:jc w:val="center"/>
              <w:rPr>
                <w:rFonts w:hint="eastAsia"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1</w:t>
            </w:r>
          </w:p>
        </w:tc>
        <w:tc>
          <w:tcPr>
            <w:tcW w:w="0" w:type="auto"/>
            <w:vAlign w:val="center"/>
          </w:tcPr>
          <w:p w14:paraId="1B373155">
            <w:pPr>
              <w:jc w:val="center"/>
              <w:rPr>
                <w:rFonts w:hint="default" w:ascii="Times New Roman" w:hAnsi="Times New Roman" w:eastAsia="宋体" w:cs="Times New Roman"/>
                <w:b/>
                <w:szCs w:val="20"/>
                <w:lang w:val="en-US" w:eastAsia="zh-CN"/>
              </w:rPr>
            </w:pPr>
            <w:r>
              <w:rPr>
                <w:rFonts w:hint="eastAsia" w:ascii="宋体" w:hAnsi="宋体" w:cs="Times New Roman"/>
                <w:b/>
                <w:bCs/>
                <w:color w:val="000000"/>
                <w:sz w:val="24"/>
                <w:szCs w:val="24"/>
                <w:u w:val="single"/>
                <w:lang w:val="en-US" w:eastAsia="zh-CN"/>
              </w:rPr>
              <w:t>新建危废库</w:t>
            </w:r>
          </w:p>
        </w:tc>
        <w:tc>
          <w:tcPr>
            <w:tcW w:w="0" w:type="auto"/>
            <w:vAlign w:val="center"/>
          </w:tcPr>
          <w:p w14:paraId="6D3ABF27">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1</w:t>
            </w:r>
          </w:p>
        </w:tc>
        <w:tc>
          <w:tcPr>
            <w:tcW w:w="0" w:type="auto"/>
            <w:vAlign w:val="center"/>
          </w:tcPr>
          <w:p w14:paraId="2D89E801">
            <w:pPr>
              <w:jc w:val="left"/>
              <w:rPr>
                <w:rFonts w:hint="eastAsia" w:ascii="等线" w:hAnsi="等线" w:eastAsia="等线" w:cs="Times New Roman"/>
                <w:b/>
                <w:szCs w:val="20"/>
                <w:lang w:val="en-US" w:eastAsia="zh-CN"/>
              </w:rPr>
            </w:pPr>
            <w:r>
              <w:rPr>
                <w:rFonts w:hint="eastAsia" w:ascii="等线" w:hAnsi="等线" w:eastAsia="等线" w:cs="Times New Roman"/>
                <w:b/>
                <w:szCs w:val="20"/>
              </w:rPr>
              <w:t>不含税价</w:t>
            </w:r>
            <w:r>
              <w:rPr>
                <w:rFonts w:hint="eastAsia" w:ascii="等线" w:hAnsi="等线" w:eastAsia="等线" w:cs="Times New Roman"/>
                <w:b/>
                <w:szCs w:val="20"/>
                <w:lang w:eastAsia="zh-CN"/>
              </w:rPr>
              <w:t>：</w:t>
            </w:r>
          </w:p>
          <w:p w14:paraId="6AADDBD9">
            <w:pPr>
              <w:jc w:val="left"/>
              <w:rPr>
                <w:rFonts w:hint="default" w:ascii="等线" w:hAnsi="等线" w:eastAsia="等线" w:cs="Times New Roman"/>
                <w:b/>
                <w:szCs w:val="20"/>
                <w:lang w:val="en-US" w:eastAsia="zh-CN"/>
              </w:rPr>
            </w:pPr>
            <w:r>
              <w:rPr>
                <w:rFonts w:hint="eastAsia" w:ascii="等线" w:hAnsi="等线" w:eastAsia="等线" w:cs="Times New Roman"/>
                <w:b/>
                <w:szCs w:val="20"/>
              </w:rPr>
              <w:t>含税价格：</w:t>
            </w:r>
            <w:r>
              <w:rPr>
                <w:rFonts w:hint="eastAsia" w:ascii="等线" w:hAnsi="等线" w:eastAsia="等线" w:cs="Times New Roman"/>
                <w:b/>
                <w:szCs w:val="20"/>
                <w:u w:val="single"/>
                <w:lang w:val="en-US" w:eastAsia="zh-CN"/>
              </w:rPr>
              <w:t xml:space="preserve">    （大写：    ）</w:t>
            </w:r>
          </w:p>
          <w:p w14:paraId="69836C96">
            <w:pPr>
              <w:jc w:val="left"/>
              <w:rPr>
                <w:rFonts w:ascii="Times New Roman" w:hAnsi="Times New Roman" w:eastAsia="宋体" w:cs="Times New Roman"/>
                <w:b/>
                <w:szCs w:val="20"/>
              </w:rPr>
            </w:pPr>
            <w:r>
              <w:rPr>
                <w:rFonts w:hint="eastAsia" w:ascii="等线" w:hAnsi="等线" w:eastAsia="等线" w:cs="Times New Roman"/>
                <w:b/>
                <w:szCs w:val="20"/>
              </w:rPr>
              <w:t>税率：</w:t>
            </w:r>
          </w:p>
        </w:tc>
        <w:tc>
          <w:tcPr>
            <w:tcW w:w="0" w:type="auto"/>
            <w:vAlign w:val="center"/>
          </w:tcPr>
          <w:p w14:paraId="0BF7354B">
            <w:pPr>
              <w:jc w:val="center"/>
              <w:rPr>
                <w:rFonts w:ascii="Times New Roman" w:hAnsi="Times New Roman" w:eastAsia="宋体" w:cs="Times New Roman"/>
                <w:b/>
                <w:szCs w:val="20"/>
              </w:rPr>
            </w:pPr>
          </w:p>
        </w:tc>
        <w:tc>
          <w:tcPr>
            <w:tcW w:w="0" w:type="auto"/>
            <w:vAlign w:val="center"/>
          </w:tcPr>
          <w:p w14:paraId="777CA003">
            <w:pPr>
              <w:jc w:val="center"/>
              <w:rPr>
                <w:rFonts w:ascii="Times New Roman" w:hAnsi="Times New Roman" w:eastAsia="宋体" w:cs="Times New Roman"/>
                <w:b/>
                <w:szCs w:val="20"/>
              </w:rPr>
            </w:pPr>
          </w:p>
        </w:tc>
        <w:tc>
          <w:tcPr>
            <w:tcW w:w="0" w:type="auto"/>
            <w:vAlign w:val="center"/>
          </w:tcPr>
          <w:p w14:paraId="3E079C43">
            <w:pPr>
              <w:jc w:val="center"/>
              <w:rPr>
                <w:rFonts w:ascii="Times New Roman" w:hAnsi="Times New Roman" w:eastAsia="宋体" w:cs="Times New Roman"/>
                <w:b/>
                <w:szCs w:val="20"/>
              </w:rPr>
            </w:pPr>
          </w:p>
        </w:tc>
      </w:tr>
    </w:tbl>
    <w:p w14:paraId="4D757D88">
      <w:pPr>
        <w:rPr>
          <w:rFonts w:ascii="宋体" w:hAnsi="Arial" w:eastAsia="宋体" w:cs="Times New Roman"/>
          <w:sz w:val="24"/>
          <w:szCs w:val="24"/>
        </w:rPr>
      </w:pPr>
    </w:p>
    <w:p w14:paraId="2BFBB5CD">
      <w:pPr>
        <w:spacing w:line="400" w:lineRule="exact"/>
        <w:rPr>
          <w:rFonts w:ascii="宋体" w:hAnsi="Calibri" w:eastAsia="宋体" w:cs="Times New Roman"/>
          <w:szCs w:val="21"/>
        </w:rPr>
      </w:pPr>
      <w:r>
        <w:rPr>
          <w:rFonts w:hint="eastAsia" w:ascii="宋体" w:hAnsi="宋体" w:eastAsia="宋体" w:cs="Times New Roman"/>
          <w:b/>
          <w:bCs/>
          <w:szCs w:val="21"/>
        </w:rPr>
        <w:t>注：</w:t>
      </w:r>
    </w:p>
    <w:p w14:paraId="7550449C">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14:paraId="3A5C49ED">
      <w:pPr>
        <w:spacing w:line="300" w:lineRule="auto"/>
        <w:rPr>
          <w:rFonts w:hint="eastAsia" w:ascii="宋体" w:hAnsi="宋体" w:eastAsia="宋体" w:cs="宋体"/>
          <w:b/>
          <w:szCs w:val="20"/>
        </w:rPr>
      </w:pPr>
      <w:r>
        <w:rPr>
          <w:rFonts w:hint="eastAsia" w:ascii="宋体" w:hAnsi="宋体" w:cs="宋体"/>
          <w:b/>
          <w:szCs w:val="20"/>
          <w:lang w:val="en-US" w:eastAsia="zh-CN"/>
        </w:rPr>
        <w:t>2</w:t>
      </w:r>
      <w:r>
        <w:rPr>
          <w:rFonts w:hint="eastAsia" w:ascii="宋体" w:hAnsi="宋体" w:eastAsia="宋体" w:cs="宋体"/>
          <w:b/>
          <w:szCs w:val="20"/>
        </w:rPr>
        <w:t>.需写明含税价、不含税价格、税率。</w:t>
      </w:r>
    </w:p>
    <w:p w14:paraId="79DF0C60">
      <w:pPr>
        <w:spacing w:line="300" w:lineRule="auto"/>
        <w:rPr>
          <w:rFonts w:hint="eastAsia" w:ascii="宋体" w:hAnsi="宋体" w:eastAsia="宋体" w:cs="宋体"/>
          <w:b/>
          <w:szCs w:val="20"/>
          <w:lang w:val="en-US" w:eastAsia="zh-CN"/>
        </w:rPr>
      </w:pPr>
      <w:r>
        <w:rPr>
          <w:rFonts w:hint="eastAsia" w:ascii="宋体" w:hAnsi="宋体" w:eastAsia="宋体" w:cs="宋体"/>
          <w:b/>
          <w:szCs w:val="20"/>
          <w:lang w:val="en-US" w:eastAsia="zh-CN"/>
        </w:rPr>
        <w:t>3</w:t>
      </w:r>
      <w:r>
        <w:rPr>
          <w:rFonts w:hint="eastAsia" w:ascii="宋体" w:hAnsi="宋体" w:eastAsia="宋体" w:cs="宋体"/>
          <w:b/>
          <w:szCs w:val="20"/>
        </w:rPr>
        <w:t>.投标总价包括设备费、调试费、备品备件、特殊工具、运杂费、装卸费、技术服务费、保险费及增值税和其它税费。</w:t>
      </w:r>
    </w:p>
    <w:p w14:paraId="0B6D547E">
      <w:pPr>
        <w:pStyle w:val="14"/>
        <w:rPr>
          <w:rFonts w:hint="eastAsia" w:hAnsi="宋体" w:eastAsia="宋体" w:cs="Times New Roman"/>
          <w:b/>
          <w:bCs/>
          <w:szCs w:val="21"/>
          <w:highlight w:val="yellow"/>
        </w:rPr>
      </w:pPr>
    </w:p>
    <w:p w14:paraId="257AB1D1">
      <w:pPr>
        <w:pStyle w:val="14"/>
        <w:rPr>
          <w:rFonts w:hint="eastAsia" w:hAnsi="宋体" w:eastAsia="宋体" w:cs="Times New Roman"/>
          <w:b/>
          <w:bCs/>
          <w:szCs w:val="21"/>
          <w:highlight w:val="yellow"/>
        </w:rPr>
      </w:pPr>
    </w:p>
    <w:p w14:paraId="4FE7E487">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投标人：（盖章）</w:t>
      </w:r>
    </w:p>
    <w:p w14:paraId="10FF5B38">
      <w:pPr>
        <w:spacing w:line="660" w:lineRule="exact"/>
        <w:jc w:val="righ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24C716CF">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日</w:t>
      </w:r>
      <w:r>
        <w:rPr>
          <w:rFonts w:ascii="宋体" w:hAnsi="宋体" w:eastAsia="宋体" w:cs="Times New Roman"/>
          <w:sz w:val="24"/>
          <w:szCs w:val="20"/>
        </w:rPr>
        <w:t xml:space="preserve">  </w:t>
      </w:r>
      <w:r>
        <w:rPr>
          <w:rFonts w:hint="eastAsia" w:ascii="宋体" w:hAnsi="宋体" w:eastAsia="宋体" w:cs="Times New Roman"/>
          <w:sz w:val="24"/>
          <w:szCs w:val="20"/>
        </w:rPr>
        <w:t>期：</w:t>
      </w: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01636B8E">
      <w:pPr>
        <w:pStyle w:val="76"/>
        <w:bidi w:val="0"/>
      </w:pPr>
      <w:r>
        <w:t xml:space="preserve"> </w:t>
      </w:r>
    </w:p>
    <w:p w14:paraId="4B1D3C52">
      <w:pPr>
        <w:pStyle w:val="76"/>
        <w:bidi w:val="0"/>
      </w:pPr>
    </w:p>
    <w:p w14:paraId="2F114915">
      <w:pPr>
        <w:pStyle w:val="76"/>
        <w:bidi w:val="0"/>
      </w:pPr>
    </w:p>
    <w:p w14:paraId="36845885">
      <w:pPr>
        <w:rPr>
          <w:rFonts w:hint="eastAsia" w:ascii="宋体" w:hAnsi="宋体" w:eastAsia="宋体" w:cs="宋体"/>
          <w:sz w:val="32"/>
          <w:szCs w:val="32"/>
          <w:highlight w:val="none"/>
          <w:lang w:val="en-US" w:eastAsia="zh-CN"/>
        </w:rPr>
      </w:pPr>
      <w:bookmarkStart w:id="31" w:name="_Toc47976616"/>
      <w:bookmarkStart w:id="32" w:name="_Toc4225"/>
      <w:r>
        <w:rPr>
          <w:rFonts w:hint="eastAsia" w:ascii="宋体" w:hAnsi="宋体" w:eastAsia="宋体" w:cs="宋体"/>
          <w:sz w:val="32"/>
          <w:szCs w:val="32"/>
          <w:highlight w:val="none"/>
          <w:lang w:val="en-US" w:eastAsia="zh-CN"/>
        </w:rPr>
        <w:br w:type="page"/>
      </w:r>
    </w:p>
    <w:p w14:paraId="78F54405">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w:t>
      </w:r>
      <w:bookmarkEnd w:id="31"/>
      <w:bookmarkEnd w:id="32"/>
      <w:r>
        <w:rPr>
          <w:rFonts w:hint="eastAsia" w:ascii="宋体" w:hAnsi="宋体" w:eastAsia="宋体" w:cs="宋体"/>
          <w:sz w:val="32"/>
          <w:szCs w:val="32"/>
          <w:highlight w:val="none"/>
          <w:lang w:val="en-US" w:eastAsia="zh-CN"/>
        </w:rPr>
        <w:t>5 投标函</w:t>
      </w:r>
    </w:p>
    <w:p w14:paraId="19EF38D3">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投标函</w:t>
      </w:r>
    </w:p>
    <w:p w14:paraId="1028CB77">
      <w:pPr>
        <w:spacing w:line="360" w:lineRule="auto"/>
        <w:ind w:firstLine="480" w:firstLineChars="200"/>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rPr>
        <w:t>致：</w:t>
      </w:r>
      <w:r>
        <w:rPr>
          <w:rFonts w:hint="eastAsia" w:ascii="宋体" w:hAnsi="宋体" w:cs="Times New Roman"/>
          <w:color w:val="000000"/>
          <w:sz w:val="24"/>
          <w:szCs w:val="24"/>
          <w:highlight w:val="none"/>
          <w:lang w:eastAsia="zh-CN"/>
        </w:rPr>
        <w:t>中国重汽集团济南</w:t>
      </w:r>
      <w:r>
        <w:rPr>
          <w:rFonts w:hint="eastAsia" w:ascii="宋体" w:hAnsi="宋体" w:cs="Times New Roman"/>
          <w:color w:val="000000"/>
          <w:sz w:val="24"/>
          <w:szCs w:val="24"/>
          <w:highlight w:val="none"/>
          <w:lang w:val="en-US" w:eastAsia="zh-CN"/>
        </w:rPr>
        <w:t>特种车</w:t>
      </w:r>
      <w:r>
        <w:rPr>
          <w:rFonts w:hint="eastAsia" w:ascii="宋体" w:hAnsi="宋体" w:cs="Times New Roman"/>
          <w:color w:val="000000"/>
          <w:sz w:val="24"/>
          <w:szCs w:val="24"/>
          <w:highlight w:val="none"/>
          <w:lang w:eastAsia="zh-CN"/>
        </w:rPr>
        <w:t>有限公司</w:t>
      </w:r>
      <w:r>
        <w:rPr>
          <w:rFonts w:hint="eastAsia" w:ascii="宋体" w:hAnsi="宋体" w:eastAsia="宋体" w:cs="Times New Roman"/>
          <w:color w:val="000000"/>
          <w:sz w:val="24"/>
          <w:szCs w:val="24"/>
          <w:highlight w:val="none"/>
        </w:rPr>
        <w:t>：</w:t>
      </w:r>
    </w:p>
    <w:p w14:paraId="206B43E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highlight w:val="none"/>
        </w:rPr>
        <w:t>根据贵方</w:t>
      </w:r>
      <w:r>
        <w:rPr>
          <w:rFonts w:hint="eastAsia" w:ascii="宋体" w:hAnsi="宋体" w:eastAsia="宋体" w:cs="Times New Roman"/>
          <w:b/>
          <w:bCs/>
          <w:color w:val="000000"/>
          <w:sz w:val="24"/>
          <w:szCs w:val="24"/>
          <w:u w:val="single"/>
        </w:rPr>
        <w:t>特种车公司</w:t>
      </w:r>
      <w:r>
        <w:rPr>
          <w:rFonts w:hint="eastAsia" w:ascii="宋体" w:hAnsi="宋体" w:cs="Times New Roman"/>
          <w:b/>
          <w:bCs/>
          <w:color w:val="000000"/>
          <w:sz w:val="24"/>
          <w:szCs w:val="24"/>
          <w:u w:val="single"/>
          <w:lang w:val="en-US" w:eastAsia="zh-CN"/>
        </w:rPr>
        <w:t>新建危废库技改</w:t>
      </w:r>
      <w:r>
        <w:rPr>
          <w:rFonts w:hint="eastAsia" w:ascii="宋体" w:hAnsi="宋体" w:eastAsia="宋体" w:cs="Times New Roman"/>
          <w:b/>
          <w:bCs/>
          <w:color w:val="000000"/>
          <w:sz w:val="24"/>
          <w:szCs w:val="24"/>
          <w:u w:val="single"/>
        </w:rPr>
        <w:t>项目</w:t>
      </w:r>
      <w:r>
        <w:rPr>
          <w:rFonts w:hint="eastAsia" w:ascii="宋体" w:hAnsi="宋体" w:eastAsia="宋体" w:cs="Times New Roman"/>
          <w:bCs/>
          <w:snapToGrid w:val="0"/>
          <w:color w:val="000000"/>
          <w:kern w:val="0"/>
          <w:sz w:val="24"/>
          <w:szCs w:val="24"/>
        </w:rPr>
        <w:t>招标公告</w:t>
      </w:r>
      <w:r>
        <w:rPr>
          <w:rFonts w:hint="eastAsia" w:ascii="宋体" w:hAnsi="宋体" w:cs="Times New Roman"/>
          <w:bCs/>
          <w:snapToGrid w:val="0"/>
          <w:color w:val="000000"/>
          <w:kern w:val="0"/>
          <w:sz w:val="24"/>
          <w:szCs w:val="24"/>
          <w:lang w:val="en-US" w:eastAsia="zh-CN"/>
        </w:rPr>
        <w:t>及招标文件</w:t>
      </w:r>
      <w:r>
        <w:rPr>
          <w:rFonts w:hint="eastAsia" w:ascii="宋体" w:hAnsi="宋体" w:eastAsia="宋体" w:cs="Times New Roman"/>
          <w:color w:val="000000"/>
          <w:sz w:val="24"/>
          <w:szCs w:val="24"/>
        </w:rPr>
        <w:t>，</w:t>
      </w:r>
      <w:r>
        <w:rPr>
          <w:rFonts w:ascii="宋体" w:hAnsi="宋体" w:eastAsia="宋体" w:cs="Times New Roman"/>
          <w:b/>
          <w:color w:val="000000"/>
          <w:sz w:val="24"/>
          <w:szCs w:val="24"/>
          <w:u w:val="single"/>
        </w:rPr>
        <w:t xml:space="preserve">            </w:t>
      </w:r>
      <w:r>
        <w:rPr>
          <w:rFonts w:hint="eastAsia" w:ascii="宋体" w:hAnsi="宋体" w:eastAsia="宋体" w:cs="Times New Roman"/>
          <w:color w:val="000000"/>
          <w:sz w:val="24"/>
          <w:szCs w:val="24"/>
        </w:rPr>
        <w:t>投标公司，</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法人代表人为</w:t>
      </w:r>
      <w:r>
        <w:rPr>
          <w:rFonts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，正式授权</w:t>
      </w:r>
      <w:r>
        <w:rPr>
          <w:rFonts w:ascii="宋体" w:hAnsi="宋体" w:eastAsia="宋体" w:cs="Times New Roman"/>
          <w:color w:val="000000"/>
          <w:sz w:val="24"/>
          <w:szCs w:val="24"/>
          <w:u w:val="single"/>
        </w:rPr>
        <w:t xml:space="preserve">           </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提交</w:t>
      </w:r>
      <w:r>
        <w:rPr>
          <w:rFonts w:hint="default" w:ascii="Times New Roman" w:hAnsi="Times New Roman" w:eastAsia="宋体" w:cs="Times New Roman"/>
          <w:color w:val="000000"/>
          <w:sz w:val="24"/>
          <w:szCs w:val="24"/>
          <w:highlight w:val="none"/>
        </w:rPr>
        <w:t>纸质投标文件：资质证明文件、商务文件和技术文件正本一份</w:t>
      </w:r>
      <w:r>
        <w:rPr>
          <w:rFonts w:hint="eastAsia" w:cs="Times New Roman"/>
          <w:color w:val="000000"/>
          <w:sz w:val="24"/>
          <w:szCs w:val="24"/>
          <w:highlight w:val="none"/>
          <w:lang w:val="en-US" w:eastAsia="zh-CN"/>
        </w:rPr>
        <w:t>副本4份</w:t>
      </w:r>
      <w:r>
        <w:rPr>
          <w:rFonts w:hint="default" w:ascii="Times New Roman" w:hAnsi="Times New Roman" w:eastAsia="宋体" w:cs="Times New Roman"/>
          <w:color w:val="000000"/>
          <w:sz w:val="24"/>
          <w:szCs w:val="24"/>
          <w:highlight w:val="none"/>
        </w:rPr>
        <w:t>；</w:t>
      </w:r>
      <w:r>
        <w:rPr>
          <w:rFonts w:hint="eastAsia" w:ascii="宋体" w:hAnsi="宋体" w:cs="Times New Roman"/>
          <w:color w:val="000000"/>
          <w:sz w:val="24"/>
          <w:szCs w:val="24"/>
          <w:lang w:val="en-US" w:eastAsia="zh-CN"/>
        </w:rPr>
        <w:t>电子版</w:t>
      </w:r>
      <w:r>
        <w:rPr>
          <w:rFonts w:hint="eastAsia" w:ascii="宋体" w:hAnsi="宋体" w:eastAsia="宋体" w:cs="Times New Roman"/>
          <w:color w:val="000000"/>
          <w:sz w:val="24"/>
          <w:szCs w:val="24"/>
        </w:rPr>
        <w:t>投标文件</w:t>
      </w:r>
      <w:r>
        <w:rPr>
          <w:rFonts w:hint="eastAsia" w:ascii="宋体" w:hAnsi="宋体" w:cs="Times New Roman"/>
          <w:color w:val="000000"/>
          <w:sz w:val="24"/>
          <w:szCs w:val="24"/>
          <w:lang w:val="en-US" w:eastAsia="zh-CN"/>
        </w:rPr>
        <w:t>两</w:t>
      </w:r>
      <w:r>
        <w:rPr>
          <w:rFonts w:hint="default" w:ascii="Times New Roman" w:hAnsi="Times New Roman" w:eastAsia="宋体" w:cs="Times New Roman"/>
          <w:color w:val="000000"/>
          <w:sz w:val="24"/>
          <w:szCs w:val="24"/>
        </w:rPr>
        <w:t>份</w:t>
      </w:r>
      <w:r>
        <w:rPr>
          <w:rFonts w:hint="eastAsia" w:ascii="宋体" w:hAnsi="宋体" w:eastAsia="宋体" w:cs="Times New Roman"/>
          <w:color w:val="000000"/>
          <w:sz w:val="24"/>
          <w:szCs w:val="24"/>
        </w:rPr>
        <w:t>：资质证明文件、商务文件和技术文件。</w:t>
      </w:r>
    </w:p>
    <w:p w14:paraId="03E0DB7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2B74787E">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56F2813B">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4B2357AC">
      <w:pPr>
        <w:spacing w:line="360" w:lineRule="auto"/>
        <w:ind w:firstLine="480" w:firstLineChars="200"/>
        <w:rPr>
          <w:rFonts w:hint="eastAsia" w:ascii="宋体" w:hAnsi="宋体" w:eastAsia="宋体" w:cs="Times New Roman"/>
          <w:color w:val="000000"/>
          <w:sz w:val="24"/>
          <w:szCs w:val="24"/>
          <w:lang w:eastAsia="zh-CN"/>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hint="eastAsia" w:ascii="宋体" w:hAnsi="宋体" w:cs="Times New Roman"/>
          <w:color w:val="000000"/>
          <w:sz w:val="24"/>
          <w:szCs w:val="24"/>
          <w:lang w:val="en-US" w:eastAsia="zh-CN"/>
        </w:rPr>
        <w:t>90</w:t>
      </w:r>
      <w:r>
        <w:rPr>
          <w:rFonts w:hint="eastAsia" w:ascii="宋体" w:hAnsi="宋体" w:eastAsia="宋体" w:cs="Times New Roman"/>
          <w:color w:val="000000"/>
          <w:sz w:val="24"/>
          <w:szCs w:val="24"/>
        </w:rPr>
        <w:t>个日历日。</w:t>
      </w:r>
    </w:p>
    <w:p w14:paraId="5DBE875D">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3F01B889">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18A65B44">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11471D7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r>
        <w:rPr>
          <w:rFonts w:ascii="宋体" w:hAnsi="宋体" w:eastAsia="宋体" w:cs="Times New Roman"/>
          <w:color w:val="000000"/>
          <w:sz w:val="24"/>
          <w:szCs w:val="24"/>
        </w:rPr>
        <w:t xml:space="preserve">                             </w:t>
      </w:r>
    </w:p>
    <w:p w14:paraId="40F4EFF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r>
        <w:rPr>
          <w:rFonts w:ascii="宋体" w:hAnsi="宋体" w:eastAsia="宋体" w:cs="Times New Roman"/>
          <w:color w:val="000000"/>
          <w:sz w:val="24"/>
          <w:szCs w:val="24"/>
        </w:rPr>
        <w:t xml:space="preserve">        </w:t>
      </w:r>
    </w:p>
    <w:p w14:paraId="15176FB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传真：</w:t>
      </w:r>
      <w:r>
        <w:rPr>
          <w:rFonts w:ascii="宋体" w:hAnsi="宋体" w:eastAsia="宋体" w:cs="Times New Roman"/>
          <w:color w:val="000000"/>
          <w:sz w:val="24"/>
          <w:szCs w:val="24"/>
        </w:rPr>
        <w:t xml:space="preserve">                   </w:t>
      </w:r>
    </w:p>
    <w:p w14:paraId="5C1D0EF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w:t>
      </w:r>
      <w:r>
        <w:rPr>
          <w:rFonts w:hint="eastAsia"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职务：</w:t>
      </w:r>
      <w:r>
        <w:rPr>
          <w:rFonts w:ascii="宋体" w:hAnsi="宋体" w:eastAsia="宋体" w:cs="Times New Roman"/>
          <w:color w:val="000000"/>
          <w:sz w:val="24"/>
          <w:szCs w:val="24"/>
        </w:rPr>
        <w:t xml:space="preserve">          </w:t>
      </w:r>
    </w:p>
    <w:p w14:paraId="70E750D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r>
        <w:rPr>
          <w:rFonts w:ascii="宋体" w:hAnsi="宋体" w:eastAsia="宋体" w:cs="Times New Roman"/>
          <w:color w:val="000000"/>
          <w:sz w:val="24"/>
          <w:szCs w:val="24"/>
        </w:rPr>
        <w:t xml:space="preserve">                   </w:t>
      </w:r>
    </w:p>
    <w:p w14:paraId="65E34E8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r>
        <w:rPr>
          <w:rFonts w:ascii="宋体" w:hAnsi="宋体" w:eastAsia="宋体" w:cs="Times New Roman"/>
          <w:color w:val="000000"/>
          <w:sz w:val="24"/>
          <w:szCs w:val="24"/>
        </w:rPr>
        <w:t xml:space="preserve">                   </w:t>
      </w:r>
    </w:p>
    <w:p w14:paraId="0AFD11A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6172B0F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51C525A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323C5FA0">
      <w:pPr>
        <w:pStyle w:val="76"/>
        <w:bidi w:val="0"/>
      </w:pPr>
    </w:p>
    <w:p w14:paraId="699AE92D">
      <w:pPr>
        <w:pStyle w:val="76"/>
        <w:bidi w:val="0"/>
      </w:pPr>
    </w:p>
    <w:p w14:paraId="4F616785">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6</w:t>
      </w:r>
      <w:r>
        <w:rPr>
          <w:rFonts w:hint="default" w:ascii="宋体" w:hAnsi="宋体" w:eastAsia="宋体" w:cs="宋体"/>
          <w:sz w:val="32"/>
          <w:szCs w:val="32"/>
          <w:highlight w:val="none"/>
          <w:lang w:val="en-US" w:eastAsia="zh-CN"/>
        </w:rPr>
        <w:t xml:space="preserve"> 服务承诺函</w:t>
      </w:r>
    </w:p>
    <w:p w14:paraId="7A2A4ED5">
      <w:pPr>
        <w:spacing w:line="240" w:lineRule="exact"/>
        <w:jc w:val="both"/>
        <w:rPr>
          <w:rFonts w:hint="default" w:ascii="Times New Roman" w:hAnsi="Times New Roman" w:eastAsia="宋体" w:cs="Times New Roman"/>
          <w:b/>
          <w:bCs/>
          <w:sz w:val="36"/>
          <w:szCs w:val="20"/>
        </w:rPr>
      </w:pPr>
    </w:p>
    <w:p w14:paraId="610B2500">
      <w:pPr>
        <w:spacing w:line="360" w:lineRule="auto"/>
        <w:jc w:val="both"/>
        <w:rPr>
          <w:rFonts w:hint="default" w:ascii="Times New Roman" w:hAnsi="Times New Roman" w:eastAsia="宋体" w:cs="Times New Roman"/>
          <w:sz w:val="24"/>
          <w:szCs w:val="20"/>
          <w:highlight w:val="none"/>
        </w:rPr>
      </w:pPr>
      <w:r>
        <w:rPr>
          <w:rFonts w:hint="default" w:ascii="Times New Roman" w:hAnsi="Times New Roman" w:eastAsia="宋体" w:cs="Times New Roman"/>
          <w:sz w:val="24"/>
          <w:szCs w:val="20"/>
        </w:rPr>
        <w:t>项目名称：</w:t>
      </w:r>
      <w:r>
        <w:rPr>
          <w:rFonts w:hint="eastAsia" w:ascii="宋体" w:hAnsi="宋体" w:eastAsia="宋体" w:cs="Times New Roman"/>
          <w:b/>
          <w:bCs/>
          <w:color w:val="000000"/>
          <w:sz w:val="24"/>
          <w:szCs w:val="24"/>
          <w:u w:val="single"/>
        </w:rPr>
        <w:t>特种车公司</w:t>
      </w:r>
      <w:r>
        <w:rPr>
          <w:rFonts w:hint="eastAsia" w:ascii="宋体" w:hAnsi="宋体" w:cs="Times New Roman"/>
          <w:b/>
          <w:bCs/>
          <w:color w:val="000000"/>
          <w:sz w:val="24"/>
          <w:szCs w:val="24"/>
          <w:u w:val="single"/>
          <w:lang w:val="en-US" w:eastAsia="zh-CN"/>
        </w:rPr>
        <w:t>新建危废库技改</w:t>
      </w:r>
      <w:r>
        <w:rPr>
          <w:rFonts w:hint="eastAsia" w:ascii="宋体" w:hAnsi="宋体" w:eastAsia="宋体" w:cs="Times New Roman"/>
          <w:b/>
          <w:bCs/>
          <w:color w:val="000000"/>
          <w:sz w:val="24"/>
          <w:szCs w:val="24"/>
          <w:u w:val="single"/>
        </w:rPr>
        <w:t>项目</w:t>
      </w:r>
    </w:p>
    <w:p w14:paraId="646BEFD0">
      <w:pPr>
        <w:spacing w:line="360" w:lineRule="auto"/>
        <w:jc w:val="both"/>
        <w:rPr>
          <w:rFonts w:hint="default" w:ascii="Times New Roman" w:hAnsi="Times New Roman" w:eastAsia="宋体" w:cs="Times New Roman"/>
          <w:b/>
          <w:bCs/>
          <w:sz w:val="24"/>
          <w:szCs w:val="20"/>
        </w:rPr>
      </w:pPr>
      <w:r>
        <w:rPr>
          <w:rFonts w:hint="eastAsia" w:cs="Times New Roman"/>
          <w:b/>
          <w:bCs/>
          <w:sz w:val="24"/>
          <w:szCs w:val="20"/>
          <w:lang w:eastAsia="zh-CN"/>
        </w:rPr>
        <w:t>中国重汽集团济南</w:t>
      </w:r>
      <w:r>
        <w:rPr>
          <w:rFonts w:hint="eastAsia" w:cs="Times New Roman"/>
          <w:b/>
          <w:bCs/>
          <w:sz w:val="24"/>
          <w:szCs w:val="20"/>
          <w:lang w:val="en-US" w:eastAsia="zh-CN"/>
        </w:rPr>
        <w:t>特种车</w:t>
      </w:r>
      <w:r>
        <w:rPr>
          <w:rFonts w:hint="eastAsia" w:cs="Times New Roman"/>
          <w:b/>
          <w:bCs/>
          <w:sz w:val="24"/>
          <w:szCs w:val="20"/>
          <w:lang w:eastAsia="zh-CN"/>
        </w:rPr>
        <w:t>有限公司</w:t>
      </w:r>
      <w:r>
        <w:rPr>
          <w:rFonts w:hint="default" w:ascii="Times New Roman" w:hAnsi="Times New Roman" w:eastAsia="宋体" w:cs="Times New Roman"/>
          <w:b/>
          <w:bCs/>
          <w:sz w:val="24"/>
          <w:szCs w:val="20"/>
        </w:rPr>
        <w:t>：</w:t>
      </w:r>
    </w:p>
    <w:p w14:paraId="6A0E3C51">
      <w:pPr>
        <w:spacing w:line="360" w:lineRule="auto"/>
        <w:ind w:firstLine="480"/>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我代表（</w:t>
      </w:r>
      <w:r>
        <w:rPr>
          <w:rFonts w:hint="default" w:ascii="Times New Roman" w:hAnsi="Times New Roman" w:eastAsia="宋体" w:cs="Times New Roman"/>
          <w:sz w:val="24"/>
          <w:szCs w:val="20"/>
          <w:lang w:eastAsia="zh-CN"/>
        </w:rPr>
        <w:t>投标人</w:t>
      </w:r>
      <w:r>
        <w:rPr>
          <w:rFonts w:hint="default" w:ascii="Times New Roman" w:hAnsi="Times New Roman" w:eastAsia="宋体" w:cs="Times New Roman"/>
          <w:sz w:val="24"/>
          <w:szCs w:val="20"/>
        </w:rPr>
        <w:t>名称）对中标合同产品的服务作如下承诺：</w:t>
      </w:r>
    </w:p>
    <w:p w14:paraId="51E94ABA">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D751B0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173C709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2B07D1A8">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FF555FE">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B93E074">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5E13227D">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CF5DA8F">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1FB0B06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C4FDE68">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71DAEE6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1D01B7A0">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7ACEA89E">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7E713A6E">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F9AC128">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3A87B5D">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B97669C">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4CE09A1">
      <w:pPr>
        <w:spacing w:line="360" w:lineRule="auto"/>
        <w:ind w:firstLine="480" w:firstLineChars="200"/>
        <w:jc w:val="both"/>
        <w:rPr>
          <w:rFonts w:hint="default" w:ascii="Times New Roman" w:hAnsi="Times New Roman" w:eastAsia="宋体" w:cs="Times New Roman"/>
          <w:sz w:val="24"/>
          <w:szCs w:val="20"/>
          <w:u w:val="single"/>
        </w:rPr>
      </w:pPr>
    </w:p>
    <w:p w14:paraId="1C3D93D2">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投标人：（盖章）</w:t>
      </w:r>
    </w:p>
    <w:p w14:paraId="62CFB385">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法定代表人（委托代理人）：（签字）</w:t>
      </w:r>
    </w:p>
    <w:p w14:paraId="613A4594">
      <w:pPr>
        <w:ind w:firstLine="480" w:firstLineChars="200"/>
        <w:rPr>
          <w:rFonts w:hint="eastAsia" w:ascii="宋体" w:hAnsi="宋体" w:eastAsia="宋体" w:cs="宋体"/>
          <w:sz w:val="32"/>
          <w:szCs w:val="32"/>
          <w:highlight w:val="none"/>
          <w:lang w:val="en-US" w:eastAsia="zh-CN"/>
        </w:rPr>
      </w:pPr>
      <w:r>
        <w:rPr>
          <w:rFonts w:hint="default" w:ascii="Times New Roman" w:hAnsi="Times New Roman" w:eastAsia="宋体" w:cs="Times New Roman"/>
          <w:color w:val="000000"/>
          <w:sz w:val="24"/>
          <w:szCs w:val="24"/>
        </w:rPr>
        <w:t>日  期：       年    月    日</w:t>
      </w:r>
      <w:r>
        <w:rPr>
          <w:rFonts w:hint="eastAsia" w:ascii="宋体" w:hAnsi="宋体" w:eastAsia="宋体" w:cs="宋体"/>
          <w:sz w:val="32"/>
          <w:szCs w:val="32"/>
          <w:highlight w:val="none"/>
          <w:lang w:val="en-US" w:eastAsia="zh-CN"/>
        </w:rPr>
        <w:br w:type="page"/>
      </w:r>
    </w:p>
    <w:p w14:paraId="640A81BD">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附件7 商务条款偏离表</w:t>
      </w:r>
    </w:p>
    <w:p w14:paraId="6FE7CC5B">
      <w:pPr>
        <w:spacing w:line="360" w:lineRule="auto"/>
        <w:jc w:val="center"/>
        <w:rPr>
          <w:rFonts w:hint="eastAsia" w:ascii="宋体" w:hAnsi="宋体" w:cs="宋体"/>
          <w:b/>
          <w:bCs/>
          <w:color w:val="000000"/>
          <w:sz w:val="32"/>
          <w:szCs w:val="32"/>
          <w:lang w:val="en-US" w:eastAsia="zh-CN"/>
        </w:rPr>
      </w:pPr>
      <w:r>
        <w:rPr>
          <w:rFonts w:hint="eastAsia" w:ascii="宋体" w:hAnsi="宋体" w:cs="宋体"/>
          <w:b/>
          <w:bCs/>
          <w:color w:val="000000"/>
          <w:sz w:val="32"/>
          <w:szCs w:val="32"/>
          <w:lang w:val="en-US" w:eastAsia="zh-CN"/>
        </w:rPr>
        <w:t>商务条款偏离表</w:t>
      </w:r>
    </w:p>
    <w:tbl>
      <w:tblPr>
        <w:tblStyle w:val="30"/>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3E4921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B57EE0C">
            <w:pPr>
              <w:jc w:val="center"/>
              <w:rPr>
                <w:rFonts w:hint="default" w:ascii="Times New Roman" w:hAnsi="Times New Roman" w:eastAsia="宋体" w:cs="Times New Roman"/>
                <w:b/>
                <w:szCs w:val="20"/>
                <w:lang w:val="en-US"/>
              </w:rPr>
            </w:pPr>
            <w:r>
              <w:rPr>
                <w:rFonts w:hint="eastAsia" w:ascii="宋体" w:hAnsi="宋体" w:eastAsia="宋体" w:cs="Times New Roman"/>
                <w:b/>
                <w:bCs/>
                <w:color w:val="000000"/>
                <w:sz w:val="24"/>
                <w:szCs w:val="24"/>
                <w:u w:val="single"/>
              </w:rPr>
              <w:t>特种车公司</w:t>
            </w:r>
            <w:r>
              <w:rPr>
                <w:rFonts w:hint="eastAsia" w:ascii="宋体" w:hAnsi="宋体" w:cs="Times New Roman"/>
                <w:b/>
                <w:bCs/>
                <w:color w:val="000000"/>
                <w:sz w:val="24"/>
                <w:szCs w:val="24"/>
                <w:u w:val="single"/>
                <w:lang w:val="en-US" w:eastAsia="zh-CN"/>
              </w:rPr>
              <w:t>新建危废库技改</w:t>
            </w:r>
            <w:r>
              <w:rPr>
                <w:rFonts w:hint="eastAsia" w:ascii="宋体" w:hAnsi="宋体" w:eastAsia="宋体" w:cs="Times New Roman"/>
                <w:b/>
                <w:bCs/>
                <w:color w:val="000000"/>
                <w:sz w:val="24"/>
                <w:szCs w:val="24"/>
                <w:u w:val="single"/>
              </w:rPr>
              <w:t>项目</w:t>
            </w:r>
          </w:p>
        </w:tc>
        <w:tc>
          <w:tcPr>
            <w:tcW w:w="2875" w:type="dxa"/>
            <w:tcBorders>
              <w:top w:val="single" w:color="auto" w:sz="4" w:space="0"/>
              <w:left w:val="single" w:color="auto" w:sz="4" w:space="0"/>
              <w:bottom w:val="single" w:color="auto" w:sz="4" w:space="0"/>
              <w:right w:val="single" w:color="auto" w:sz="4" w:space="0"/>
            </w:tcBorders>
            <w:vAlign w:val="center"/>
          </w:tcPr>
          <w:p w14:paraId="39F919B6">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0EBA3DCA">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01DCE9BB">
            <w:pPr>
              <w:jc w:val="center"/>
              <w:rPr>
                <w:rFonts w:ascii="Times New Roman" w:hAnsi="Times New Roman" w:eastAsia="宋体" w:cs="Times New Roman"/>
                <w:b/>
                <w:szCs w:val="20"/>
              </w:rPr>
            </w:pPr>
            <w:r>
              <w:rPr>
                <w:rFonts w:hint="eastAsia" w:ascii="宋体" w:hAnsi="宋体" w:eastAsia="宋体" w:cs="宋体"/>
                <w:b/>
                <w:szCs w:val="20"/>
              </w:rPr>
              <w:t>是否偏离</w:t>
            </w:r>
          </w:p>
          <w:p w14:paraId="399B6B6D">
            <w:pPr>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1F62BD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150574A">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335AB52D">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27F72303">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08D19032">
            <w:pPr>
              <w:jc w:val="center"/>
              <w:rPr>
                <w:rFonts w:ascii="Times New Roman" w:hAnsi="Times New Roman" w:eastAsia="宋体" w:cs="Times New Roman"/>
                <w:b/>
                <w:szCs w:val="20"/>
              </w:rPr>
            </w:pPr>
          </w:p>
        </w:tc>
      </w:tr>
      <w:tr w14:paraId="1BCD59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354DD132">
            <w:pPr>
              <w:jc w:val="center"/>
              <w:rPr>
                <w:rFonts w:ascii="Times New Roman" w:hAnsi="Times New Roman" w:eastAsia="宋体" w:cs="Times New Roman"/>
                <w:b/>
                <w:szCs w:val="20"/>
              </w:rPr>
            </w:pPr>
            <w:r>
              <w:rPr>
                <w:rFonts w:hint="eastAsia" w:ascii="宋体" w:hAnsi="宋体" w:eastAsia="宋体" w:cs="宋体"/>
                <w:b/>
                <w:szCs w:val="20"/>
              </w:rPr>
              <w:t>交货时间及地点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6ADA0E96">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DEB4A8A">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624B4C06">
            <w:pPr>
              <w:jc w:val="center"/>
              <w:rPr>
                <w:rFonts w:ascii="Times New Roman" w:hAnsi="Times New Roman" w:eastAsia="宋体" w:cs="Times New Roman"/>
                <w:b/>
                <w:szCs w:val="21"/>
              </w:rPr>
            </w:pPr>
          </w:p>
        </w:tc>
      </w:tr>
      <w:tr w14:paraId="1B49F6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40C6424">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14:paraId="1FA8E0F3">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594B8BEF">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25E8A8FC">
            <w:pPr>
              <w:jc w:val="center"/>
              <w:rPr>
                <w:rFonts w:ascii="Times New Roman" w:hAnsi="Times New Roman" w:eastAsia="宋体" w:cs="Times New Roman"/>
                <w:b/>
                <w:szCs w:val="20"/>
              </w:rPr>
            </w:pPr>
          </w:p>
        </w:tc>
      </w:tr>
      <w:tr w14:paraId="426D07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8C73E12">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25D5041B">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46F9A4C6">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7B5DD489">
            <w:pPr>
              <w:jc w:val="center"/>
              <w:rPr>
                <w:rFonts w:ascii="Times New Roman" w:hAnsi="Times New Roman" w:eastAsia="宋体" w:cs="Times New Roman"/>
                <w:b/>
                <w:szCs w:val="21"/>
              </w:rPr>
            </w:pPr>
          </w:p>
          <w:p w14:paraId="61E84D3A">
            <w:pPr>
              <w:jc w:val="center"/>
              <w:rPr>
                <w:rFonts w:ascii="Times New Roman" w:hAnsi="Times New Roman" w:eastAsia="宋体" w:cs="Times New Roman"/>
                <w:b/>
                <w:szCs w:val="21"/>
              </w:rPr>
            </w:pPr>
          </w:p>
          <w:p w14:paraId="0E4F106A">
            <w:pPr>
              <w:jc w:val="center"/>
              <w:rPr>
                <w:rFonts w:ascii="Times New Roman" w:hAnsi="Times New Roman" w:eastAsia="宋体" w:cs="Times New Roman"/>
                <w:b/>
                <w:szCs w:val="21"/>
              </w:rPr>
            </w:pPr>
          </w:p>
          <w:p w14:paraId="104C0105">
            <w:pPr>
              <w:jc w:val="center"/>
              <w:rPr>
                <w:rFonts w:ascii="Times New Roman" w:hAnsi="Times New Roman" w:eastAsia="宋体" w:cs="Times New Roman"/>
                <w:b/>
                <w:szCs w:val="21"/>
              </w:rPr>
            </w:pPr>
          </w:p>
          <w:p w14:paraId="1CDBBE35">
            <w:pPr>
              <w:jc w:val="center"/>
              <w:rPr>
                <w:rFonts w:ascii="Times New Roman" w:hAnsi="Times New Roman" w:eastAsia="宋体" w:cs="Times New Roman"/>
                <w:b/>
                <w:szCs w:val="21"/>
              </w:rPr>
            </w:pPr>
          </w:p>
          <w:p w14:paraId="001832A6">
            <w:pPr>
              <w:jc w:val="center"/>
              <w:rPr>
                <w:rFonts w:ascii="Times New Roman" w:hAnsi="Times New Roman" w:eastAsia="宋体" w:cs="Times New Roman"/>
                <w:b/>
                <w:szCs w:val="21"/>
              </w:rPr>
            </w:pPr>
          </w:p>
          <w:p w14:paraId="0E3D189F">
            <w:pPr>
              <w:jc w:val="center"/>
              <w:rPr>
                <w:rFonts w:ascii="Times New Roman" w:hAnsi="Times New Roman" w:eastAsia="宋体" w:cs="Times New Roman"/>
                <w:b/>
                <w:szCs w:val="21"/>
              </w:rPr>
            </w:pPr>
          </w:p>
          <w:p w14:paraId="286EEB97">
            <w:pPr>
              <w:jc w:val="center"/>
              <w:rPr>
                <w:rFonts w:ascii="Times New Roman" w:hAnsi="Times New Roman" w:eastAsia="宋体" w:cs="Times New Roman"/>
                <w:b/>
                <w:szCs w:val="21"/>
              </w:rPr>
            </w:pPr>
          </w:p>
          <w:p w14:paraId="6D53835A">
            <w:pPr>
              <w:jc w:val="center"/>
              <w:rPr>
                <w:rFonts w:ascii="Times New Roman" w:hAnsi="Times New Roman" w:eastAsia="宋体" w:cs="Times New Roman"/>
                <w:b/>
                <w:szCs w:val="21"/>
              </w:rPr>
            </w:pPr>
          </w:p>
          <w:p w14:paraId="4F00E0A6">
            <w:pPr>
              <w:jc w:val="center"/>
              <w:rPr>
                <w:rFonts w:ascii="Times New Roman" w:hAnsi="Times New Roman" w:eastAsia="宋体" w:cs="Times New Roman"/>
                <w:b/>
                <w:szCs w:val="21"/>
              </w:rPr>
            </w:pPr>
          </w:p>
          <w:p w14:paraId="3E7818E6">
            <w:pPr>
              <w:jc w:val="center"/>
              <w:rPr>
                <w:rFonts w:ascii="Times New Roman" w:hAnsi="Times New Roman" w:eastAsia="宋体" w:cs="Times New Roman"/>
                <w:b/>
                <w:szCs w:val="21"/>
              </w:rPr>
            </w:pPr>
          </w:p>
          <w:p w14:paraId="4C93CD95">
            <w:pPr>
              <w:jc w:val="center"/>
              <w:rPr>
                <w:rFonts w:ascii="Times New Roman" w:hAnsi="Times New Roman" w:eastAsia="宋体" w:cs="Times New Roman"/>
                <w:b/>
                <w:szCs w:val="21"/>
              </w:rPr>
            </w:pPr>
          </w:p>
          <w:p w14:paraId="000E56D0">
            <w:pPr>
              <w:jc w:val="center"/>
              <w:rPr>
                <w:rFonts w:ascii="Times New Roman" w:hAnsi="Times New Roman" w:eastAsia="宋体" w:cs="Times New Roman"/>
                <w:b/>
                <w:szCs w:val="21"/>
              </w:rPr>
            </w:pPr>
          </w:p>
          <w:p w14:paraId="1864AB02">
            <w:pPr>
              <w:jc w:val="center"/>
              <w:rPr>
                <w:rFonts w:ascii="Times New Roman" w:hAnsi="Times New Roman" w:eastAsia="宋体" w:cs="Times New Roman"/>
                <w:b/>
                <w:szCs w:val="21"/>
              </w:rPr>
            </w:pPr>
          </w:p>
          <w:p w14:paraId="3A7D6A03">
            <w:pPr>
              <w:jc w:val="center"/>
              <w:rPr>
                <w:rFonts w:ascii="Times New Roman" w:hAnsi="Times New Roman" w:eastAsia="宋体" w:cs="Times New Roman"/>
                <w:b/>
                <w:szCs w:val="21"/>
              </w:rPr>
            </w:pPr>
          </w:p>
          <w:p w14:paraId="3BA73B63">
            <w:pPr>
              <w:jc w:val="center"/>
              <w:rPr>
                <w:rFonts w:ascii="Times New Roman" w:hAnsi="Times New Roman" w:eastAsia="宋体" w:cs="Times New Roman"/>
                <w:b/>
                <w:szCs w:val="21"/>
              </w:rPr>
            </w:pPr>
          </w:p>
          <w:p w14:paraId="295B4EB8">
            <w:pPr>
              <w:jc w:val="center"/>
              <w:rPr>
                <w:rFonts w:ascii="Times New Roman" w:hAnsi="Times New Roman" w:eastAsia="宋体" w:cs="Times New Roman"/>
                <w:b/>
                <w:szCs w:val="20"/>
              </w:rPr>
            </w:pPr>
          </w:p>
        </w:tc>
      </w:tr>
      <w:tr w14:paraId="515B47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451FCFB8">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12E53BFF">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27F050BA">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545B3AFE">
            <w:pPr>
              <w:jc w:val="center"/>
              <w:rPr>
                <w:rFonts w:ascii="Times New Roman" w:hAnsi="Times New Roman" w:eastAsia="宋体" w:cs="Times New Roman"/>
                <w:b/>
                <w:szCs w:val="20"/>
              </w:rPr>
            </w:pPr>
          </w:p>
        </w:tc>
      </w:tr>
    </w:tbl>
    <w:p w14:paraId="4B9BE53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p w14:paraId="1CF734E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5007A198">
      <w:pPr>
        <w:pStyle w:val="12"/>
        <w:rPr>
          <w:rFonts w:hint="default"/>
          <w:lang w:val="en-US" w:eastAsia="zh-CN"/>
        </w:rPr>
      </w:pPr>
    </w:p>
    <w:p w14:paraId="60368235">
      <w:pPr>
        <w:pStyle w:val="76"/>
        <w:rPr>
          <w:rFonts w:hint="default" w:hAnsi="宋体"/>
          <w:sz w:val="24"/>
          <w:lang w:val="en-US"/>
        </w:rPr>
      </w:pPr>
    </w:p>
    <w:p w14:paraId="3525343D">
      <w:pPr>
        <w:pStyle w:val="76"/>
        <w:rPr>
          <w:rFonts w:hint="default" w:hAnsi="宋体"/>
          <w:sz w:val="24"/>
          <w:lang w:val="en-US"/>
        </w:rPr>
      </w:pPr>
    </w:p>
    <w:p w14:paraId="59B45C72">
      <w:pPr>
        <w:pStyle w:val="76"/>
        <w:rPr>
          <w:rFonts w:hint="default" w:hAnsi="宋体"/>
          <w:sz w:val="24"/>
          <w:lang w:val="en-US"/>
        </w:rPr>
      </w:pPr>
    </w:p>
    <w:p w14:paraId="6CACCE28">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708E23EA">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附件8 分项报价表</w:t>
      </w:r>
    </w:p>
    <w:p w14:paraId="05968CDE">
      <w:pPr>
        <w:rPr>
          <w:rFonts w:hint="default" w:hAnsi="宋体"/>
          <w:sz w:val="24"/>
          <w:lang w:val="en-US"/>
        </w:rPr>
      </w:pPr>
    </w:p>
    <w:tbl>
      <w:tblPr>
        <w:tblStyle w:val="31"/>
        <w:tblW w:w="11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
        <w:gridCol w:w="1575"/>
        <w:gridCol w:w="1875"/>
        <w:gridCol w:w="2763"/>
        <w:gridCol w:w="525"/>
        <w:gridCol w:w="550"/>
        <w:gridCol w:w="787"/>
        <w:gridCol w:w="788"/>
        <w:gridCol w:w="437"/>
        <w:gridCol w:w="813"/>
        <w:gridCol w:w="720"/>
      </w:tblGrid>
      <w:tr w14:paraId="77082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421" w:type="dxa"/>
            <w:noWrap w:val="0"/>
            <w:vAlign w:val="center"/>
          </w:tcPr>
          <w:p w14:paraId="78222491">
            <w:pPr>
              <w:pStyle w:val="12"/>
              <w:snapToGrid w:val="0"/>
              <w:ind w:left="0" w:leftChars="0" w:right="0" w:rightChars="0" w:firstLine="0" w:firstLineChars="0"/>
              <w:jc w:val="center"/>
              <w:rPr>
                <w:rFonts w:hint="default" w:ascii="Times New Roman" w:hAnsi="Times New Roman" w:eastAsia="宋体" w:cs="Times New Roman"/>
                <w:b/>
                <w:bCs/>
                <w:kern w:val="2"/>
                <w:sz w:val="18"/>
                <w:szCs w:val="24"/>
                <w:vertAlign w:val="baseline"/>
                <w:lang w:val="en-US" w:eastAsia="zh-CN" w:bidi="ar-SA"/>
              </w:rPr>
            </w:pPr>
            <w:r>
              <w:rPr>
                <w:rFonts w:hint="eastAsia" w:ascii="Times New Roman" w:hAnsi="Times New Roman" w:eastAsia="宋体" w:cs="Times New Roman"/>
                <w:b/>
                <w:bCs/>
                <w:kern w:val="2"/>
                <w:sz w:val="18"/>
                <w:szCs w:val="24"/>
                <w:vertAlign w:val="baseline"/>
                <w:lang w:val="en-US" w:eastAsia="zh-CN" w:bidi="ar-SA"/>
              </w:rPr>
              <w:t>序号</w:t>
            </w:r>
          </w:p>
        </w:tc>
        <w:tc>
          <w:tcPr>
            <w:tcW w:w="1575" w:type="dxa"/>
            <w:noWrap w:val="0"/>
            <w:vAlign w:val="center"/>
          </w:tcPr>
          <w:p w14:paraId="65DDD2EB">
            <w:pPr>
              <w:pStyle w:val="12"/>
              <w:snapToGrid w:val="0"/>
              <w:ind w:left="0" w:leftChars="0" w:right="0" w:rightChars="0" w:firstLine="0" w:firstLineChars="0"/>
              <w:jc w:val="center"/>
              <w:rPr>
                <w:rFonts w:hint="eastAsia" w:ascii="Times New Roman" w:hAnsi="Times New Roman" w:eastAsia="宋体" w:cs="Times New Roman"/>
                <w:b/>
                <w:bCs/>
                <w:kern w:val="2"/>
                <w:sz w:val="18"/>
                <w:szCs w:val="24"/>
                <w:vertAlign w:val="baseline"/>
                <w:lang w:val="en-US" w:eastAsia="zh-CN" w:bidi="ar-SA"/>
              </w:rPr>
            </w:pPr>
            <w:r>
              <w:rPr>
                <w:rFonts w:hint="eastAsia" w:ascii="Times New Roman" w:hAnsi="宋体" w:eastAsia="宋体" w:cs="宋体"/>
                <w:b/>
                <w:sz w:val="18"/>
                <w:szCs w:val="21"/>
                <w:lang w:val="en-US" w:eastAsia="zh-CN"/>
              </w:rPr>
              <w:t>主要内容</w:t>
            </w:r>
          </w:p>
        </w:tc>
        <w:tc>
          <w:tcPr>
            <w:tcW w:w="1875" w:type="dxa"/>
            <w:noWrap w:val="0"/>
            <w:vAlign w:val="center"/>
          </w:tcPr>
          <w:p w14:paraId="7A8E147F">
            <w:pPr>
              <w:pStyle w:val="12"/>
              <w:snapToGrid w:val="0"/>
              <w:ind w:left="0" w:leftChars="0" w:right="0" w:rightChars="0" w:firstLine="0" w:firstLineChars="0"/>
              <w:jc w:val="center"/>
              <w:rPr>
                <w:rFonts w:hint="default" w:ascii="Times New Roman" w:hAnsi="Times New Roman" w:eastAsia="宋体" w:cs="Times New Roman"/>
                <w:b/>
                <w:bCs/>
                <w:kern w:val="2"/>
                <w:sz w:val="18"/>
                <w:szCs w:val="24"/>
                <w:vertAlign w:val="baseline"/>
                <w:lang w:val="en-US" w:eastAsia="zh-CN" w:bidi="ar-SA"/>
              </w:rPr>
            </w:pPr>
            <w:r>
              <w:rPr>
                <w:rFonts w:hint="eastAsia" w:ascii="Times New Roman" w:hAnsi="宋体" w:eastAsia="宋体" w:cs="宋体"/>
                <w:b/>
                <w:sz w:val="18"/>
                <w:szCs w:val="21"/>
                <w:lang w:val="en-US" w:eastAsia="zh-CN"/>
              </w:rPr>
              <w:t>设备名称</w:t>
            </w:r>
          </w:p>
        </w:tc>
        <w:tc>
          <w:tcPr>
            <w:tcW w:w="2763" w:type="dxa"/>
            <w:noWrap w:val="0"/>
            <w:vAlign w:val="center"/>
          </w:tcPr>
          <w:p w14:paraId="429B8DE7">
            <w:pPr>
              <w:pStyle w:val="12"/>
              <w:snapToGrid w:val="0"/>
              <w:ind w:left="0" w:leftChars="0" w:right="0" w:rightChars="0" w:firstLine="0" w:firstLineChars="0"/>
              <w:jc w:val="center"/>
              <w:rPr>
                <w:rFonts w:hint="default" w:ascii="Times New Roman" w:hAnsi="Times New Roman" w:eastAsia="宋体" w:cs="Times New Roman"/>
                <w:b/>
                <w:bCs/>
                <w:kern w:val="2"/>
                <w:sz w:val="18"/>
                <w:szCs w:val="24"/>
                <w:vertAlign w:val="baseline"/>
                <w:lang w:val="en-US" w:eastAsia="zh-CN" w:bidi="ar-SA"/>
              </w:rPr>
            </w:pPr>
            <w:r>
              <w:rPr>
                <w:rFonts w:hint="eastAsia" w:ascii="Times New Roman" w:hAnsi="Times New Roman" w:eastAsia="宋体" w:cs="Times New Roman"/>
                <w:b/>
                <w:bCs/>
                <w:kern w:val="2"/>
                <w:sz w:val="18"/>
                <w:szCs w:val="24"/>
                <w:vertAlign w:val="baseline"/>
                <w:lang w:val="en-US" w:eastAsia="zh-CN" w:bidi="ar-SA"/>
              </w:rPr>
              <w:t>规格参数</w:t>
            </w:r>
          </w:p>
        </w:tc>
        <w:tc>
          <w:tcPr>
            <w:tcW w:w="525" w:type="dxa"/>
            <w:noWrap w:val="0"/>
            <w:vAlign w:val="center"/>
          </w:tcPr>
          <w:p w14:paraId="28ED423B">
            <w:pPr>
              <w:pStyle w:val="12"/>
              <w:snapToGrid w:val="0"/>
              <w:ind w:left="0" w:leftChars="0" w:right="0" w:rightChars="0" w:firstLine="0" w:firstLineChars="0"/>
              <w:jc w:val="center"/>
              <w:rPr>
                <w:rFonts w:hint="default" w:ascii="Times New Roman" w:hAnsi="Times New Roman" w:eastAsia="宋体" w:cs="Times New Roman"/>
                <w:b/>
                <w:bCs/>
                <w:kern w:val="2"/>
                <w:sz w:val="18"/>
                <w:szCs w:val="24"/>
                <w:vertAlign w:val="baseline"/>
                <w:lang w:val="en-US" w:eastAsia="zh-CN" w:bidi="ar-SA"/>
              </w:rPr>
            </w:pPr>
            <w:r>
              <w:rPr>
                <w:rFonts w:hint="eastAsia" w:ascii="Times New Roman" w:hAnsi="Times New Roman" w:eastAsia="宋体" w:cs="Times New Roman"/>
                <w:b/>
                <w:bCs/>
                <w:kern w:val="2"/>
                <w:sz w:val="18"/>
                <w:szCs w:val="24"/>
                <w:vertAlign w:val="baseline"/>
                <w:lang w:val="en-US" w:eastAsia="zh-CN" w:bidi="ar-SA"/>
              </w:rPr>
              <w:t>数量</w:t>
            </w:r>
          </w:p>
        </w:tc>
        <w:tc>
          <w:tcPr>
            <w:tcW w:w="550" w:type="dxa"/>
            <w:noWrap w:val="0"/>
            <w:vAlign w:val="center"/>
          </w:tcPr>
          <w:p w14:paraId="0C876D46">
            <w:pPr>
              <w:pStyle w:val="12"/>
              <w:snapToGrid w:val="0"/>
              <w:ind w:left="0" w:leftChars="0" w:right="0" w:rightChars="0" w:firstLine="0" w:firstLineChars="0"/>
              <w:jc w:val="center"/>
              <w:rPr>
                <w:rFonts w:hint="default" w:ascii="Times New Roman" w:hAnsi="Times New Roman" w:eastAsia="宋体" w:cs="Times New Roman"/>
                <w:b/>
                <w:bCs/>
                <w:kern w:val="2"/>
                <w:sz w:val="18"/>
                <w:szCs w:val="24"/>
                <w:vertAlign w:val="baseline"/>
                <w:lang w:val="en-US" w:eastAsia="zh-CN" w:bidi="ar-SA"/>
              </w:rPr>
            </w:pPr>
            <w:r>
              <w:rPr>
                <w:rFonts w:hint="eastAsia" w:ascii="Times New Roman" w:hAnsi="Times New Roman" w:eastAsia="宋体" w:cs="Times New Roman"/>
                <w:b/>
                <w:bCs/>
                <w:kern w:val="2"/>
                <w:sz w:val="18"/>
                <w:szCs w:val="24"/>
                <w:vertAlign w:val="baseline"/>
                <w:lang w:val="en-US" w:eastAsia="zh-CN" w:bidi="ar-SA"/>
              </w:rPr>
              <w:t>单位</w:t>
            </w:r>
          </w:p>
        </w:tc>
        <w:tc>
          <w:tcPr>
            <w:tcW w:w="787" w:type="dxa"/>
            <w:noWrap w:val="0"/>
            <w:vAlign w:val="center"/>
          </w:tcPr>
          <w:p w14:paraId="69EB0CED">
            <w:pPr>
              <w:pStyle w:val="12"/>
              <w:snapToGrid w:val="0"/>
              <w:ind w:left="0" w:leftChars="0" w:right="0" w:rightChars="0" w:firstLine="0" w:firstLineChars="0"/>
              <w:jc w:val="center"/>
              <w:rPr>
                <w:rFonts w:hint="eastAsia" w:ascii="Times New Roman" w:eastAsia="宋体" w:cs="Times New Roman"/>
                <w:b/>
                <w:bCs/>
                <w:kern w:val="2"/>
                <w:sz w:val="18"/>
                <w:szCs w:val="18"/>
                <w:vertAlign w:val="baseline"/>
                <w:lang w:val="en-US" w:eastAsia="zh-CN" w:bidi="ar-SA"/>
              </w:rPr>
            </w:pPr>
            <w:r>
              <w:rPr>
                <w:rFonts w:hint="eastAsia" w:ascii="Times New Roman" w:eastAsia="宋体" w:cs="Times New Roman"/>
                <w:b/>
                <w:bCs/>
                <w:kern w:val="2"/>
                <w:sz w:val="18"/>
                <w:szCs w:val="18"/>
                <w:vertAlign w:val="baseline"/>
                <w:lang w:val="en-US" w:eastAsia="zh-CN" w:bidi="ar-SA"/>
              </w:rPr>
              <w:t>单价</w:t>
            </w:r>
          </w:p>
          <w:p w14:paraId="5EE90741">
            <w:pPr>
              <w:pStyle w:val="12"/>
              <w:snapToGrid w:val="0"/>
              <w:ind w:left="0" w:leftChars="0" w:right="0" w:rightChars="0" w:firstLine="0" w:firstLineChars="0"/>
              <w:jc w:val="center"/>
              <w:rPr>
                <w:rFonts w:hint="default" w:ascii="Times New Roman" w:hAnsi="Times New Roman" w:eastAsia="宋体" w:cs="Times New Roman"/>
                <w:b/>
                <w:bCs/>
                <w:kern w:val="2"/>
                <w:sz w:val="18"/>
                <w:szCs w:val="18"/>
                <w:vertAlign w:val="baseline"/>
                <w:lang w:val="en-US" w:eastAsia="zh-CN" w:bidi="ar-SA"/>
              </w:rPr>
            </w:pPr>
            <w:r>
              <w:rPr>
                <w:rFonts w:hint="eastAsia" w:ascii="Times New Roman" w:eastAsia="宋体" w:cs="Times New Roman"/>
                <w:b/>
                <w:bCs/>
                <w:kern w:val="2"/>
                <w:sz w:val="18"/>
                <w:szCs w:val="18"/>
                <w:vertAlign w:val="baseline"/>
                <w:lang w:val="en-US" w:eastAsia="zh-CN" w:bidi="ar-SA"/>
              </w:rPr>
              <w:t>（未税、元）</w:t>
            </w:r>
          </w:p>
        </w:tc>
        <w:tc>
          <w:tcPr>
            <w:tcW w:w="788" w:type="dxa"/>
            <w:noWrap w:val="0"/>
            <w:vAlign w:val="center"/>
          </w:tcPr>
          <w:p w14:paraId="46CE1926">
            <w:pPr>
              <w:pStyle w:val="12"/>
              <w:snapToGrid w:val="0"/>
              <w:ind w:left="0" w:leftChars="0" w:right="0" w:rightChars="0" w:firstLine="0" w:firstLineChars="0"/>
              <w:jc w:val="center"/>
              <w:rPr>
                <w:rFonts w:hint="eastAsia" w:ascii="Times New Roman" w:eastAsia="宋体" w:cs="Times New Roman"/>
                <w:b/>
                <w:bCs/>
                <w:kern w:val="2"/>
                <w:sz w:val="18"/>
                <w:szCs w:val="18"/>
                <w:vertAlign w:val="baseline"/>
                <w:lang w:val="en-US" w:eastAsia="zh-CN" w:bidi="ar-SA"/>
              </w:rPr>
            </w:pPr>
            <w:r>
              <w:rPr>
                <w:rFonts w:hint="eastAsia" w:ascii="Times New Roman" w:eastAsia="宋体" w:cs="Times New Roman"/>
                <w:b/>
                <w:bCs/>
                <w:kern w:val="2"/>
                <w:sz w:val="18"/>
                <w:szCs w:val="18"/>
                <w:vertAlign w:val="baseline"/>
                <w:lang w:val="en-US" w:eastAsia="zh-CN" w:bidi="ar-SA"/>
              </w:rPr>
              <w:t>总价</w:t>
            </w:r>
          </w:p>
          <w:p w14:paraId="6E77422E">
            <w:pPr>
              <w:pStyle w:val="12"/>
              <w:snapToGrid w:val="0"/>
              <w:ind w:left="0" w:leftChars="0" w:right="0" w:rightChars="0" w:firstLine="0" w:firstLineChars="0"/>
              <w:jc w:val="center"/>
              <w:rPr>
                <w:rFonts w:hint="default" w:ascii="Times New Roman" w:hAnsi="Times New Roman" w:eastAsia="宋体" w:cs="Times New Roman"/>
                <w:b/>
                <w:bCs/>
                <w:kern w:val="2"/>
                <w:sz w:val="18"/>
                <w:szCs w:val="18"/>
                <w:vertAlign w:val="baseline"/>
                <w:lang w:val="en-US" w:eastAsia="zh-CN" w:bidi="ar-SA"/>
              </w:rPr>
            </w:pPr>
            <w:r>
              <w:rPr>
                <w:rFonts w:hint="eastAsia" w:ascii="Times New Roman" w:eastAsia="宋体" w:cs="Times New Roman"/>
                <w:b/>
                <w:bCs/>
                <w:kern w:val="2"/>
                <w:sz w:val="18"/>
                <w:szCs w:val="18"/>
                <w:vertAlign w:val="baseline"/>
                <w:lang w:val="en-US" w:eastAsia="zh-CN" w:bidi="ar-SA"/>
              </w:rPr>
              <w:t>（未税、元）</w:t>
            </w:r>
          </w:p>
        </w:tc>
        <w:tc>
          <w:tcPr>
            <w:tcW w:w="437" w:type="dxa"/>
            <w:noWrap w:val="0"/>
            <w:vAlign w:val="center"/>
          </w:tcPr>
          <w:p w14:paraId="1DCB21D1">
            <w:pPr>
              <w:pStyle w:val="12"/>
              <w:snapToGrid w:val="0"/>
              <w:ind w:left="0" w:leftChars="0" w:right="0" w:rightChars="0" w:firstLine="0" w:firstLineChars="0"/>
              <w:jc w:val="center"/>
              <w:rPr>
                <w:rFonts w:hint="default" w:ascii="Times New Roman" w:eastAsia="宋体" w:cs="Times New Roman"/>
                <w:b/>
                <w:bCs/>
                <w:kern w:val="2"/>
                <w:sz w:val="18"/>
                <w:szCs w:val="18"/>
                <w:vertAlign w:val="baseline"/>
                <w:lang w:val="en-US" w:eastAsia="zh-CN" w:bidi="ar-SA"/>
              </w:rPr>
            </w:pPr>
            <w:r>
              <w:rPr>
                <w:rFonts w:hint="eastAsia" w:ascii="Times New Roman" w:eastAsia="宋体" w:cs="Times New Roman"/>
                <w:b/>
                <w:bCs/>
                <w:kern w:val="2"/>
                <w:sz w:val="18"/>
                <w:szCs w:val="18"/>
                <w:vertAlign w:val="baseline"/>
                <w:lang w:val="en-US" w:eastAsia="zh-CN" w:bidi="ar-SA"/>
              </w:rPr>
              <w:t>税率</w:t>
            </w:r>
          </w:p>
        </w:tc>
        <w:tc>
          <w:tcPr>
            <w:tcW w:w="813" w:type="dxa"/>
            <w:noWrap w:val="0"/>
            <w:vAlign w:val="center"/>
          </w:tcPr>
          <w:p w14:paraId="31BBE831">
            <w:pPr>
              <w:pStyle w:val="12"/>
              <w:snapToGrid w:val="0"/>
              <w:ind w:left="0" w:leftChars="0" w:right="0" w:rightChars="0" w:firstLine="0" w:firstLineChars="0"/>
              <w:jc w:val="center"/>
              <w:rPr>
                <w:rFonts w:hint="eastAsia" w:ascii="Times New Roman" w:eastAsia="宋体" w:cs="Times New Roman"/>
                <w:b/>
                <w:bCs/>
                <w:kern w:val="2"/>
                <w:sz w:val="18"/>
                <w:szCs w:val="18"/>
                <w:vertAlign w:val="baseline"/>
                <w:lang w:val="en-US" w:eastAsia="zh-CN" w:bidi="ar-SA"/>
              </w:rPr>
            </w:pPr>
            <w:r>
              <w:rPr>
                <w:rFonts w:hint="eastAsia" w:ascii="Times New Roman" w:eastAsia="宋体" w:cs="Times New Roman"/>
                <w:b/>
                <w:bCs/>
                <w:kern w:val="2"/>
                <w:sz w:val="18"/>
                <w:szCs w:val="18"/>
                <w:vertAlign w:val="baseline"/>
                <w:lang w:val="en-US" w:eastAsia="zh-CN" w:bidi="ar-SA"/>
              </w:rPr>
              <w:t>总价</w:t>
            </w:r>
          </w:p>
          <w:p w14:paraId="1CC9079D">
            <w:pPr>
              <w:pStyle w:val="12"/>
              <w:snapToGrid w:val="0"/>
              <w:ind w:left="0" w:leftChars="0" w:right="0" w:rightChars="0" w:firstLine="0" w:firstLineChars="0"/>
              <w:jc w:val="center"/>
              <w:rPr>
                <w:rFonts w:hint="default" w:ascii="Times New Roman" w:hAnsi="Times New Roman" w:eastAsia="宋体" w:cs="Times New Roman"/>
                <w:b/>
                <w:bCs/>
                <w:kern w:val="2"/>
                <w:sz w:val="18"/>
                <w:szCs w:val="18"/>
                <w:vertAlign w:val="baseline"/>
                <w:lang w:val="en-US" w:eastAsia="zh-CN" w:bidi="ar-SA"/>
              </w:rPr>
            </w:pPr>
            <w:r>
              <w:rPr>
                <w:rFonts w:hint="eastAsia" w:ascii="Times New Roman" w:eastAsia="宋体" w:cs="Times New Roman"/>
                <w:b/>
                <w:bCs/>
                <w:kern w:val="2"/>
                <w:sz w:val="18"/>
                <w:szCs w:val="18"/>
                <w:vertAlign w:val="baseline"/>
                <w:lang w:val="en-US" w:eastAsia="zh-CN" w:bidi="ar-SA"/>
              </w:rPr>
              <w:t>（含税、元）</w:t>
            </w:r>
          </w:p>
        </w:tc>
        <w:tc>
          <w:tcPr>
            <w:tcW w:w="720" w:type="dxa"/>
            <w:noWrap w:val="0"/>
            <w:vAlign w:val="center"/>
          </w:tcPr>
          <w:p w14:paraId="0D395706">
            <w:pPr>
              <w:pStyle w:val="12"/>
              <w:snapToGrid w:val="0"/>
              <w:ind w:left="0" w:leftChars="0" w:right="0" w:rightChars="0" w:firstLine="0" w:firstLineChars="0"/>
              <w:jc w:val="center"/>
              <w:rPr>
                <w:rFonts w:hint="eastAsia" w:ascii="Times New Roman" w:eastAsia="宋体" w:cs="Times New Roman"/>
                <w:b/>
                <w:bCs/>
                <w:kern w:val="2"/>
                <w:sz w:val="18"/>
                <w:szCs w:val="24"/>
                <w:vertAlign w:val="baseline"/>
                <w:lang w:val="en-US" w:eastAsia="zh-CN" w:bidi="ar-SA"/>
              </w:rPr>
            </w:pPr>
            <w:r>
              <w:rPr>
                <w:rFonts w:hint="eastAsia" w:ascii="Times New Roman" w:eastAsia="宋体" w:cs="Times New Roman"/>
                <w:b/>
                <w:bCs/>
                <w:kern w:val="2"/>
                <w:sz w:val="18"/>
                <w:szCs w:val="24"/>
                <w:vertAlign w:val="baseline"/>
                <w:lang w:val="en-US" w:eastAsia="zh-CN" w:bidi="ar-SA"/>
              </w:rPr>
              <w:t>备注</w:t>
            </w:r>
          </w:p>
        </w:tc>
      </w:tr>
      <w:tr w14:paraId="6A187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421" w:type="dxa"/>
            <w:noWrap w:val="0"/>
            <w:vAlign w:val="center"/>
          </w:tcPr>
          <w:p w14:paraId="6656D4C2">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1</w:t>
            </w:r>
          </w:p>
        </w:tc>
        <w:tc>
          <w:tcPr>
            <w:tcW w:w="1575" w:type="dxa"/>
            <w:noWrap w:val="0"/>
            <w:vAlign w:val="center"/>
          </w:tcPr>
          <w:p w14:paraId="35305A98">
            <w:pPr>
              <w:bidi w:val="0"/>
              <w:snapToGrid w:val="0"/>
              <w:ind w:left="0" w:leftChars="0" w:right="0" w:rightChars="0" w:firstLine="0" w:firstLineChars="0"/>
              <w:jc w:val="center"/>
              <w:rPr>
                <w:rFonts w:hint="eastAsia" w:ascii="新宋体" w:hAnsi="新宋体" w:eastAsia="新宋体" w:cs="新宋体"/>
                <w:sz w:val="18"/>
                <w:szCs w:val="18"/>
                <w:lang w:val="en-US" w:eastAsia="zh-CN"/>
              </w:rPr>
            </w:pPr>
            <w:r>
              <w:rPr>
                <w:rFonts w:hint="eastAsia" w:ascii="新宋体" w:hAnsi="新宋体" w:eastAsia="新宋体" w:cs="新宋体"/>
                <w:sz w:val="18"/>
                <w:szCs w:val="18"/>
                <w:vertAlign w:val="baseline"/>
              </w:rPr>
              <w:t>智能防火防爆危险废物暂存库</w:t>
            </w:r>
          </w:p>
        </w:tc>
        <w:tc>
          <w:tcPr>
            <w:tcW w:w="1875" w:type="dxa"/>
            <w:noWrap w:val="0"/>
            <w:vAlign w:val="center"/>
          </w:tcPr>
          <w:p w14:paraId="5F41D7A8">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lang w:val="en-US" w:eastAsia="zh-CN"/>
              </w:rPr>
              <w:t>智能防火防爆危险废物暂存库</w:t>
            </w:r>
          </w:p>
        </w:tc>
        <w:tc>
          <w:tcPr>
            <w:tcW w:w="2763" w:type="dxa"/>
            <w:noWrap w:val="0"/>
            <w:vAlign w:val="center"/>
          </w:tcPr>
          <w:p w14:paraId="4E3F9A08">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lang w:val="en-US" w:eastAsia="zh-CN"/>
              </w:rPr>
              <w:t>箱体尺寸：长8000mm*宽8000mm*高3200mm</w:t>
            </w:r>
          </w:p>
        </w:tc>
        <w:tc>
          <w:tcPr>
            <w:tcW w:w="525" w:type="dxa"/>
            <w:noWrap w:val="0"/>
            <w:vAlign w:val="center"/>
          </w:tcPr>
          <w:p w14:paraId="466B7593">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lang w:val="en-US" w:eastAsia="zh-CN"/>
              </w:rPr>
              <w:t>1</w:t>
            </w:r>
          </w:p>
        </w:tc>
        <w:tc>
          <w:tcPr>
            <w:tcW w:w="550" w:type="dxa"/>
            <w:noWrap w:val="0"/>
            <w:vAlign w:val="center"/>
          </w:tcPr>
          <w:p w14:paraId="7A248019">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lang w:val="en-US" w:eastAsia="zh-CN"/>
              </w:rPr>
              <w:t>套</w:t>
            </w:r>
          </w:p>
        </w:tc>
        <w:tc>
          <w:tcPr>
            <w:tcW w:w="787" w:type="dxa"/>
            <w:noWrap w:val="0"/>
            <w:vAlign w:val="center"/>
          </w:tcPr>
          <w:p w14:paraId="513FE81D">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61A6C8D9">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5CFD7377">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22C9DCD4">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437BF0D4">
            <w:pPr>
              <w:pStyle w:val="12"/>
              <w:snapToGrid w:val="0"/>
              <w:ind w:left="0" w:leftChars="0" w:right="0" w:rightChars="0" w:firstLine="0" w:firstLineChars="0"/>
              <w:jc w:val="center"/>
              <w:rPr>
                <w:rFonts w:hint="default" w:ascii="新宋体" w:hAnsi="Times New Roman" w:eastAsia="新宋体" w:cs="Times New Roman"/>
                <w:kern w:val="2"/>
                <w:sz w:val="18"/>
                <w:szCs w:val="24"/>
                <w:vertAlign w:val="baseline"/>
                <w:lang w:val="en-US" w:eastAsia="zh-CN" w:bidi="ar-SA"/>
              </w:rPr>
            </w:pPr>
          </w:p>
        </w:tc>
      </w:tr>
      <w:tr w14:paraId="2CE5C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098C4A26">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i w:val="0"/>
                <w:iCs w:val="0"/>
                <w:color w:val="000000"/>
                <w:kern w:val="0"/>
                <w:sz w:val="18"/>
                <w:szCs w:val="18"/>
                <w:u w:val="none"/>
                <w:lang w:val="en-US" w:eastAsia="zh-CN" w:bidi="ar"/>
              </w:rPr>
              <w:t>2</w:t>
            </w:r>
          </w:p>
        </w:tc>
        <w:tc>
          <w:tcPr>
            <w:tcW w:w="1575" w:type="dxa"/>
            <w:noWrap w:val="0"/>
            <w:vAlign w:val="center"/>
          </w:tcPr>
          <w:p w14:paraId="6FBC901A">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vertAlign w:val="baseline"/>
              </w:rPr>
              <w:t>防爆电气控制系统</w:t>
            </w:r>
          </w:p>
        </w:tc>
        <w:tc>
          <w:tcPr>
            <w:tcW w:w="1875" w:type="dxa"/>
            <w:noWrap w:val="0"/>
            <w:vAlign w:val="center"/>
          </w:tcPr>
          <w:p w14:paraId="460AC1A9">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防爆电气控制系统</w:t>
            </w:r>
          </w:p>
        </w:tc>
        <w:tc>
          <w:tcPr>
            <w:tcW w:w="2763" w:type="dxa"/>
            <w:noWrap w:val="0"/>
            <w:vAlign w:val="center"/>
          </w:tcPr>
          <w:p w14:paraId="346E7152">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防爆等级：Ex db eb IIB T6 Gb</w:t>
            </w:r>
          </w:p>
          <w:p w14:paraId="563869D5">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防护等级：IP66</w:t>
            </w:r>
          </w:p>
        </w:tc>
        <w:tc>
          <w:tcPr>
            <w:tcW w:w="525" w:type="dxa"/>
            <w:noWrap w:val="0"/>
            <w:vAlign w:val="center"/>
          </w:tcPr>
          <w:p w14:paraId="21C77941">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2</w:t>
            </w:r>
          </w:p>
        </w:tc>
        <w:tc>
          <w:tcPr>
            <w:tcW w:w="550" w:type="dxa"/>
            <w:noWrap w:val="0"/>
            <w:vAlign w:val="center"/>
          </w:tcPr>
          <w:p w14:paraId="67D72A1A">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套</w:t>
            </w:r>
          </w:p>
        </w:tc>
        <w:tc>
          <w:tcPr>
            <w:tcW w:w="787" w:type="dxa"/>
            <w:noWrap w:val="0"/>
            <w:vAlign w:val="center"/>
          </w:tcPr>
          <w:p w14:paraId="35A547C7">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282B9667">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7CDB74A7">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34E5D24B">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20332051">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en-US" w:eastAsia="zh-CN" w:bidi="ar-SA"/>
              </w:rPr>
            </w:pPr>
          </w:p>
        </w:tc>
      </w:tr>
      <w:tr w14:paraId="67C4C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78321128">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i w:val="0"/>
                <w:iCs w:val="0"/>
                <w:color w:val="000000"/>
                <w:kern w:val="0"/>
                <w:sz w:val="18"/>
                <w:szCs w:val="18"/>
                <w:u w:val="none"/>
                <w:lang w:val="en-US" w:eastAsia="zh-CN" w:bidi="ar"/>
              </w:rPr>
              <w:t>3</w:t>
            </w:r>
          </w:p>
        </w:tc>
        <w:tc>
          <w:tcPr>
            <w:tcW w:w="1575" w:type="dxa"/>
            <w:noWrap w:val="0"/>
            <w:vAlign w:val="center"/>
          </w:tcPr>
          <w:p w14:paraId="7A7A9492">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vertAlign w:val="baseline"/>
              </w:rPr>
              <w:t>防爆控制系统</w:t>
            </w:r>
          </w:p>
        </w:tc>
        <w:tc>
          <w:tcPr>
            <w:tcW w:w="1875" w:type="dxa"/>
            <w:noWrap w:val="0"/>
            <w:vAlign w:val="center"/>
          </w:tcPr>
          <w:p w14:paraId="5F77A241">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防爆PLC远程控制柜</w:t>
            </w:r>
          </w:p>
        </w:tc>
        <w:tc>
          <w:tcPr>
            <w:tcW w:w="2763" w:type="dxa"/>
            <w:noWrap w:val="0"/>
            <w:vAlign w:val="center"/>
          </w:tcPr>
          <w:p w14:paraId="5BCEF7B2">
            <w:pPr>
              <w:bidi w:val="0"/>
              <w:snapToGrid w:val="0"/>
              <w:ind w:left="0" w:leftChars="0" w:right="0" w:rightChars="0" w:firstLine="0" w:firstLineChars="0"/>
              <w:jc w:val="left"/>
              <w:rPr>
                <w:rFonts w:hint="eastAsia" w:ascii="新宋体" w:hAnsi="新宋体" w:eastAsia="新宋体" w:cs="新宋体"/>
                <w:sz w:val="18"/>
                <w:szCs w:val="18"/>
                <w:lang w:val="en-US" w:eastAsia="zh-CN"/>
              </w:rPr>
            </w:pPr>
            <w:r>
              <w:rPr>
                <w:rFonts w:hint="eastAsia" w:ascii="新宋体" w:hAnsi="新宋体" w:eastAsia="新宋体" w:cs="新宋体"/>
                <w:sz w:val="18"/>
                <w:szCs w:val="18"/>
                <w:lang w:val="en-US" w:eastAsia="zh-CN"/>
              </w:rPr>
              <w:t>防爆标志：Ex db IIB T4Gb</w:t>
            </w:r>
          </w:p>
          <w:p w14:paraId="04658103">
            <w:pPr>
              <w:bidi w:val="0"/>
              <w:snapToGrid w:val="0"/>
              <w:ind w:left="0" w:leftChars="0" w:right="0" w:rightChars="0" w:firstLine="0" w:firstLineChars="0"/>
              <w:jc w:val="left"/>
              <w:rPr>
                <w:rFonts w:hint="eastAsia" w:ascii="新宋体" w:hAnsi="新宋体" w:eastAsia="新宋体" w:cs="新宋体"/>
                <w:sz w:val="18"/>
                <w:szCs w:val="18"/>
                <w:lang w:val="en-US" w:eastAsia="zh-CN"/>
              </w:rPr>
            </w:pPr>
            <w:r>
              <w:rPr>
                <w:rFonts w:hint="eastAsia" w:ascii="新宋体" w:hAnsi="新宋体" w:eastAsia="新宋体" w:cs="新宋体"/>
                <w:sz w:val="18"/>
                <w:szCs w:val="18"/>
                <w:lang w:val="en-US" w:eastAsia="zh-CN"/>
              </w:rPr>
              <w:t>防护等级：IP66</w:t>
            </w:r>
          </w:p>
        </w:tc>
        <w:tc>
          <w:tcPr>
            <w:tcW w:w="525" w:type="dxa"/>
            <w:noWrap w:val="0"/>
            <w:vAlign w:val="center"/>
          </w:tcPr>
          <w:p w14:paraId="70CE6589">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2</w:t>
            </w:r>
          </w:p>
        </w:tc>
        <w:tc>
          <w:tcPr>
            <w:tcW w:w="550" w:type="dxa"/>
            <w:noWrap w:val="0"/>
            <w:vAlign w:val="center"/>
          </w:tcPr>
          <w:p w14:paraId="418C11FF">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套</w:t>
            </w:r>
          </w:p>
        </w:tc>
        <w:tc>
          <w:tcPr>
            <w:tcW w:w="787" w:type="dxa"/>
            <w:noWrap w:val="0"/>
            <w:vAlign w:val="center"/>
          </w:tcPr>
          <w:p w14:paraId="586FFA46">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5A3DF551">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583DA079">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0C488D41">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3E7B2DF4">
            <w:pPr>
              <w:pStyle w:val="12"/>
              <w:snapToGrid w:val="0"/>
              <w:ind w:left="0" w:leftChars="0" w:right="0" w:rightChars="0" w:firstLine="0" w:firstLineChars="0"/>
              <w:jc w:val="center"/>
              <w:rPr>
                <w:rFonts w:hint="default" w:ascii="新宋体" w:hAnsi="Times New Roman" w:eastAsia="新宋体" w:cs="Times New Roman"/>
                <w:kern w:val="2"/>
                <w:sz w:val="18"/>
                <w:szCs w:val="24"/>
                <w:vertAlign w:val="baseline"/>
                <w:lang w:val="en-US" w:eastAsia="zh-CN" w:bidi="ar-SA"/>
              </w:rPr>
            </w:pPr>
          </w:p>
        </w:tc>
      </w:tr>
      <w:tr w14:paraId="0EEED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17A7395C">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4</w:t>
            </w:r>
          </w:p>
        </w:tc>
        <w:tc>
          <w:tcPr>
            <w:tcW w:w="1575" w:type="dxa"/>
            <w:vMerge w:val="restart"/>
            <w:noWrap w:val="0"/>
            <w:vAlign w:val="center"/>
          </w:tcPr>
          <w:p w14:paraId="5FAF6B33">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vertAlign w:val="baseline"/>
              </w:rPr>
              <w:t>通风系统</w:t>
            </w:r>
          </w:p>
        </w:tc>
        <w:tc>
          <w:tcPr>
            <w:tcW w:w="1875" w:type="dxa"/>
            <w:noWrap w:val="0"/>
            <w:vAlign w:val="center"/>
          </w:tcPr>
          <w:p w14:paraId="13680705">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防爆风机带净化箱</w:t>
            </w:r>
          </w:p>
        </w:tc>
        <w:tc>
          <w:tcPr>
            <w:tcW w:w="2763" w:type="dxa"/>
            <w:noWrap w:val="0"/>
            <w:vAlign w:val="center"/>
          </w:tcPr>
          <w:p w14:paraId="0FF18F0E">
            <w:pPr>
              <w:bidi w:val="0"/>
              <w:snapToGrid w:val="0"/>
              <w:ind w:left="0" w:leftChars="0" w:right="0" w:rightChars="0" w:firstLine="0" w:firstLineChars="0"/>
              <w:jc w:val="left"/>
              <w:rPr>
                <w:rFonts w:hint="eastAsia" w:ascii="新宋体" w:hAnsi="新宋体" w:eastAsia="新宋体" w:cs="新宋体"/>
                <w:sz w:val="18"/>
                <w:szCs w:val="18"/>
                <w:lang w:val="en-US" w:eastAsia="zh-CN"/>
              </w:rPr>
            </w:pPr>
            <w:r>
              <w:rPr>
                <w:rFonts w:hint="eastAsia" w:ascii="新宋体" w:hAnsi="新宋体" w:eastAsia="新宋体" w:cs="新宋体"/>
                <w:sz w:val="18"/>
                <w:szCs w:val="18"/>
                <w:lang w:val="en-US" w:eastAsia="zh-CN"/>
              </w:rPr>
              <w:t>防爆风机AC220V</w:t>
            </w:r>
          </w:p>
        </w:tc>
        <w:tc>
          <w:tcPr>
            <w:tcW w:w="525" w:type="dxa"/>
            <w:noWrap w:val="0"/>
            <w:vAlign w:val="center"/>
          </w:tcPr>
          <w:p w14:paraId="63E9B8D0">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4</w:t>
            </w:r>
          </w:p>
        </w:tc>
        <w:tc>
          <w:tcPr>
            <w:tcW w:w="550" w:type="dxa"/>
            <w:noWrap w:val="0"/>
            <w:vAlign w:val="center"/>
          </w:tcPr>
          <w:p w14:paraId="62FDA074">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套</w:t>
            </w:r>
          </w:p>
        </w:tc>
        <w:tc>
          <w:tcPr>
            <w:tcW w:w="787" w:type="dxa"/>
            <w:noWrap w:val="0"/>
            <w:vAlign w:val="center"/>
          </w:tcPr>
          <w:p w14:paraId="50AD7DA6">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4DF10A41">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5A975274">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7BF035EE">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348BB575">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en-US" w:eastAsia="zh-CN" w:bidi="ar-SA"/>
              </w:rPr>
            </w:pPr>
          </w:p>
        </w:tc>
      </w:tr>
      <w:tr w14:paraId="30317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17FE8FDF">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5</w:t>
            </w:r>
          </w:p>
        </w:tc>
        <w:tc>
          <w:tcPr>
            <w:tcW w:w="1575" w:type="dxa"/>
            <w:vMerge w:val="continue"/>
            <w:noWrap w:val="0"/>
            <w:vAlign w:val="center"/>
          </w:tcPr>
          <w:p w14:paraId="2F205BFF">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p>
        </w:tc>
        <w:tc>
          <w:tcPr>
            <w:tcW w:w="1875" w:type="dxa"/>
            <w:noWrap w:val="0"/>
            <w:vAlign w:val="center"/>
          </w:tcPr>
          <w:p w14:paraId="221695F1">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通风百叶</w:t>
            </w:r>
          </w:p>
        </w:tc>
        <w:tc>
          <w:tcPr>
            <w:tcW w:w="2763" w:type="dxa"/>
            <w:noWrap w:val="0"/>
            <w:vAlign w:val="center"/>
          </w:tcPr>
          <w:p w14:paraId="05AAF8E0">
            <w:pPr>
              <w:bidi w:val="0"/>
              <w:snapToGrid w:val="0"/>
              <w:ind w:left="0" w:leftChars="0" w:right="0" w:rightChars="0" w:firstLine="0" w:firstLineChars="0"/>
              <w:jc w:val="left"/>
              <w:rPr>
                <w:rFonts w:hint="eastAsia" w:ascii="新宋体" w:hAnsi="新宋体" w:eastAsia="新宋体" w:cs="新宋体"/>
                <w:sz w:val="18"/>
                <w:szCs w:val="18"/>
                <w:lang w:val="en-US" w:eastAsia="zh-CN"/>
              </w:rPr>
            </w:pPr>
            <w:r>
              <w:rPr>
                <w:rFonts w:hint="eastAsia" w:ascii="新宋体" w:hAnsi="新宋体" w:eastAsia="新宋体" w:cs="新宋体"/>
                <w:sz w:val="18"/>
                <w:szCs w:val="18"/>
                <w:lang w:val="en-US" w:eastAsia="zh-CN"/>
              </w:rPr>
              <w:t>300*450 mm（内部防蚊虫纱网）</w:t>
            </w:r>
          </w:p>
        </w:tc>
        <w:tc>
          <w:tcPr>
            <w:tcW w:w="525" w:type="dxa"/>
            <w:noWrap w:val="0"/>
            <w:vAlign w:val="center"/>
          </w:tcPr>
          <w:p w14:paraId="46DCDF13">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5</w:t>
            </w:r>
          </w:p>
        </w:tc>
        <w:tc>
          <w:tcPr>
            <w:tcW w:w="550" w:type="dxa"/>
            <w:noWrap w:val="0"/>
            <w:vAlign w:val="center"/>
          </w:tcPr>
          <w:p w14:paraId="1AEC618A">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套</w:t>
            </w:r>
          </w:p>
        </w:tc>
        <w:tc>
          <w:tcPr>
            <w:tcW w:w="787" w:type="dxa"/>
            <w:noWrap w:val="0"/>
            <w:vAlign w:val="center"/>
          </w:tcPr>
          <w:p w14:paraId="1BF2154C">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03AA8985">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1749C497">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4B557805">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69BC0798">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en-US" w:eastAsia="zh-CN" w:bidi="ar-SA"/>
              </w:rPr>
            </w:pPr>
          </w:p>
        </w:tc>
      </w:tr>
      <w:tr w14:paraId="40192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0625E747">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6</w:t>
            </w:r>
          </w:p>
        </w:tc>
        <w:tc>
          <w:tcPr>
            <w:tcW w:w="1575" w:type="dxa"/>
            <w:noWrap w:val="0"/>
            <w:vAlign w:val="center"/>
          </w:tcPr>
          <w:p w14:paraId="45AD010C">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vertAlign w:val="baseline"/>
              </w:rPr>
              <w:t>消防灭火系统</w:t>
            </w:r>
          </w:p>
        </w:tc>
        <w:tc>
          <w:tcPr>
            <w:tcW w:w="1875" w:type="dxa"/>
            <w:noWrap w:val="0"/>
            <w:vAlign w:val="center"/>
          </w:tcPr>
          <w:p w14:paraId="4731F9DA">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悬挂式干粉喷淋</w:t>
            </w:r>
          </w:p>
        </w:tc>
        <w:tc>
          <w:tcPr>
            <w:tcW w:w="2763" w:type="dxa"/>
            <w:noWrap w:val="0"/>
            <w:vAlign w:val="center"/>
          </w:tcPr>
          <w:p w14:paraId="291F4D0C">
            <w:pPr>
              <w:bidi w:val="0"/>
              <w:snapToGrid w:val="0"/>
              <w:ind w:left="0" w:leftChars="0" w:right="0" w:rightChars="0" w:firstLine="0" w:firstLineChars="0"/>
              <w:jc w:val="left"/>
              <w:rPr>
                <w:rFonts w:hint="eastAsia" w:ascii="新宋体" w:hAnsi="新宋体" w:eastAsia="新宋体" w:cs="新宋体"/>
                <w:sz w:val="18"/>
                <w:szCs w:val="18"/>
                <w:lang w:val="en-US" w:eastAsia="zh-CN"/>
              </w:rPr>
            </w:pPr>
            <w:r>
              <w:rPr>
                <w:rFonts w:hint="eastAsia" w:ascii="新宋体" w:hAnsi="新宋体" w:eastAsia="新宋体" w:cs="新宋体"/>
                <w:sz w:val="18"/>
                <w:szCs w:val="18"/>
                <w:lang w:val="en-US" w:eastAsia="zh-CN"/>
              </w:rPr>
              <w:t>防护等级IP65</w:t>
            </w:r>
          </w:p>
        </w:tc>
        <w:tc>
          <w:tcPr>
            <w:tcW w:w="525" w:type="dxa"/>
            <w:noWrap w:val="0"/>
            <w:vAlign w:val="center"/>
          </w:tcPr>
          <w:p w14:paraId="6636BF5C">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6</w:t>
            </w:r>
          </w:p>
        </w:tc>
        <w:tc>
          <w:tcPr>
            <w:tcW w:w="550" w:type="dxa"/>
            <w:noWrap w:val="0"/>
            <w:vAlign w:val="center"/>
          </w:tcPr>
          <w:p w14:paraId="1B9B589E">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套</w:t>
            </w:r>
          </w:p>
        </w:tc>
        <w:tc>
          <w:tcPr>
            <w:tcW w:w="787" w:type="dxa"/>
            <w:noWrap w:val="0"/>
            <w:vAlign w:val="center"/>
          </w:tcPr>
          <w:p w14:paraId="493489C3">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782144FF">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05429EDB">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7EA7A0CF">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21782117">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en-US" w:eastAsia="zh-CN" w:bidi="ar-SA"/>
              </w:rPr>
            </w:pPr>
          </w:p>
        </w:tc>
      </w:tr>
      <w:tr w14:paraId="6B8EF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090B732C">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7</w:t>
            </w:r>
          </w:p>
        </w:tc>
        <w:tc>
          <w:tcPr>
            <w:tcW w:w="1575" w:type="dxa"/>
            <w:noWrap w:val="0"/>
            <w:vAlign w:val="center"/>
          </w:tcPr>
          <w:p w14:paraId="73298E09">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vertAlign w:val="baseline"/>
              </w:rPr>
              <w:t>防爆烟感报警器</w:t>
            </w:r>
          </w:p>
        </w:tc>
        <w:tc>
          <w:tcPr>
            <w:tcW w:w="1875" w:type="dxa"/>
            <w:noWrap w:val="0"/>
            <w:vAlign w:val="center"/>
          </w:tcPr>
          <w:p w14:paraId="652DCF81">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烟感</w:t>
            </w:r>
          </w:p>
        </w:tc>
        <w:tc>
          <w:tcPr>
            <w:tcW w:w="2763" w:type="dxa"/>
            <w:noWrap w:val="0"/>
            <w:vAlign w:val="center"/>
          </w:tcPr>
          <w:p w14:paraId="294C52EB">
            <w:pPr>
              <w:bidi w:val="0"/>
              <w:snapToGrid w:val="0"/>
              <w:ind w:left="0" w:leftChars="0" w:right="0" w:rightChars="0" w:firstLine="0" w:firstLineChars="0"/>
              <w:jc w:val="left"/>
              <w:rPr>
                <w:rFonts w:hint="eastAsia" w:ascii="新宋体" w:hAnsi="新宋体" w:eastAsia="新宋体" w:cs="新宋体"/>
                <w:sz w:val="18"/>
                <w:szCs w:val="18"/>
                <w:lang w:val="en-US" w:eastAsia="zh-CN"/>
              </w:rPr>
            </w:pPr>
            <w:r>
              <w:rPr>
                <w:rFonts w:hint="eastAsia" w:ascii="新宋体" w:hAnsi="新宋体" w:eastAsia="新宋体" w:cs="新宋体"/>
                <w:sz w:val="18"/>
                <w:szCs w:val="18"/>
                <w:lang w:val="en-US" w:eastAsia="zh-CN"/>
              </w:rPr>
              <w:t>防爆标志：Ex d（ib）IIBT6</w:t>
            </w:r>
          </w:p>
        </w:tc>
        <w:tc>
          <w:tcPr>
            <w:tcW w:w="525" w:type="dxa"/>
            <w:noWrap w:val="0"/>
            <w:vAlign w:val="center"/>
          </w:tcPr>
          <w:p w14:paraId="0C51D30F">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6</w:t>
            </w:r>
          </w:p>
        </w:tc>
        <w:tc>
          <w:tcPr>
            <w:tcW w:w="550" w:type="dxa"/>
            <w:noWrap w:val="0"/>
            <w:vAlign w:val="center"/>
          </w:tcPr>
          <w:p w14:paraId="3EF4F754">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套</w:t>
            </w:r>
          </w:p>
        </w:tc>
        <w:tc>
          <w:tcPr>
            <w:tcW w:w="787" w:type="dxa"/>
            <w:noWrap w:val="0"/>
            <w:vAlign w:val="center"/>
          </w:tcPr>
          <w:p w14:paraId="3A85A877">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6C7E6854">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581ADC2A">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36610712">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1FF304D0">
            <w:pPr>
              <w:pStyle w:val="12"/>
              <w:snapToGrid w:val="0"/>
              <w:ind w:left="0" w:leftChars="0" w:right="0" w:rightChars="0" w:firstLine="0" w:firstLineChars="0"/>
              <w:jc w:val="center"/>
              <w:rPr>
                <w:rFonts w:hint="default" w:ascii="新宋体" w:hAnsi="Times New Roman" w:eastAsia="新宋体" w:cs="Times New Roman"/>
                <w:kern w:val="2"/>
                <w:sz w:val="18"/>
                <w:szCs w:val="24"/>
                <w:vertAlign w:val="baseline"/>
                <w:lang w:val="en-US" w:eastAsia="zh-CN" w:bidi="ar-SA"/>
              </w:rPr>
            </w:pPr>
          </w:p>
        </w:tc>
      </w:tr>
      <w:tr w14:paraId="0C7A2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49BF7AF1">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8</w:t>
            </w:r>
          </w:p>
        </w:tc>
        <w:tc>
          <w:tcPr>
            <w:tcW w:w="1575" w:type="dxa"/>
            <w:noWrap w:val="0"/>
            <w:vAlign w:val="center"/>
          </w:tcPr>
          <w:p w14:paraId="415DD2A8">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vertAlign w:val="baseline"/>
                <w:lang w:val="en-US" w:eastAsia="zh-CN"/>
              </w:rPr>
              <w:t>防爆</w:t>
            </w:r>
            <w:r>
              <w:rPr>
                <w:rFonts w:hint="eastAsia" w:ascii="新宋体" w:hAnsi="新宋体" w:eastAsia="新宋体" w:cs="新宋体"/>
                <w:sz w:val="18"/>
                <w:szCs w:val="18"/>
                <w:vertAlign w:val="baseline"/>
              </w:rPr>
              <w:t>可燃气体检测器</w:t>
            </w:r>
          </w:p>
        </w:tc>
        <w:tc>
          <w:tcPr>
            <w:tcW w:w="1875" w:type="dxa"/>
            <w:noWrap w:val="0"/>
            <w:vAlign w:val="center"/>
          </w:tcPr>
          <w:p w14:paraId="2168A224">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可燃气体检测器</w:t>
            </w:r>
          </w:p>
        </w:tc>
        <w:tc>
          <w:tcPr>
            <w:tcW w:w="2763" w:type="dxa"/>
            <w:noWrap w:val="0"/>
            <w:vAlign w:val="center"/>
          </w:tcPr>
          <w:p w14:paraId="51364840">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防爆标志Ex d IIC T6Gb</w:t>
            </w:r>
          </w:p>
        </w:tc>
        <w:tc>
          <w:tcPr>
            <w:tcW w:w="525" w:type="dxa"/>
            <w:noWrap w:val="0"/>
            <w:vAlign w:val="center"/>
          </w:tcPr>
          <w:p w14:paraId="7BA0333D">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5</w:t>
            </w:r>
          </w:p>
        </w:tc>
        <w:tc>
          <w:tcPr>
            <w:tcW w:w="550" w:type="dxa"/>
            <w:noWrap w:val="0"/>
            <w:vAlign w:val="center"/>
          </w:tcPr>
          <w:p w14:paraId="14390D6E">
            <w:pPr>
              <w:bidi w:val="0"/>
              <w:snapToGrid w:val="0"/>
              <w:ind w:left="0" w:leftChars="0" w:right="0" w:rightChars="0" w:firstLine="0" w:firstLineChars="0"/>
              <w:jc w:val="center"/>
              <w:rPr>
                <w:rFonts w:hint="eastAsia" w:ascii="新宋体" w:hAnsi="新宋体" w:eastAsia="新宋体" w:cs="新宋体"/>
                <w:kern w:val="2"/>
                <w:sz w:val="18"/>
                <w:szCs w:val="18"/>
                <w:lang w:val="zh-CN" w:eastAsia="zh-CN" w:bidi="ar-SA"/>
              </w:rPr>
            </w:pPr>
            <w:r>
              <w:rPr>
                <w:rFonts w:hint="eastAsia" w:ascii="新宋体" w:hAnsi="新宋体" w:eastAsia="新宋体" w:cs="新宋体"/>
                <w:kern w:val="2"/>
                <w:sz w:val="18"/>
                <w:szCs w:val="18"/>
                <w:lang w:val="en-US" w:eastAsia="zh-CN" w:bidi="ar-SA"/>
              </w:rPr>
              <w:t>套</w:t>
            </w:r>
          </w:p>
        </w:tc>
        <w:tc>
          <w:tcPr>
            <w:tcW w:w="787" w:type="dxa"/>
            <w:noWrap w:val="0"/>
            <w:vAlign w:val="center"/>
          </w:tcPr>
          <w:p w14:paraId="746139FB">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zh-CN" w:eastAsia="zh-CN" w:bidi="ar-SA"/>
              </w:rPr>
            </w:pPr>
          </w:p>
        </w:tc>
        <w:tc>
          <w:tcPr>
            <w:tcW w:w="788" w:type="dxa"/>
            <w:noWrap w:val="0"/>
            <w:vAlign w:val="center"/>
          </w:tcPr>
          <w:p w14:paraId="3FB15CDD">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zh-CN" w:eastAsia="zh-CN" w:bidi="ar-SA"/>
              </w:rPr>
            </w:pPr>
          </w:p>
        </w:tc>
        <w:tc>
          <w:tcPr>
            <w:tcW w:w="437" w:type="dxa"/>
            <w:noWrap w:val="0"/>
            <w:vAlign w:val="center"/>
          </w:tcPr>
          <w:p w14:paraId="6D074DE2">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zh-CN" w:eastAsia="zh-CN" w:bidi="ar-SA"/>
              </w:rPr>
            </w:pPr>
          </w:p>
        </w:tc>
        <w:tc>
          <w:tcPr>
            <w:tcW w:w="813" w:type="dxa"/>
            <w:noWrap w:val="0"/>
            <w:vAlign w:val="center"/>
          </w:tcPr>
          <w:p w14:paraId="52247E58">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zh-CN" w:eastAsia="zh-CN" w:bidi="ar-SA"/>
              </w:rPr>
            </w:pPr>
          </w:p>
        </w:tc>
        <w:tc>
          <w:tcPr>
            <w:tcW w:w="720" w:type="dxa"/>
            <w:noWrap w:val="0"/>
            <w:vAlign w:val="center"/>
          </w:tcPr>
          <w:p w14:paraId="40D84CAD">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zh-CN" w:eastAsia="zh-CN" w:bidi="ar-SA"/>
              </w:rPr>
            </w:pPr>
          </w:p>
        </w:tc>
      </w:tr>
      <w:tr w14:paraId="1CC2D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4C47EEF0">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9</w:t>
            </w:r>
          </w:p>
        </w:tc>
        <w:tc>
          <w:tcPr>
            <w:tcW w:w="1575" w:type="dxa"/>
            <w:noWrap w:val="0"/>
            <w:vAlign w:val="center"/>
          </w:tcPr>
          <w:p w14:paraId="1FD8CF5E">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vertAlign w:val="baseline"/>
              </w:rPr>
              <w:t>防爆温湿度检测器</w:t>
            </w:r>
          </w:p>
        </w:tc>
        <w:tc>
          <w:tcPr>
            <w:tcW w:w="1875" w:type="dxa"/>
            <w:noWrap w:val="0"/>
            <w:vAlign w:val="center"/>
          </w:tcPr>
          <w:p w14:paraId="4FBD7E1A">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防爆温湿度检测器</w:t>
            </w:r>
          </w:p>
        </w:tc>
        <w:tc>
          <w:tcPr>
            <w:tcW w:w="2763" w:type="dxa"/>
            <w:noWrap w:val="0"/>
            <w:vAlign w:val="center"/>
          </w:tcPr>
          <w:p w14:paraId="179538E8">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防爆标志</w:t>
            </w:r>
          </w:p>
          <w:p w14:paraId="78F715ED">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Ex db IIC T6 Gb/Ex tb IIIC T80°CDb</w:t>
            </w:r>
          </w:p>
        </w:tc>
        <w:tc>
          <w:tcPr>
            <w:tcW w:w="525" w:type="dxa"/>
            <w:noWrap w:val="0"/>
            <w:vAlign w:val="center"/>
          </w:tcPr>
          <w:p w14:paraId="46DFD1CD">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5</w:t>
            </w:r>
          </w:p>
        </w:tc>
        <w:tc>
          <w:tcPr>
            <w:tcW w:w="550" w:type="dxa"/>
            <w:noWrap w:val="0"/>
            <w:vAlign w:val="center"/>
          </w:tcPr>
          <w:p w14:paraId="5F29576E">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套</w:t>
            </w:r>
          </w:p>
        </w:tc>
        <w:tc>
          <w:tcPr>
            <w:tcW w:w="787" w:type="dxa"/>
            <w:noWrap w:val="0"/>
            <w:vAlign w:val="center"/>
          </w:tcPr>
          <w:p w14:paraId="54479C31">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zh-CN" w:eastAsia="zh-CN" w:bidi="ar-SA"/>
              </w:rPr>
            </w:pPr>
          </w:p>
        </w:tc>
        <w:tc>
          <w:tcPr>
            <w:tcW w:w="788" w:type="dxa"/>
            <w:noWrap w:val="0"/>
            <w:vAlign w:val="center"/>
          </w:tcPr>
          <w:p w14:paraId="7B59A165">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zh-CN" w:eastAsia="zh-CN" w:bidi="ar-SA"/>
              </w:rPr>
            </w:pPr>
          </w:p>
        </w:tc>
        <w:tc>
          <w:tcPr>
            <w:tcW w:w="437" w:type="dxa"/>
            <w:noWrap w:val="0"/>
            <w:vAlign w:val="center"/>
          </w:tcPr>
          <w:p w14:paraId="725F9340">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zh-CN" w:eastAsia="zh-CN" w:bidi="ar-SA"/>
              </w:rPr>
            </w:pPr>
          </w:p>
        </w:tc>
        <w:tc>
          <w:tcPr>
            <w:tcW w:w="813" w:type="dxa"/>
            <w:noWrap w:val="0"/>
            <w:vAlign w:val="center"/>
          </w:tcPr>
          <w:p w14:paraId="2BA1F7B5">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zh-CN" w:eastAsia="zh-CN" w:bidi="ar-SA"/>
              </w:rPr>
            </w:pPr>
          </w:p>
        </w:tc>
        <w:tc>
          <w:tcPr>
            <w:tcW w:w="720" w:type="dxa"/>
            <w:noWrap w:val="0"/>
            <w:vAlign w:val="center"/>
          </w:tcPr>
          <w:p w14:paraId="604B8B92">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zh-CN" w:eastAsia="zh-CN" w:bidi="ar-SA"/>
              </w:rPr>
            </w:pPr>
          </w:p>
        </w:tc>
      </w:tr>
      <w:tr w14:paraId="4835B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7F17C80B">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10</w:t>
            </w:r>
          </w:p>
        </w:tc>
        <w:tc>
          <w:tcPr>
            <w:tcW w:w="1575" w:type="dxa"/>
            <w:noWrap w:val="0"/>
            <w:vAlign w:val="center"/>
          </w:tcPr>
          <w:p w14:paraId="00AEEBF9">
            <w:pPr>
              <w:bidi w:val="0"/>
              <w:snapToGrid w:val="0"/>
              <w:ind w:left="0" w:leftChars="0" w:right="0" w:rightChars="0" w:firstLine="0" w:firstLineChars="0"/>
              <w:jc w:val="center"/>
              <w:rPr>
                <w:rFonts w:hint="eastAsia" w:ascii="新宋体" w:hAnsi="新宋体" w:eastAsia="新宋体" w:cs="新宋体"/>
                <w:sz w:val="18"/>
                <w:szCs w:val="18"/>
                <w:lang w:val="en-US" w:eastAsia="zh-CN"/>
              </w:rPr>
            </w:pPr>
            <w:r>
              <w:rPr>
                <w:rFonts w:hint="eastAsia" w:ascii="新宋体" w:hAnsi="新宋体" w:eastAsia="新宋体" w:cs="新宋体"/>
                <w:sz w:val="18"/>
                <w:szCs w:val="18"/>
                <w:vertAlign w:val="baseline"/>
              </w:rPr>
              <w:t>防爆视频监控系统</w:t>
            </w:r>
          </w:p>
        </w:tc>
        <w:tc>
          <w:tcPr>
            <w:tcW w:w="1875" w:type="dxa"/>
            <w:noWrap w:val="0"/>
            <w:vAlign w:val="center"/>
          </w:tcPr>
          <w:p w14:paraId="0268F329">
            <w:pPr>
              <w:bidi w:val="0"/>
              <w:snapToGrid w:val="0"/>
              <w:ind w:left="0" w:leftChars="0" w:right="0" w:rightChars="0" w:firstLine="0" w:firstLineChars="0"/>
              <w:jc w:val="center"/>
              <w:rPr>
                <w:rFonts w:hint="eastAsia" w:ascii="新宋体" w:hAnsi="新宋体" w:eastAsia="新宋体" w:cs="新宋体"/>
                <w:sz w:val="18"/>
                <w:szCs w:val="18"/>
                <w:lang w:val="en-US" w:eastAsia="zh-CN"/>
              </w:rPr>
            </w:pPr>
            <w:r>
              <w:rPr>
                <w:rFonts w:hint="eastAsia" w:ascii="新宋体" w:hAnsi="新宋体" w:eastAsia="新宋体" w:cs="新宋体"/>
                <w:sz w:val="18"/>
                <w:szCs w:val="18"/>
                <w:lang w:val="en-US" w:eastAsia="zh-CN"/>
              </w:rPr>
              <w:t>防爆视频监控系统</w:t>
            </w:r>
          </w:p>
        </w:tc>
        <w:tc>
          <w:tcPr>
            <w:tcW w:w="2763" w:type="dxa"/>
            <w:noWrap w:val="0"/>
            <w:vAlign w:val="center"/>
          </w:tcPr>
          <w:p w14:paraId="595476DE">
            <w:pPr>
              <w:bidi w:val="0"/>
              <w:snapToGrid w:val="0"/>
              <w:ind w:left="0" w:leftChars="0" w:right="0" w:rightChars="0" w:firstLine="0" w:firstLineChars="0"/>
              <w:jc w:val="left"/>
              <w:rPr>
                <w:rFonts w:hint="eastAsia" w:ascii="新宋体" w:hAnsi="新宋体" w:eastAsia="新宋体" w:cs="新宋体"/>
                <w:sz w:val="18"/>
                <w:szCs w:val="18"/>
                <w:lang w:val="en-US" w:eastAsia="zh-CN"/>
              </w:rPr>
            </w:pPr>
            <w:r>
              <w:rPr>
                <w:rFonts w:hint="eastAsia" w:ascii="新宋体" w:hAnsi="新宋体" w:eastAsia="新宋体" w:cs="新宋体"/>
                <w:sz w:val="18"/>
                <w:szCs w:val="18"/>
                <w:lang w:val="en-US" w:eastAsia="zh-CN"/>
              </w:rPr>
              <w:t>防爆标志：Exdb IIC T6 Gb</w:t>
            </w:r>
          </w:p>
        </w:tc>
        <w:tc>
          <w:tcPr>
            <w:tcW w:w="525" w:type="dxa"/>
            <w:noWrap w:val="0"/>
            <w:vAlign w:val="center"/>
          </w:tcPr>
          <w:p w14:paraId="24376DEA">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3</w:t>
            </w:r>
          </w:p>
        </w:tc>
        <w:tc>
          <w:tcPr>
            <w:tcW w:w="550" w:type="dxa"/>
            <w:noWrap w:val="0"/>
            <w:vAlign w:val="center"/>
          </w:tcPr>
          <w:p w14:paraId="17EE61DB">
            <w:pPr>
              <w:bidi w:val="0"/>
              <w:snapToGrid w:val="0"/>
              <w:ind w:left="0" w:leftChars="0" w:right="0" w:rightChars="0" w:firstLine="0" w:firstLineChars="0"/>
              <w:jc w:val="center"/>
              <w:rPr>
                <w:rFonts w:hint="eastAsia" w:ascii="新宋体" w:hAnsi="新宋体" w:eastAsia="新宋体" w:cs="新宋体"/>
                <w:sz w:val="18"/>
                <w:szCs w:val="18"/>
                <w:lang w:val="en-US" w:eastAsia="zh-CN"/>
              </w:rPr>
            </w:pPr>
            <w:r>
              <w:rPr>
                <w:rFonts w:hint="eastAsia" w:ascii="新宋体" w:hAnsi="新宋体" w:eastAsia="新宋体" w:cs="新宋体"/>
                <w:sz w:val="18"/>
                <w:szCs w:val="18"/>
                <w:lang w:val="en-US" w:eastAsia="zh-CN"/>
              </w:rPr>
              <w:t>套</w:t>
            </w:r>
          </w:p>
        </w:tc>
        <w:tc>
          <w:tcPr>
            <w:tcW w:w="787" w:type="dxa"/>
            <w:noWrap w:val="0"/>
            <w:vAlign w:val="center"/>
          </w:tcPr>
          <w:p w14:paraId="696F648F">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zh-CN" w:eastAsia="zh-CN" w:bidi="ar-SA"/>
              </w:rPr>
            </w:pPr>
          </w:p>
        </w:tc>
        <w:tc>
          <w:tcPr>
            <w:tcW w:w="788" w:type="dxa"/>
            <w:noWrap w:val="0"/>
            <w:vAlign w:val="center"/>
          </w:tcPr>
          <w:p w14:paraId="7C4EAF21">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zh-CN" w:eastAsia="zh-CN" w:bidi="ar-SA"/>
              </w:rPr>
            </w:pPr>
          </w:p>
        </w:tc>
        <w:tc>
          <w:tcPr>
            <w:tcW w:w="437" w:type="dxa"/>
            <w:noWrap w:val="0"/>
            <w:vAlign w:val="center"/>
          </w:tcPr>
          <w:p w14:paraId="2E19A0DA">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zh-CN" w:eastAsia="zh-CN" w:bidi="ar-SA"/>
              </w:rPr>
            </w:pPr>
          </w:p>
        </w:tc>
        <w:tc>
          <w:tcPr>
            <w:tcW w:w="813" w:type="dxa"/>
            <w:noWrap w:val="0"/>
            <w:vAlign w:val="center"/>
          </w:tcPr>
          <w:p w14:paraId="0795114F">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zh-CN" w:eastAsia="zh-CN" w:bidi="ar-SA"/>
              </w:rPr>
            </w:pPr>
          </w:p>
        </w:tc>
        <w:tc>
          <w:tcPr>
            <w:tcW w:w="720" w:type="dxa"/>
            <w:noWrap w:val="0"/>
            <w:vAlign w:val="center"/>
          </w:tcPr>
          <w:p w14:paraId="2DFBD69D">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zh-CN" w:eastAsia="zh-CN" w:bidi="ar-SA"/>
              </w:rPr>
            </w:pPr>
          </w:p>
        </w:tc>
      </w:tr>
      <w:tr w14:paraId="7321E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26CD2FFC">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11</w:t>
            </w:r>
          </w:p>
        </w:tc>
        <w:tc>
          <w:tcPr>
            <w:tcW w:w="1575" w:type="dxa"/>
            <w:noWrap w:val="0"/>
            <w:vAlign w:val="center"/>
          </w:tcPr>
          <w:p w14:paraId="4FCEF7E9">
            <w:pPr>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vertAlign w:val="baseline"/>
              </w:rPr>
              <w:t>防泄漏系统</w:t>
            </w:r>
          </w:p>
        </w:tc>
        <w:tc>
          <w:tcPr>
            <w:tcW w:w="1875" w:type="dxa"/>
            <w:noWrap w:val="0"/>
            <w:vAlign w:val="center"/>
          </w:tcPr>
          <w:p w14:paraId="485BFC09">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防泄漏集液槽</w:t>
            </w:r>
          </w:p>
        </w:tc>
        <w:tc>
          <w:tcPr>
            <w:tcW w:w="2763" w:type="dxa"/>
            <w:noWrap w:val="0"/>
            <w:vAlign w:val="center"/>
          </w:tcPr>
          <w:p w14:paraId="65636BFD">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防腐碳钢板格栅+阀门</w:t>
            </w:r>
          </w:p>
        </w:tc>
        <w:tc>
          <w:tcPr>
            <w:tcW w:w="525" w:type="dxa"/>
            <w:noWrap w:val="0"/>
            <w:vAlign w:val="center"/>
          </w:tcPr>
          <w:p w14:paraId="4F8C72E2">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1</w:t>
            </w:r>
          </w:p>
        </w:tc>
        <w:tc>
          <w:tcPr>
            <w:tcW w:w="550" w:type="dxa"/>
            <w:noWrap w:val="0"/>
            <w:vAlign w:val="center"/>
          </w:tcPr>
          <w:p w14:paraId="23EA4C31">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lang w:val="en-US" w:eastAsia="zh-CN"/>
              </w:rPr>
              <w:t>套</w:t>
            </w:r>
          </w:p>
        </w:tc>
        <w:tc>
          <w:tcPr>
            <w:tcW w:w="787" w:type="dxa"/>
            <w:noWrap w:val="0"/>
            <w:vAlign w:val="center"/>
          </w:tcPr>
          <w:p w14:paraId="6193A8EC">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2313E56D">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4B8BBEF4">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2EA5FAF7">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5294E06B">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en-US" w:eastAsia="zh-CN" w:bidi="ar-SA"/>
              </w:rPr>
            </w:pPr>
          </w:p>
        </w:tc>
      </w:tr>
      <w:tr w14:paraId="4B108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3A469C10">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12</w:t>
            </w:r>
          </w:p>
        </w:tc>
        <w:tc>
          <w:tcPr>
            <w:tcW w:w="1575" w:type="dxa"/>
            <w:noWrap w:val="0"/>
            <w:vAlign w:val="center"/>
          </w:tcPr>
          <w:p w14:paraId="01B81860">
            <w:pPr>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vertAlign w:val="baseline"/>
              </w:rPr>
              <w:t>防静电装置</w:t>
            </w:r>
          </w:p>
        </w:tc>
        <w:tc>
          <w:tcPr>
            <w:tcW w:w="1875" w:type="dxa"/>
            <w:noWrap w:val="0"/>
            <w:vAlign w:val="center"/>
          </w:tcPr>
          <w:p w14:paraId="1142A934">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防静电接地装置</w:t>
            </w:r>
          </w:p>
        </w:tc>
        <w:tc>
          <w:tcPr>
            <w:tcW w:w="2763" w:type="dxa"/>
            <w:noWrap w:val="0"/>
            <w:vAlign w:val="center"/>
          </w:tcPr>
          <w:p w14:paraId="3BE4BB60">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防爆标志:Ex ia IIC T6Ga</w:t>
            </w:r>
          </w:p>
        </w:tc>
        <w:tc>
          <w:tcPr>
            <w:tcW w:w="525" w:type="dxa"/>
            <w:noWrap w:val="0"/>
            <w:vAlign w:val="center"/>
          </w:tcPr>
          <w:p w14:paraId="31B6C85D">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2</w:t>
            </w:r>
          </w:p>
        </w:tc>
        <w:tc>
          <w:tcPr>
            <w:tcW w:w="550" w:type="dxa"/>
            <w:noWrap w:val="0"/>
            <w:vAlign w:val="center"/>
          </w:tcPr>
          <w:p w14:paraId="09C8AD9E">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lang w:val="en-US" w:eastAsia="zh-CN"/>
              </w:rPr>
              <w:t>套</w:t>
            </w:r>
          </w:p>
        </w:tc>
        <w:tc>
          <w:tcPr>
            <w:tcW w:w="787" w:type="dxa"/>
            <w:noWrap w:val="0"/>
            <w:vAlign w:val="center"/>
          </w:tcPr>
          <w:p w14:paraId="41B93619">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64930566">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67BAC429">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26FC3C80">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4F8D8DD9">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en-US" w:eastAsia="zh-CN" w:bidi="ar-SA"/>
              </w:rPr>
            </w:pPr>
          </w:p>
        </w:tc>
      </w:tr>
      <w:tr w14:paraId="1A936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4E35F31D">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13</w:t>
            </w:r>
          </w:p>
        </w:tc>
        <w:tc>
          <w:tcPr>
            <w:tcW w:w="1575" w:type="dxa"/>
            <w:noWrap w:val="0"/>
            <w:vAlign w:val="center"/>
          </w:tcPr>
          <w:p w14:paraId="2CB9D1FD">
            <w:pPr>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vertAlign w:val="baseline"/>
              </w:rPr>
              <w:t>自动泄爆装置</w:t>
            </w:r>
          </w:p>
        </w:tc>
        <w:tc>
          <w:tcPr>
            <w:tcW w:w="1875" w:type="dxa"/>
            <w:noWrap w:val="0"/>
            <w:vAlign w:val="center"/>
          </w:tcPr>
          <w:p w14:paraId="192C7ABA">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顶部泄爆窗口</w:t>
            </w:r>
          </w:p>
        </w:tc>
        <w:tc>
          <w:tcPr>
            <w:tcW w:w="2763" w:type="dxa"/>
            <w:noWrap w:val="0"/>
            <w:vAlign w:val="center"/>
          </w:tcPr>
          <w:p w14:paraId="5E1A5D22">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300*400mm</w:t>
            </w:r>
          </w:p>
        </w:tc>
        <w:tc>
          <w:tcPr>
            <w:tcW w:w="525" w:type="dxa"/>
            <w:noWrap w:val="0"/>
            <w:vAlign w:val="center"/>
          </w:tcPr>
          <w:p w14:paraId="0C9DB8A1">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4</w:t>
            </w:r>
          </w:p>
        </w:tc>
        <w:tc>
          <w:tcPr>
            <w:tcW w:w="550" w:type="dxa"/>
            <w:noWrap w:val="0"/>
            <w:vAlign w:val="center"/>
          </w:tcPr>
          <w:p w14:paraId="3EAC08BF">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lang w:val="en-US" w:eastAsia="zh-CN"/>
              </w:rPr>
              <w:t>套</w:t>
            </w:r>
          </w:p>
        </w:tc>
        <w:tc>
          <w:tcPr>
            <w:tcW w:w="787" w:type="dxa"/>
            <w:noWrap w:val="0"/>
            <w:vAlign w:val="center"/>
          </w:tcPr>
          <w:p w14:paraId="74C2C368">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12CD5A3A">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56F4905F">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134FD83B">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2EB42D92">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en-US" w:eastAsia="zh-CN" w:bidi="ar-SA"/>
              </w:rPr>
            </w:pPr>
          </w:p>
        </w:tc>
      </w:tr>
      <w:tr w14:paraId="701F6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019FA3B6">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14</w:t>
            </w:r>
          </w:p>
        </w:tc>
        <w:tc>
          <w:tcPr>
            <w:tcW w:w="1575" w:type="dxa"/>
            <w:noWrap w:val="0"/>
            <w:vAlign w:val="center"/>
          </w:tcPr>
          <w:p w14:paraId="73AD5F7D">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vertAlign w:val="baseline"/>
              </w:rPr>
              <w:t>防雷系统</w:t>
            </w:r>
          </w:p>
        </w:tc>
        <w:tc>
          <w:tcPr>
            <w:tcW w:w="1875" w:type="dxa"/>
            <w:noWrap w:val="0"/>
            <w:vAlign w:val="center"/>
          </w:tcPr>
          <w:p w14:paraId="3E80A0A4">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防雷接地针</w:t>
            </w:r>
          </w:p>
        </w:tc>
        <w:tc>
          <w:tcPr>
            <w:tcW w:w="2763" w:type="dxa"/>
            <w:noWrap w:val="0"/>
            <w:vAlign w:val="center"/>
          </w:tcPr>
          <w:p w14:paraId="59BC599C">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不锈钢实心针尖</w:t>
            </w:r>
          </w:p>
        </w:tc>
        <w:tc>
          <w:tcPr>
            <w:tcW w:w="525" w:type="dxa"/>
            <w:noWrap w:val="0"/>
            <w:vAlign w:val="center"/>
          </w:tcPr>
          <w:p w14:paraId="53973146">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1</w:t>
            </w:r>
          </w:p>
        </w:tc>
        <w:tc>
          <w:tcPr>
            <w:tcW w:w="550" w:type="dxa"/>
            <w:noWrap w:val="0"/>
            <w:vAlign w:val="center"/>
          </w:tcPr>
          <w:p w14:paraId="2473D80A">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lang w:val="en-US" w:eastAsia="zh-CN"/>
              </w:rPr>
              <w:t>套</w:t>
            </w:r>
          </w:p>
        </w:tc>
        <w:tc>
          <w:tcPr>
            <w:tcW w:w="787" w:type="dxa"/>
            <w:noWrap w:val="0"/>
            <w:vAlign w:val="center"/>
          </w:tcPr>
          <w:p w14:paraId="178BB5F9">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079D9165">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095514D4">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52D40FCA">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48FD3FB2">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en-US" w:eastAsia="zh-CN" w:bidi="ar-SA"/>
              </w:rPr>
            </w:pPr>
          </w:p>
        </w:tc>
      </w:tr>
      <w:tr w14:paraId="36B3A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1C69D7C9">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15</w:t>
            </w:r>
          </w:p>
        </w:tc>
        <w:tc>
          <w:tcPr>
            <w:tcW w:w="1575" w:type="dxa"/>
            <w:noWrap w:val="0"/>
            <w:vAlign w:val="center"/>
          </w:tcPr>
          <w:p w14:paraId="725E5C86">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vertAlign w:val="baseline"/>
                <w:lang w:val="en-US" w:eastAsia="zh-CN"/>
              </w:rPr>
              <w:t>防爆空调系统</w:t>
            </w:r>
          </w:p>
        </w:tc>
        <w:tc>
          <w:tcPr>
            <w:tcW w:w="1875" w:type="dxa"/>
            <w:noWrap w:val="0"/>
            <w:vAlign w:val="center"/>
          </w:tcPr>
          <w:p w14:paraId="75A97CEC">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防爆空调</w:t>
            </w:r>
          </w:p>
        </w:tc>
        <w:tc>
          <w:tcPr>
            <w:tcW w:w="2763" w:type="dxa"/>
            <w:noWrap w:val="0"/>
            <w:vAlign w:val="center"/>
          </w:tcPr>
          <w:p w14:paraId="0CA081CF">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防护等级：IP66</w:t>
            </w:r>
          </w:p>
        </w:tc>
        <w:tc>
          <w:tcPr>
            <w:tcW w:w="525" w:type="dxa"/>
            <w:noWrap w:val="0"/>
            <w:vAlign w:val="center"/>
          </w:tcPr>
          <w:p w14:paraId="0E553996">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3</w:t>
            </w:r>
          </w:p>
        </w:tc>
        <w:tc>
          <w:tcPr>
            <w:tcW w:w="550" w:type="dxa"/>
            <w:noWrap w:val="0"/>
            <w:vAlign w:val="center"/>
          </w:tcPr>
          <w:p w14:paraId="025D19F7">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lang w:val="en-US" w:eastAsia="zh-CN"/>
              </w:rPr>
              <w:t>套</w:t>
            </w:r>
          </w:p>
        </w:tc>
        <w:tc>
          <w:tcPr>
            <w:tcW w:w="787" w:type="dxa"/>
            <w:noWrap w:val="0"/>
            <w:vAlign w:val="center"/>
          </w:tcPr>
          <w:p w14:paraId="354BC45E">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183B7C65">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2585E3B1">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12E83837">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0B925207">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en-US" w:eastAsia="zh-CN" w:bidi="ar-SA"/>
              </w:rPr>
            </w:pPr>
          </w:p>
        </w:tc>
      </w:tr>
      <w:tr w14:paraId="5DA5C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297A49BB">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16</w:t>
            </w:r>
          </w:p>
        </w:tc>
        <w:tc>
          <w:tcPr>
            <w:tcW w:w="1575" w:type="dxa"/>
            <w:vMerge w:val="restart"/>
            <w:noWrap w:val="0"/>
            <w:vAlign w:val="center"/>
          </w:tcPr>
          <w:p w14:paraId="7117D8E0">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vertAlign w:val="baseline"/>
              </w:rPr>
              <w:t>防爆照明系统</w:t>
            </w:r>
          </w:p>
        </w:tc>
        <w:tc>
          <w:tcPr>
            <w:tcW w:w="1875" w:type="dxa"/>
            <w:noWrap w:val="0"/>
            <w:vAlign w:val="center"/>
          </w:tcPr>
          <w:p w14:paraId="14658DF4">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防爆照明灯</w:t>
            </w:r>
          </w:p>
        </w:tc>
        <w:tc>
          <w:tcPr>
            <w:tcW w:w="2763" w:type="dxa"/>
            <w:noWrap w:val="0"/>
            <w:vAlign w:val="center"/>
          </w:tcPr>
          <w:p w14:paraId="1C71D615">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防护等级：IP65</w:t>
            </w:r>
          </w:p>
          <w:p w14:paraId="17950840">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防爆标志：Exd II CT6</w:t>
            </w:r>
          </w:p>
        </w:tc>
        <w:tc>
          <w:tcPr>
            <w:tcW w:w="525" w:type="dxa"/>
            <w:noWrap w:val="0"/>
            <w:vAlign w:val="center"/>
          </w:tcPr>
          <w:p w14:paraId="132E6413">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6</w:t>
            </w:r>
          </w:p>
        </w:tc>
        <w:tc>
          <w:tcPr>
            <w:tcW w:w="550" w:type="dxa"/>
            <w:noWrap w:val="0"/>
            <w:vAlign w:val="center"/>
          </w:tcPr>
          <w:p w14:paraId="382EA85B">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lang w:val="en-US" w:eastAsia="zh-CN"/>
              </w:rPr>
              <w:t>套</w:t>
            </w:r>
          </w:p>
        </w:tc>
        <w:tc>
          <w:tcPr>
            <w:tcW w:w="787" w:type="dxa"/>
            <w:noWrap w:val="0"/>
            <w:vAlign w:val="center"/>
          </w:tcPr>
          <w:p w14:paraId="1CA2338F">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03646B52">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46EB1C86">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07BE7805">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6D1FE286">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en-US" w:eastAsia="zh-CN" w:bidi="ar-SA"/>
              </w:rPr>
            </w:pPr>
          </w:p>
        </w:tc>
      </w:tr>
      <w:tr w14:paraId="0FD66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0894836F">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17</w:t>
            </w:r>
          </w:p>
        </w:tc>
        <w:tc>
          <w:tcPr>
            <w:tcW w:w="1575" w:type="dxa"/>
            <w:vMerge w:val="continue"/>
            <w:noWrap w:val="0"/>
            <w:vAlign w:val="center"/>
          </w:tcPr>
          <w:p w14:paraId="12350322">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p>
        </w:tc>
        <w:tc>
          <w:tcPr>
            <w:tcW w:w="1875" w:type="dxa"/>
            <w:noWrap w:val="0"/>
            <w:vAlign w:val="center"/>
          </w:tcPr>
          <w:p w14:paraId="3372A88A">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防爆报警灯</w:t>
            </w:r>
          </w:p>
        </w:tc>
        <w:tc>
          <w:tcPr>
            <w:tcW w:w="2763" w:type="dxa"/>
            <w:noWrap w:val="0"/>
            <w:vAlign w:val="center"/>
          </w:tcPr>
          <w:p w14:paraId="2BF3E225">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防护等级：IP65</w:t>
            </w:r>
          </w:p>
          <w:p w14:paraId="597DAA8F">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防爆标志：Exd IIC T5 Gb</w:t>
            </w:r>
          </w:p>
        </w:tc>
        <w:tc>
          <w:tcPr>
            <w:tcW w:w="525" w:type="dxa"/>
            <w:noWrap w:val="0"/>
            <w:vAlign w:val="center"/>
          </w:tcPr>
          <w:p w14:paraId="586F2E0F">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2</w:t>
            </w:r>
          </w:p>
        </w:tc>
        <w:tc>
          <w:tcPr>
            <w:tcW w:w="550" w:type="dxa"/>
            <w:noWrap w:val="0"/>
            <w:vAlign w:val="center"/>
          </w:tcPr>
          <w:p w14:paraId="21856CB3">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lang w:val="en-US" w:eastAsia="zh-CN"/>
              </w:rPr>
              <w:t>套</w:t>
            </w:r>
          </w:p>
        </w:tc>
        <w:tc>
          <w:tcPr>
            <w:tcW w:w="787" w:type="dxa"/>
            <w:noWrap w:val="0"/>
            <w:vAlign w:val="center"/>
          </w:tcPr>
          <w:p w14:paraId="0DADB06C">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07E9DD4F">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56F358D2">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155B5FBF">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1F4D57D4">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en-US" w:eastAsia="zh-CN" w:bidi="ar-SA"/>
              </w:rPr>
            </w:pPr>
          </w:p>
        </w:tc>
      </w:tr>
      <w:tr w14:paraId="519F8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1D8DDF97">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18</w:t>
            </w:r>
          </w:p>
        </w:tc>
        <w:tc>
          <w:tcPr>
            <w:tcW w:w="1575" w:type="dxa"/>
            <w:vMerge w:val="continue"/>
            <w:noWrap w:val="0"/>
            <w:vAlign w:val="center"/>
          </w:tcPr>
          <w:p w14:paraId="258B507A">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p>
        </w:tc>
        <w:tc>
          <w:tcPr>
            <w:tcW w:w="1875" w:type="dxa"/>
            <w:noWrap w:val="0"/>
            <w:vAlign w:val="center"/>
          </w:tcPr>
          <w:p w14:paraId="5A0D0C8F">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防爆应急灯</w:t>
            </w:r>
          </w:p>
        </w:tc>
        <w:tc>
          <w:tcPr>
            <w:tcW w:w="2763" w:type="dxa"/>
            <w:noWrap w:val="0"/>
            <w:vAlign w:val="center"/>
          </w:tcPr>
          <w:p w14:paraId="1D3EC526">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防爆标志：Exdb IIB T6 Gb；</w:t>
            </w:r>
          </w:p>
          <w:p w14:paraId="3495B2B4">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防护等级：IP66</w:t>
            </w:r>
          </w:p>
        </w:tc>
        <w:tc>
          <w:tcPr>
            <w:tcW w:w="525" w:type="dxa"/>
            <w:noWrap w:val="0"/>
            <w:vAlign w:val="center"/>
          </w:tcPr>
          <w:p w14:paraId="554CC41B">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7</w:t>
            </w:r>
          </w:p>
        </w:tc>
        <w:tc>
          <w:tcPr>
            <w:tcW w:w="550" w:type="dxa"/>
            <w:noWrap w:val="0"/>
            <w:vAlign w:val="center"/>
          </w:tcPr>
          <w:p w14:paraId="78DE802E">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lang w:val="en-US" w:eastAsia="zh-CN"/>
              </w:rPr>
              <w:t>套</w:t>
            </w:r>
          </w:p>
        </w:tc>
        <w:tc>
          <w:tcPr>
            <w:tcW w:w="787" w:type="dxa"/>
            <w:noWrap w:val="0"/>
            <w:vAlign w:val="center"/>
          </w:tcPr>
          <w:p w14:paraId="4FD53727">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1B7617C7">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5B771004">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4CC3B596">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6DCA48B9">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en-US" w:eastAsia="zh-CN" w:bidi="ar-SA"/>
              </w:rPr>
            </w:pPr>
          </w:p>
        </w:tc>
      </w:tr>
      <w:tr w14:paraId="6B7BB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32CB5C0D">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19</w:t>
            </w:r>
          </w:p>
        </w:tc>
        <w:tc>
          <w:tcPr>
            <w:tcW w:w="1575" w:type="dxa"/>
            <w:noWrap w:val="0"/>
            <w:vAlign w:val="center"/>
          </w:tcPr>
          <w:p w14:paraId="0D964673">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vertAlign w:val="baseline"/>
              </w:rPr>
              <w:t>安全</w:t>
            </w:r>
            <w:r>
              <w:rPr>
                <w:rFonts w:hint="eastAsia" w:ascii="新宋体" w:hAnsi="新宋体" w:eastAsia="新宋体" w:cs="新宋体"/>
                <w:sz w:val="18"/>
                <w:szCs w:val="18"/>
                <w:vertAlign w:val="baseline"/>
                <w:lang w:val="en-US" w:eastAsia="zh-CN"/>
              </w:rPr>
              <w:t>环保</w:t>
            </w:r>
            <w:r>
              <w:rPr>
                <w:rFonts w:hint="eastAsia" w:ascii="新宋体" w:hAnsi="新宋体" w:eastAsia="新宋体" w:cs="新宋体"/>
                <w:sz w:val="18"/>
                <w:szCs w:val="18"/>
                <w:vertAlign w:val="baseline"/>
              </w:rPr>
              <w:t>标识、标牌与说明</w:t>
            </w:r>
          </w:p>
        </w:tc>
        <w:tc>
          <w:tcPr>
            <w:tcW w:w="1875" w:type="dxa"/>
            <w:noWrap w:val="0"/>
            <w:vAlign w:val="center"/>
          </w:tcPr>
          <w:p w14:paraId="7D9B6399">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安全环保标识/制度牌</w:t>
            </w:r>
          </w:p>
        </w:tc>
        <w:tc>
          <w:tcPr>
            <w:tcW w:w="2763" w:type="dxa"/>
            <w:noWrap w:val="0"/>
            <w:vAlign w:val="center"/>
          </w:tcPr>
          <w:p w14:paraId="5E560083">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国标</w:t>
            </w:r>
          </w:p>
        </w:tc>
        <w:tc>
          <w:tcPr>
            <w:tcW w:w="525" w:type="dxa"/>
            <w:noWrap w:val="0"/>
            <w:vAlign w:val="center"/>
          </w:tcPr>
          <w:p w14:paraId="4B70FD7B">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2</w:t>
            </w:r>
          </w:p>
        </w:tc>
        <w:tc>
          <w:tcPr>
            <w:tcW w:w="550" w:type="dxa"/>
            <w:noWrap w:val="0"/>
            <w:vAlign w:val="center"/>
          </w:tcPr>
          <w:p w14:paraId="5E07EAC5">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lang w:val="en-US" w:eastAsia="zh-CN"/>
              </w:rPr>
              <w:t>套</w:t>
            </w:r>
          </w:p>
        </w:tc>
        <w:tc>
          <w:tcPr>
            <w:tcW w:w="787" w:type="dxa"/>
            <w:noWrap w:val="0"/>
            <w:vAlign w:val="center"/>
          </w:tcPr>
          <w:p w14:paraId="6A3DEDDB">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772D6BA1">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756D8F77">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123B8DA1">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3545BD3F">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en-US" w:eastAsia="zh-CN" w:bidi="ar-SA"/>
              </w:rPr>
            </w:pPr>
          </w:p>
        </w:tc>
      </w:tr>
      <w:tr w14:paraId="4E0BA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77440D45">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20</w:t>
            </w:r>
          </w:p>
        </w:tc>
        <w:tc>
          <w:tcPr>
            <w:tcW w:w="1575" w:type="dxa"/>
            <w:vMerge w:val="restart"/>
            <w:noWrap w:val="0"/>
            <w:vAlign w:val="center"/>
          </w:tcPr>
          <w:p w14:paraId="35D7924A">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vertAlign w:val="baseline"/>
              </w:rPr>
              <w:t>其他配件设施</w:t>
            </w:r>
          </w:p>
        </w:tc>
        <w:tc>
          <w:tcPr>
            <w:tcW w:w="1875" w:type="dxa"/>
            <w:noWrap w:val="0"/>
            <w:vAlign w:val="center"/>
          </w:tcPr>
          <w:p w14:paraId="2F2305F1">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防爆穿线盒+三通+弯头</w:t>
            </w:r>
          </w:p>
        </w:tc>
        <w:tc>
          <w:tcPr>
            <w:tcW w:w="2763" w:type="dxa"/>
            <w:noWrap w:val="0"/>
            <w:vAlign w:val="center"/>
          </w:tcPr>
          <w:p w14:paraId="30B43C6D">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防爆标志：Exe IIC Gb</w:t>
            </w:r>
          </w:p>
          <w:p w14:paraId="16EF67ED">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防护等级：IP66</w:t>
            </w:r>
          </w:p>
        </w:tc>
        <w:tc>
          <w:tcPr>
            <w:tcW w:w="525" w:type="dxa"/>
            <w:noWrap w:val="0"/>
            <w:vAlign w:val="center"/>
          </w:tcPr>
          <w:p w14:paraId="13F634E9">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1</w:t>
            </w:r>
          </w:p>
        </w:tc>
        <w:tc>
          <w:tcPr>
            <w:tcW w:w="550" w:type="dxa"/>
            <w:noWrap w:val="0"/>
            <w:vAlign w:val="center"/>
          </w:tcPr>
          <w:p w14:paraId="56E1E027">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lang w:val="en-US" w:eastAsia="zh-CN"/>
              </w:rPr>
              <w:t>套</w:t>
            </w:r>
          </w:p>
        </w:tc>
        <w:tc>
          <w:tcPr>
            <w:tcW w:w="787" w:type="dxa"/>
            <w:noWrap w:val="0"/>
            <w:vAlign w:val="center"/>
          </w:tcPr>
          <w:p w14:paraId="5B7DBCB7">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70C2EC68">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516EC0A1">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34991E7A">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4EB956B2">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en-US" w:eastAsia="zh-CN" w:bidi="ar-SA"/>
              </w:rPr>
            </w:pPr>
          </w:p>
        </w:tc>
      </w:tr>
      <w:tr w14:paraId="17A0A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54324E02">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21</w:t>
            </w:r>
          </w:p>
        </w:tc>
        <w:tc>
          <w:tcPr>
            <w:tcW w:w="1575" w:type="dxa"/>
            <w:vMerge w:val="continue"/>
            <w:noWrap w:val="0"/>
            <w:vAlign w:val="center"/>
          </w:tcPr>
          <w:p w14:paraId="63F84AA0">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p>
        </w:tc>
        <w:tc>
          <w:tcPr>
            <w:tcW w:w="1875" w:type="dxa"/>
            <w:noWrap w:val="0"/>
            <w:vAlign w:val="center"/>
          </w:tcPr>
          <w:p w14:paraId="0B604E66">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防爆穿线管+桥架</w:t>
            </w:r>
          </w:p>
        </w:tc>
        <w:tc>
          <w:tcPr>
            <w:tcW w:w="2763" w:type="dxa"/>
            <w:noWrap w:val="0"/>
            <w:vAlign w:val="center"/>
          </w:tcPr>
          <w:p w14:paraId="08E7FD4A">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防爆标志：Exd IIC Gb</w:t>
            </w:r>
          </w:p>
          <w:p w14:paraId="73A90C1B">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防护等级：IP66</w:t>
            </w:r>
          </w:p>
        </w:tc>
        <w:tc>
          <w:tcPr>
            <w:tcW w:w="525" w:type="dxa"/>
            <w:noWrap w:val="0"/>
            <w:vAlign w:val="center"/>
          </w:tcPr>
          <w:p w14:paraId="02047F0C">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1</w:t>
            </w:r>
          </w:p>
        </w:tc>
        <w:tc>
          <w:tcPr>
            <w:tcW w:w="550" w:type="dxa"/>
            <w:noWrap w:val="0"/>
            <w:vAlign w:val="center"/>
          </w:tcPr>
          <w:p w14:paraId="31193367">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lang w:val="en-US" w:eastAsia="zh-CN"/>
              </w:rPr>
              <w:t>套</w:t>
            </w:r>
          </w:p>
        </w:tc>
        <w:tc>
          <w:tcPr>
            <w:tcW w:w="787" w:type="dxa"/>
            <w:noWrap w:val="0"/>
            <w:vAlign w:val="center"/>
          </w:tcPr>
          <w:p w14:paraId="6913EDC9">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3008FF42">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6774A58E">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2FF44B56">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7D449E10">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en-US" w:eastAsia="zh-CN" w:bidi="ar-SA"/>
              </w:rPr>
            </w:pPr>
          </w:p>
        </w:tc>
      </w:tr>
      <w:tr w14:paraId="65BD1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3924D2BF">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22</w:t>
            </w:r>
          </w:p>
        </w:tc>
        <w:tc>
          <w:tcPr>
            <w:tcW w:w="1575" w:type="dxa"/>
            <w:noWrap w:val="0"/>
            <w:vAlign w:val="center"/>
          </w:tcPr>
          <w:p w14:paraId="68FA7880">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vertAlign w:val="baseline"/>
                <w:lang w:val="en-US" w:eastAsia="zh-CN"/>
              </w:rPr>
              <w:t>洗眼装置</w:t>
            </w:r>
          </w:p>
        </w:tc>
        <w:tc>
          <w:tcPr>
            <w:tcW w:w="1875" w:type="dxa"/>
            <w:noWrap w:val="0"/>
            <w:vAlign w:val="center"/>
          </w:tcPr>
          <w:p w14:paraId="14C8F1F4">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眼面部清洗装置</w:t>
            </w:r>
          </w:p>
        </w:tc>
        <w:tc>
          <w:tcPr>
            <w:tcW w:w="2763" w:type="dxa"/>
            <w:noWrap w:val="0"/>
            <w:vAlign w:val="center"/>
          </w:tcPr>
          <w:p w14:paraId="3BE9A17E">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国标</w:t>
            </w:r>
          </w:p>
        </w:tc>
        <w:tc>
          <w:tcPr>
            <w:tcW w:w="525" w:type="dxa"/>
            <w:noWrap w:val="0"/>
            <w:vAlign w:val="center"/>
          </w:tcPr>
          <w:p w14:paraId="3C379B69">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1</w:t>
            </w:r>
          </w:p>
        </w:tc>
        <w:tc>
          <w:tcPr>
            <w:tcW w:w="550" w:type="dxa"/>
            <w:noWrap w:val="0"/>
            <w:vAlign w:val="center"/>
          </w:tcPr>
          <w:p w14:paraId="254F9734">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lang w:val="en-US" w:eastAsia="zh-CN"/>
              </w:rPr>
              <w:t>套</w:t>
            </w:r>
          </w:p>
        </w:tc>
        <w:tc>
          <w:tcPr>
            <w:tcW w:w="787" w:type="dxa"/>
            <w:noWrap w:val="0"/>
            <w:vAlign w:val="center"/>
          </w:tcPr>
          <w:p w14:paraId="64584537">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34878FE6">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78B5F38C">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7EF795DC">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00F32FE0">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en-US" w:eastAsia="zh-CN" w:bidi="ar-SA"/>
              </w:rPr>
            </w:pPr>
          </w:p>
        </w:tc>
      </w:tr>
      <w:tr w14:paraId="4ECC0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20F82225">
            <w:pPr>
              <w:keepNext w:val="0"/>
              <w:keepLines w:val="0"/>
              <w:widowControl/>
              <w:suppressLineNumbers w:val="0"/>
              <w:snapToGrid w:val="0"/>
              <w:ind w:left="0" w:leftChars="0" w:right="0" w:rightChars="0" w:firstLine="0" w:firstLineChars="0"/>
              <w:jc w:val="center"/>
              <w:textAlignment w:val="center"/>
              <w:rPr>
                <w:rFonts w:hint="eastAsia"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23</w:t>
            </w:r>
          </w:p>
        </w:tc>
        <w:tc>
          <w:tcPr>
            <w:tcW w:w="1575" w:type="dxa"/>
            <w:noWrap w:val="0"/>
            <w:vAlign w:val="center"/>
          </w:tcPr>
          <w:p w14:paraId="2AB1C019">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vertAlign w:val="baseline"/>
                <w:lang w:val="en-US" w:eastAsia="zh-CN"/>
              </w:rPr>
              <w:t>信号传输</w:t>
            </w:r>
          </w:p>
        </w:tc>
        <w:tc>
          <w:tcPr>
            <w:tcW w:w="1875" w:type="dxa"/>
            <w:noWrap w:val="0"/>
            <w:vAlign w:val="center"/>
          </w:tcPr>
          <w:p w14:paraId="48206715">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信号传输材料及施工</w:t>
            </w:r>
          </w:p>
        </w:tc>
        <w:tc>
          <w:tcPr>
            <w:tcW w:w="2763" w:type="dxa"/>
            <w:noWrap w:val="0"/>
            <w:vAlign w:val="center"/>
          </w:tcPr>
          <w:p w14:paraId="423ACD4D">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1500米网络线（四路）及管材，地面开槽预埋网络线管，地面修复，信号传输至中控室</w:t>
            </w:r>
          </w:p>
        </w:tc>
        <w:tc>
          <w:tcPr>
            <w:tcW w:w="525" w:type="dxa"/>
            <w:noWrap w:val="0"/>
            <w:vAlign w:val="center"/>
          </w:tcPr>
          <w:p w14:paraId="75283913">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1</w:t>
            </w:r>
          </w:p>
        </w:tc>
        <w:tc>
          <w:tcPr>
            <w:tcW w:w="550" w:type="dxa"/>
            <w:noWrap w:val="0"/>
            <w:vAlign w:val="center"/>
          </w:tcPr>
          <w:p w14:paraId="7350A3DE">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lang w:val="en-US" w:eastAsia="zh-CN"/>
              </w:rPr>
              <w:t>套</w:t>
            </w:r>
          </w:p>
        </w:tc>
        <w:tc>
          <w:tcPr>
            <w:tcW w:w="787" w:type="dxa"/>
            <w:noWrap w:val="0"/>
            <w:vAlign w:val="center"/>
          </w:tcPr>
          <w:p w14:paraId="6599B6AF">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08210E0A">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6A1482D3">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4C85E0E3">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71F92AEA">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en-US" w:eastAsia="zh-CN" w:bidi="ar-SA"/>
              </w:rPr>
            </w:pPr>
          </w:p>
        </w:tc>
      </w:tr>
      <w:tr w14:paraId="6F32E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1" w:type="dxa"/>
            <w:noWrap w:val="0"/>
            <w:vAlign w:val="center"/>
          </w:tcPr>
          <w:p w14:paraId="26091516">
            <w:pPr>
              <w:keepNext w:val="0"/>
              <w:keepLines w:val="0"/>
              <w:widowControl/>
              <w:suppressLineNumbers w:val="0"/>
              <w:snapToGrid w:val="0"/>
              <w:ind w:left="0" w:leftChars="0" w:right="0" w:rightChars="0" w:firstLine="0" w:firstLineChars="0"/>
              <w:jc w:val="center"/>
              <w:textAlignment w:val="center"/>
              <w:rPr>
                <w:rFonts w:hint="default" w:ascii="新宋体" w:hAnsi="新宋体" w:eastAsia="新宋体" w:cs="新宋体"/>
                <w:kern w:val="2"/>
                <w:sz w:val="18"/>
                <w:szCs w:val="18"/>
                <w:vertAlign w:val="baseline"/>
                <w:lang w:val="en-US" w:eastAsia="zh-CN" w:bidi="ar-SA"/>
              </w:rPr>
            </w:pPr>
            <w:r>
              <w:rPr>
                <w:rFonts w:hint="eastAsia" w:ascii="新宋体" w:hAnsi="新宋体" w:eastAsia="新宋体" w:cs="新宋体"/>
                <w:kern w:val="2"/>
                <w:sz w:val="18"/>
                <w:szCs w:val="18"/>
                <w:vertAlign w:val="baseline"/>
                <w:lang w:val="en-US" w:eastAsia="zh-CN" w:bidi="ar-SA"/>
              </w:rPr>
              <w:t>24</w:t>
            </w:r>
          </w:p>
        </w:tc>
        <w:tc>
          <w:tcPr>
            <w:tcW w:w="1575" w:type="dxa"/>
            <w:noWrap w:val="0"/>
            <w:vAlign w:val="center"/>
          </w:tcPr>
          <w:p w14:paraId="6B7E99E1">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其他</w:t>
            </w:r>
          </w:p>
        </w:tc>
        <w:tc>
          <w:tcPr>
            <w:tcW w:w="1875" w:type="dxa"/>
            <w:noWrap w:val="0"/>
            <w:vAlign w:val="center"/>
          </w:tcPr>
          <w:p w14:paraId="614ED980">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其他</w:t>
            </w:r>
          </w:p>
        </w:tc>
        <w:tc>
          <w:tcPr>
            <w:tcW w:w="2763" w:type="dxa"/>
            <w:noWrap w:val="0"/>
            <w:vAlign w:val="center"/>
          </w:tcPr>
          <w:p w14:paraId="6E793A32">
            <w:pPr>
              <w:bidi w:val="0"/>
              <w:snapToGrid w:val="0"/>
              <w:ind w:left="0" w:leftChars="0" w:right="0" w:rightChars="0" w:firstLine="0" w:firstLineChars="0"/>
              <w:jc w:val="left"/>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vertAlign w:val="baseline"/>
              </w:rPr>
              <w:t>运费、拼接费、吊车卸货、住宿费、安装接线、箱子网格画线</w:t>
            </w:r>
            <w:r>
              <w:rPr>
                <w:rFonts w:hint="eastAsia" w:ascii="新宋体" w:hAnsi="新宋体" w:eastAsia="新宋体" w:cs="新宋体"/>
                <w:sz w:val="18"/>
                <w:szCs w:val="18"/>
                <w:vertAlign w:val="baseline"/>
                <w:lang w:eastAsia="zh-CN"/>
              </w:rPr>
              <w:t>，</w:t>
            </w:r>
            <w:r>
              <w:rPr>
                <w:rFonts w:hint="eastAsia" w:ascii="新宋体" w:hAnsi="新宋体" w:eastAsia="新宋体" w:cs="新宋体"/>
                <w:kern w:val="2"/>
                <w:sz w:val="18"/>
                <w:szCs w:val="18"/>
                <w:lang w:val="en-US" w:eastAsia="zh-CN" w:bidi="ar-SA"/>
              </w:rPr>
              <w:t>箱子顶部防晒隔热顶棚（镀锌钢材料）处理，</w:t>
            </w:r>
            <w:r>
              <w:rPr>
                <w:rFonts w:hint="eastAsia" w:ascii="新宋体" w:hAnsi="新宋体" w:eastAsia="新宋体" w:cs="新宋体"/>
                <w:sz w:val="18"/>
                <w:szCs w:val="18"/>
                <w:vertAlign w:val="baseline"/>
                <w:lang w:val="en-US" w:eastAsia="zh-CN"/>
              </w:rPr>
              <w:t>出具安全评价报告，办理固废专章报告</w:t>
            </w:r>
          </w:p>
        </w:tc>
        <w:tc>
          <w:tcPr>
            <w:tcW w:w="525" w:type="dxa"/>
            <w:noWrap w:val="0"/>
            <w:vAlign w:val="center"/>
          </w:tcPr>
          <w:p w14:paraId="1C216F1E">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kern w:val="2"/>
                <w:sz w:val="18"/>
                <w:szCs w:val="18"/>
                <w:lang w:val="en-US" w:eastAsia="zh-CN" w:bidi="ar-SA"/>
              </w:rPr>
              <w:t>1</w:t>
            </w:r>
          </w:p>
        </w:tc>
        <w:tc>
          <w:tcPr>
            <w:tcW w:w="550" w:type="dxa"/>
            <w:noWrap w:val="0"/>
            <w:vAlign w:val="center"/>
          </w:tcPr>
          <w:p w14:paraId="1BB817CB">
            <w:pPr>
              <w:bidi w:val="0"/>
              <w:snapToGrid w:val="0"/>
              <w:ind w:left="0" w:leftChars="0" w:right="0" w:rightChars="0" w:firstLine="0" w:firstLineChars="0"/>
              <w:jc w:val="center"/>
              <w:rPr>
                <w:rFonts w:hint="eastAsia" w:ascii="新宋体" w:hAnsi="新宋体" w:eastAsia="新宋体" w:cs="新宋体"/>
                <w:kern w:val="2"/>
                <w:sz w:val="18"/>
                <w:szCs w:val="18"/>
                <w:lang w:val="en-US" w:eastAsia="zh-CN" w:bidi="ar-SA"/>
              </w:rPr>
            </w:pPr>
            <w:r>
              <w:rPr>
                <w:rFonts w:hint="eastAsia" w:ascii="新宋体" w:hAnsi="新宋体" w:eastAsia="新宋体" w:cs="新宋体"/>
                <w:sz w:val="18"/>
                <w:szCs w:val="18"/>
                <w:lang w:val="en-US" w:eastAsia="zh-CN"/>
              </w:rPr>
              <w:t>套</w:t>
            </w:r>
          </w:p>
        </w:tc>
        <w:tc>
          <w:tcPr>
            <w:tcW w:w="787" w:type="dxa"/>
            <w:noWrap w:val="0"/>
            <w:vAlign w:val="center"/>
          </w:tcPr>
          <w:p w14:paraId="0B5D3841">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88" w:type="dxa"/>
            <w:noWrap w:val="0"/>
            <w:vAlign w:val="center"/>
          </w:tcPr>
          <w:p w14:paraId="5D729BE4">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437" w:type="dxa"/>
            <w:noWrap w:val="0"/>
            <w:vAlign w:val="center"/>
          </w:tcPr>
          <w:p w14:paraId="43B779C6">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813" w:type="dxa"/>
            <w:noWrap w:val="0"/>
            <w:vAlign w:val="center"/>
          </w:tcPr>
          <w:p w14:paraId="526D6051">
            <w:pPr>
              <w:pStyle w:val="12"/>
              <w:snapToGrid w:val="0"/>
              <w:ind w:left="0" w:leftChars="0" w:right="0" w:rightChars="0" w:firstLine="0" w:firstLineChars="0"/>
              <w:jc w:val="center"/>
              <w:rPr>
                <w:rFonts w:hint="eastAsia" w:ascii="新宋体" w:hAnsi="新宋体" w:eastAsia="新宋体" w:cs="新宋体"/>
                <w:kern w:val="2"/>
                <w:sz w:val="18"/>
                <w:szCs w:val="18"/>
                <w:vertAlign w:val="baseline"/>
                <w:lang w:val="en-US" w:eastAsia="zh-CN" w:bidi="ar-SA"/>
              </w:rPr>
            </w:pPr>
          </w:p>
        </w:tc>
        <w:tc>
          <w:tcPr>
            <w:tcW w:w="720" w:type="dxa"/>
            <w:noWrap w:val="0"/>
            <w:vAlign w:val="center"/>
          </w:tcPr>
          <w:p w14:paraId="187B57EB">
            <w:pPr>
              <w:pStyle w:val="12"/>
              <w:snapToGrid w:val="0"/>
              <w:ind w:left="0" w:leftChars="0" w:right="0" w:rightChars="0" w:firstLine="0" w:firstLineChars="0"/>
              <w:jc w:val="center"/>
              <w:rPr>
                <w:rFonts w:hint="eastAsia" w:ascii="新宋体" w:hAnsi="Times New Roman" w:eastAsia="新宋体" w:cs="Times New Roman"/>
                <w:kern w:val="2"/>
                <w:sz w:val="18"/>
                <w:szCs w:val="24"/>
                <w:vertAlign w:val="baseline"/>
                <w:lang w:val="en-US" w:eastAsia="zh-CN" w:bidi="ar-SA"/>
              </w:rPr>
            </w:pPr>
          </w:p>
        </w:tc>
      </w:tr>
      <w:tr w14:paraId="30ED6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09" w:type="dxa"/>
            <w:gridSpan w:val="6"/>
            <w:noWrap w:val="0"/>
            <w:vAlign w:val="center"/>
          </w:tcPr>
          <w:p w14:paraId="3D274FDD">
            <w:pPr>
              <w:bidi w:val="0"/>
              <w:snapToGrid w:val="0"/>
              <w:ind w:left="0" w:leftChars="0" w:right="0" w:rightChars="0" w:firstLine="0" w:firstLineChars="0"/>
              <w:jc w:val="center"/>
              <w:rPr>
                <w:rFonts w:hint="eastAsia" w:ascii="新宋体" w:hAnsi="新宋体" w:eastAsia="新宋体" w:cs="新宋体"/>
                <w:b/>
                <w:sz w:val="18"/>
                <w:szCs w:val="18"/>
                <w:lang w:val="en-US" w:eastAsia="zh-CN"/>
              </w:rPr>
            </w:pPr>
            <w:r>
              <w:rPr>
                <w:rFonts w:hint="eastAsia" w:ascii="新宋体" w:hAnsi="新宋体" w:eastAsia="新宋体" w:cs="新宋体"/>
                <w:b/>
                <w:sz w:val="18"/>
                <w:szCs w:val="18"/>
                <w:lang w:val="en-US" w:eastAsia="zh-CN"/>
              </w:rPr>
              <w:t>合计</w:t>
            </w:r>
          </w:p>
        </w:tc>
        <w:tc>
          <w:tcPr>
            <w:tcW w:w="787" w:type="dxa"/>
            <w:noWrap w:val="0"/>
            <w:vAlign w:val="center"/>
          </w:tcPr>
          <w:p w14:paraId="0125D1BD">
            <w:pPr>
              <w:pStyle w:val="12"/>
              <w:snapToGrid w:val="0"/>
              <w:ind w:left="0" w:leftChars="0" w:right="0" w:rightChars="0" w:firstLine="0" w:firstLineChars="0"/>
              <w:jc w:val="left"/>
              <w:rPr>
                <w:rFonts w:hint="eastAsia" w:ascii="新宋体" w:hAnsi="新宋体" w:eastAsia="新宋体" w:cs="新宋体"/>
                <w:b/>
                <w:kern w:val="2"/>
                <w:sz w:val="18"/>
                <w:szCs w:val="18"/>
                <w:vertAlign w:val="baseline"/>
                <w:lang w:val="en-US" w:eastAsia="zh-CN" w:bidi="ar-SA"/>
              </w:rPr>
            </w:pPr>
          </w:p>
        </w:tc>
        <w:tc>
          <w:tcPr>
            <w:tcW w:w="788" w:type="dxa"/>
            <w:noWrap w:val="0"/>
            <w:vAlign w:val="center"/>
          </w:tcPr>
          <w:p w14:paraId="65F6F25E">
            <w:pPr>
              <w:pStyle w:val="12"/>
              <w:snapToGrid w:val="0"/>
              <w:ind w:left="0" w:leftChars="0" w:right="0" w:rightChars="0" w:firstLine="0" w:firstLineChars="0"/>
              <w:jc w:val="left"/>
              <w:rPr>
                <w:rFonts w:hint="eastAsia" w:ascii="新宋体" w:hAnsi="新宋体" w:eastAsia="新宋体" w:cs="新宋体"/>
                <w:b/>
                <w:kern w:val="2"/>
                <w:sz w:val="18"/>
                <w:szCs w:val="18"/>
                <w:vertAlign w:val="baseline"/>
                <w:lang w:val="en-US" w:eastAsia="zh-CN" w:bidi="ar-SA"/>
              </w:rPr>
            </w:pPr>
          </w:p>
        </w:tc>
        <w:tc>
          <w:tcPr>
            <w:tcW w:w="437" w:type="dxa"/>
            <w:noWrap w:val="0"/>
            <w:vAlign w:val="center"/>
          </w:tcPr>
          <w:p w14:paraId="4BB3FE1F">
            <w:pPr>
              <w:pStyle w:val="12"/>
              <w:snapToGrid w:val="0"/>
              <w:ind w:left="0" w:leftChars="0" w:right="0" w:rightChars="0" w:firstLine="0" w:firstLineChars="0"/>
              <w:jc w:val="left"/>
              <w:rPr>
                <w:rFonts w:hint="eastAsia" w:ascii="新宋体" w:hAnsi="新宋体" w:eastAsia="新宋体" w:cs="新宋体"/>
                <w:b/>
                <w:kern w:val="2"/>
                <w:sz w:val="18"/>
                <w:szCs w:val="18"/>
                <w:vertAlign w:val="baseline"/>
                <w:lang w:val="en-US" w:eastAsia="zh-CN" w:bidi="ar-SA"/>
              </w:rPr>
            </w:pPr>
          </w:p>
        </w:tc>
        <w:tc>
          <w:tcPr>
            <w:tcW w:w="813" w:type="dxa"/>
            <w:noWrap w:val="0"/>
            <w:vAlign w:val="center"/>
          </w:tcPr>
          <w:p w14:paraId="03BD4A2D">
            <w:pPr>
              <w:pStyle w:val="12"/>
              <w:snapToGrid w:val="0"/>
              <w:ind w:left="0" w:leftChars="0" w:right="0" w:rightChars="0" w:firstLine="0" w:firstLineChars="0"/>
              <w:jc w:val="center"/>
              <w:rPr>
                <w:rFonts w:hint="eastAsia" w:ascii="新宋体" w:hAnsi="新宋体" w:eastAsia="新宋体" w:cs="新宋体"/>
                <w:b/>
                <w:kern w:val="2"/>
                <w:sz w:val="18"/>
                <w:szCs w:val="18"/>
                <w:vertAlign w:val="baseline"/>
                <w:lang w:val="en-US" w:eastAsia="zh-CN" w:bidi="ar-SA"/>
              </w:rPr>
            </w:pPr>
          </w:p>
        </w:tc>
        <w:tc>
          <w:tcPr>
            <w:tcW w:w="720" w:type="dxa"/>
            <w:noWrap w:val="0"/>
            <w:vAlign w:val="center"/>
          </w:tcPr>
          <w:p w14:paraId="68C94736">
            <w:pPr>
              <w:pStyle w:val="12"/>
              <w:snapToGrid w:val="0"/>
              <w:ind w:left="0" w:leftChars="0" w:right="0" w:rightChars="0" w:firstLine="0" w:firstLineChars="0"/>
              <w:jc w:val="center"/>
              <w:rPr>
                <w:rFonts w:hint="eastAsia" w:ascii="新宋体" w:hAnsi="Times New Roman" w:eastAsia="新宋体" w:cs="Times New Roman"/>
                <w:b/>
                <w:kern w:val="2"/>
                <w:sz w:val="18"/>
                <w:szCs w:val="24"/>
                <w:vertAlign w:val="baseline"/>
                <w:lang w:val="en-US" w:eastAsia="zh-CN" w:bidi="ar-SA"/>
              </w:rPr>
            </w:pPr>
          </w:p>
        </w:tc>
      </w:tr>
    </w:tbl>
    <w:p w14:paraId="33BC2BC7">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2D748AB7">
      <w:pPr>
        <w:pStyle w:val="72"/>
        <w:numPr>
          <w:ilvl w:val="0"/>
          <w:numId w:val="0"/>
        </w:numPr>
        <w:ind w:leftChars="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附件9 SRM系统供应商用户手册</w:t>
      </w:r>
    </w:p>
    <w:p w14:paraId="161408C5">
      <w:pPr>
        <w:snapToGrid/>
        <w:spacing w:before="0" w:after="0" w:line="360" w:lineRule="auto"/>
        <w:ind w:left="0" w:right="0" w:firstLine="0"/>
        <w:jc w:val="both"/>
        <w:rPr>
          <w:rStyle w:val="37"/>
          <w:rFonts w:hint="eastAsia" w:ascii="宋体" w:hAnsi="宋体" w:eastAsia="宋体" w:cs="宋体"/>
          <w:sz w:val="24"/>
          <w:szCs w:val="24"/>
        </w:rPr>
      </w:pPr>
      <w:r>
        <w:rPr>
          <w:rFonts w:hint="eastAsia" w:ascii="宋体" w:hAnsi="宋体" w:eastAsia="宋体" w:cs="宋体"/>
          <w:i w:val="0"/>
          <w:strike w:val="0"/>
          <w:color w:val="000000"/>
          <w:sz w:val="24"/>
          <w:szCs w:val="24"/>
          <w:u w:val="none"/>
        </w:rPr>
        <w:t>系统网址：</w:t>
      </w:r>
      <w:r>
        <w:rPr>
          <w:rStyle w:val="37"/>
          <w:rFonts w:hint="eastAsia" w:ascii="宋体" w:hAnsi="宋体" w:eastAsia="宋体" w:cs="宋体"/>
          <w:sz w:val="24"/>
          <w:szCs w:val="24"/>
        </w:rPr>
        <w:fldChar w:fldCharType="begin"/>
      </w:r>
      <w:r>
        <w:rPr>
          <w:rStyle w:val="37"/>
          <w:rFonts w:hint="eastAsia" w:ascii="宋体" w:hAnsi="宋体" w:eastAsia="宋体" w:cs="宋体"/>
          <w:sz w:val="24"/>
          <w:szCs w:val="24"/>
        </w:rPr>
        <w:instrText xml:space="preserve">HYPERLINK http://ecaitong.sinotruk.com:8012/ normalLink \tdkey u5b6qk \tdfu http://ecaitong.sinotruk.com:8012/ \tdfn http%3A//ecaitong.sinotruk.com%3A8012/ \tdfe -10 \tdlt text </w:instrText>
      </w:r>
      <w:r>
        <w:rPr>
          <w:rStyle w:val="37"/>
          <w:rFonts w:hint="eastAsia" w:ascii="宋体" w:hAnsi="宋体" w:eastAsia="宋体" w:cs="宋体"/>
          <w:sz w:val="24"/>
          <w:szCs w:val="24"/>
        </w:rPr>
        <w:fldChar w:fldCharType="separate"/>
      </w:r>
      <w:r>
        <w:rPr>
          <w:rStyle w:val="37"/>
          <w:rFonts w:hint="eastAsia" w:ascii="宋体" w:hAnsi="宋体" w:eastAsia="宋体" w:cs="宋体"/>
          <w:sz w:val="24"/>
          <w:szCs w:val="24"/>
        </w:rPr>
        <w:t>http</w:t>
      </w:r>
      <w:r>
        <w:rPr>
          <w:rStyle w:val="37"/>
          <w:rFonts w:hint="eastAsia" w:ascii="宋体" w:hAnsi="宋体" w:eastAsia="宋体" w:cs="宋体"/>
          <w:sz w:val="24"/>
          <w:szCs w:val="24"/>
          <w:lang w:val="en-US" w:eastAsia="zh-CN"/>
        </w:rPr>
        <w:t>s</w:t>
      </w:r>
      <w:r>
        <w:rPr>
          <w:rStyle w:val="37"/>
          <w:rFonts w:hint="eastAsia" w:ascii="宋体" w:hAnsi="宋体" w:eastAsia="宋体" w:cs="宋体"/>
          <w:sz w:val="24"/>
          <w:szCs w:val="24"/>
        </w:rPr>
        <w:t>://ecaitong.sinotruk.com:8012/</w:t>
      </w:r>
      <w:r>
        <w:rPr>
          <w:rStyle w:val="37"/>
          <w:rFonts w:hint="eastAsia" w:ascii="宋体" w:hAnsi="宋体" w:eastAsia="宋体" w:cs="宋体"/>
          <w:sz w:val="24"/>
          <w:szCs w:val="24"/>
        </w:rPr>
        <w:fldChar w:fldCharType="end"/>
      </w:r>
    </w:p>
    <w:p w14:paraId="04DE0811">
      <w:pPr>
        <w:snapToGrid/>
        <w:spacing w:before="0" w:after="0" w:line="360" w:lineRule="auto"/>
        <w:ind w:left="0" w:right="0" w:firstLine="0"/>
        <w:jc w:val="both"/>
        <w:rPr>
          <w:rFonts w:hint="default" w:ascii="Times New Roman" w:hAnsi="Times New Roman" w:eastAsia="宋体" w:cs="Times New Roman"/>
          <w:i w:val="0"/>
          <w:strike w:val="0"/>
          <w:color w:val="000000"/>
          <w:sz w:val="24"/>
          <w:szCs w:val="24"/>
          <w:u w:val="none"/>
          <w:lang w:eastAsia="zh-CN"/>
        </w:rPr>
      </w:pPr>
      <w:r>
        <w:rPr>
          <w:rFonts w:hint="default" w:ascii="Times New Roman" w:hAnsi="Times New Roman" w:eastAsia="宋体" w:cs="Times New Roman"/>
          <w:i w:val="0"/>
          <w:strike w:val="0"/>
          <w:color w:val="000000"/>
          <w:sz w:val="24"/>
          <w:szCs w:val="24"/>
          <w:u w:val="none"/>
        </w:rPr>
        <w:t>用 户 名：gys+供应商代码</w:t>
      </w:r>
      <w:r>
        <w:rPr>
          <w:rFonts w:hint="default" w:ascii="Times New Roman" w:hAnsi="Times New Roman" w:eastAsia="宋体" w:cs="Times New Roman"/>
          <w:i w:val="0"/>
          <w:strike w:val="0"/>
          <w:color w:val="000000"/>
          <w:sz w:val="24"/>
          <w:szCs w:val="24"/>
          <w:u w:val="none"/>
          <w:lang w:eastAsia="zh-CN"/>
        </w:rPr>
        <w:t>（</w:t>
      </w:r>
      <w:r>
        <w:rPr>
          <w:rFonts w:hint="default" w:ascii="Times New Roman" w:hAnsi="Times New Roman" w:eastAsia="宋体" w:cs="Times New Roman"/>
          <w:i w:val="0"/>
          <w:strike w:val="0"/>
          <w:color w:val="FF0000"/>
          <w:sz w:val="24"/>
          <w:szCs w:val="24"/>
          <w:highlight w:val="none"/>
          <w:u w:val="none"/>
          <w:lang w:val="en-US" w:eastAsia="zh-CN"/>
        </w:rPr>
        <w:t>注意：注册完毕后，用户名不要用手机号登录</w:t>
      </w:r>
      <w:r>
        <w:rPr>
          <w:rFonts w:hint="default" w:ascii="Times New Roman" w:hAnsi="Times New Roman" w:eastAsia="宋体" w:cs="Times New Roman"/>
          <w:i w:val="0"/>
          <w:strike w:val="0"/>
          <w:color w:val="000000"/>
          <w:sz w:val="24"/>
          <w:szCs w:val="24"/>
          <w:u w:val="none"/>
          <w:lang w:eastAsia="zh-CN"/>
        </w:rPr>
        <w:t>）</w:t>
      </w:r>
    </w:p>
    <w:p w14:paraId="13C12A74">
      <w:pPr>
        <w:pStyle w:val="12"/>
        <w:rPr>
          <w:rFonts w:hint="eastAsia"/>
        </w:rPr>
      </w:pPr>
      <w:r>
        <w:rPr>
          <w:rFonts w:hint="eastAsia"/>
          <w:sz w:val="24"/>
          <w:highlight w:val="none"/>
        </w:rPr>
        <w:t>初始密码为scm@2022或@2023</w:t>
      </w:r>
    </w:p>
    <w:p w14:paraId="6568BDE3">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1.供应商应标</w:t>
      </w:r>
    </w:p>
    <w:p w14:paraId="0C0560A8">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供应商应标</w:t>
      </w:r>
    </w:p>
    <w:p w14:paraId="2B32DD14">
      <w:pPr>
        <w:snapToGrid/>
        <w:spacing w:before="0" w:after="0" w:line="360" w:lineRule="auto"/>
        <w:ind w:left="0" w:right="0"/>
        <w:jc w:val="both"/>
        <w:rPr>
          <w:rFonts w:ascii="宋体" w:hAnsi="宋体" w:eastAsia="宋体" w:cs="宋体"/>
          <w:i w:val="0"/>
          <w:strike w:val="0"/>
          <w:color w:val="000000"/>
          <w:sz w:val="24"/>
          <w:szCs w:val="24"/>
          <w:u w:val="none"/>
        </w:rPr>
      </w:pPr>
      <w:r>
        <w:rPr>
          <w:rFonts w:ascii="宋体" w:hAnsi="宋体" w:eastAsia="宋体" w:cs="宋体"/>
          <w:i w:val="0"/>
          <w:strike w:val="0"/>
          <w:color w:val="000000"/>
          <w:sz w:val="24"/>
          <w:szCs w:val="24"/>
          <w:u w:val="none"/>
        </w:rPr>
        <w:t>点击应标，上传文件之后点击提交。</w:t>
      </w:r>
    </w:p>
    <w:p w14:paraId="7B3062D6">
      <w:pPr>
        <w:snapToGrid/>
        <w:spacing w:before="0" w:after="0" w:line="240" w:lineRule="auto"/>
        <w:ind w:left="0" w:right="0"/>
        <w:jc w:val="both"/>
      </w:pPr>
      <w:r>
        <w:drawing>
          <wp:inline distT="0" distB="0" distL="0" distR="0">
            <wp:extent cx="5760085" cy="2269490"/>
            <wp:effectExtent l="0" t="0" r="12065" b="16510"/>
            <wp:docPr id="25" name="picture" descr="descript"/>
            <wp:cNvGraphicFramePr/>
            <a:graphic xmlns:a="http://schemas.openxmlformats.org/drawingml/2006/main">
              <a:graphicData uri="http://schemas.openxmlformats.org/drawingml/2006/picture">
                <pic:pic xmlns:pic="http://schemas.openxmlformats.org/drawingml/2006/picture">
                  <pic:nvPicPr>
                    <pic:cNvPr id="25" name="picture" descr="descript"/>
                    <pic:cNvPicPr/>
                  </pic:nvPicPr>
                  <pic:blipFill>
                    <a:blip r:embed="rId15"/>
                    <a:stretch>
                      <a:fillRect/>
                    </a:stretch>
                  </pic:blipFill>
                  <pic:spPr>
                    <a:xfrm>
                      <a:off x="0" y="0"/>
                      <a:ext cx="5760085" cy="2269864"/>
                    </a:xfrm>
                    <a:prstGeom prst="rect">
                      <a:avLst/>
                    </a:prstGeom>
                  </pic:spPr>
                </pic:pic>
              </a:graphicData>
            </a:graphic>
          </wp:inline>
        </w:drawing>
      </w:r>
    </w:p>
    <w:p w14:paraId="511F392C">
      <w:pPr>
        <w:snapToGrid/>
        <w:spacing w:before="0" w:after="0" w:line="240" w:lineRule="auto"/>
        <w:ind w:left="0" w:right="0"/>
        <w:jc w:val="both"/>
      </w:pPr>
    </w:p>
    <w:p w14:paraId="11744FF5">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2.供应商投标</w:t>
      </w:r>
    </w:p>
    <w:p w14:paraId="2683AED2">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供应商投标</w:t>
      </w:r>
    </w:p>
    <w:p w14:paraId="6611BF83">
      <w:pPr>
        <w:snapToGrid/>
        <w:spacing w:before="0" w:after="0" w:line="240" w:lineRule="auto"/>
        <w:ind w:left="0" w:right="0"/>
        <w:jc w:val="both"/>
        <w:rPr>
          <w:rFonts w:ascii="宋体" w:hAnsi="宋体" w:eastAsia="宋体" w:cs="宋体"/>
          <w:i w:val="0"/>
          <w:strike w:val="0"/>
          <w:color w:val="000000"/>
          <w:sz w:val="21"/>
          <w:u w:val="none"/>
        </w:rPr>
      </w:pPr>
      <w:r>
        <w:rPr>
          <w:rFonts w:ascii="宋体" w:hAnsi="宋体" w:eastAsia="宋体" w:cs="宋体"/>
          <w:i w:val="0"/>
          <w:strike w:val="0"/>
          <w:color w:val="000000"/>
          <w:sz w:val="21"/>
          <w:u w:val="none"/>
        </w:rPr>
        <w:drawing>
          <wp:inline distT="0" distB="0" distL="0" distR="0">
            <wp:extent cx="5760085" cy="2125345"/>
            <wp:effectExtent l="0" t="0" r="12065" b="8255"/>
            <wp:docPr id="26" name="picture" descr="descript"/>
            <wp:cNvGraphicFramePr/>
            <a:graphic xmlns:a="http://schemas.openxmlformats.org/drawingml/2006/main">
              <a:graphicData uri="http://schemas.openxmlformats.org/drawingml/2006/picture">
                <pic:pic xmlns:pic="http://schemas.openxmlformats.org/drawingml/2006/picture">
                  <pic:nvPicPr>
                    <pic:cNvPr id="26" name="picture" descr="descript"/>
                    <pic:cNvPicPr/>
                  </pic:nvPicPr>
                  <pic:blipFill>
                    <a:blip r:embed="rId16"/>
                    <a:stretch>
                      <a:fillRect/>
                    </a:stretch>
                  </pic:blipFill>
                  <pic:spPr>
                    <a:xfrm>
                      <a:off x="0" y="0"/>
                      <a:ext cx="5760085" cy="2125673"/>
                    </a:xfrm>
                    <a:prstGeom prst="rect">
                      <a:avLst/>
                    </a:prstGeom>
                  </pic:spPr>
                </pic:pic>
              </a:graphicData>
            </a:graphic>
          </wp:inline>
        </w:drawing>
      </w:r>
    </w:p>
    <w:p w14:paraId="5C3E57E7">
      <w:pPr>
        <w:snapToGrid/>
        <w:spacing w:before="0" w:after="0" w:line="360" w:lineRule="auto"/>
        <w:ind w:left="0" w:right="0"/>
        <w:jc w:val="both"/>
        <w:rPr>
          <w:rFonts w:ascii="宋体" w:hAnsi="宋体" w:eastAsia="宋体" w:cs="宋体"/>
          <w:i w:val="0"/>
          <w:strike w:val="0"/>
          <w:color w:val="000000"/>
          <w:sz w:val="24"/>
          <w:szCs w:val="28"/>
          <w:u w:val="none"/>
        </w:rPr>
      </w:pPr>
      <w:r>
        <w:rPr>
          <w:rFonts w:ascii="宋体" w:hAnsi="宋体" w:eastAsia="宋体" w:cs="宋体"/>
          <w:i w:val="0"/>
          <w:strike w:val="0"/>
          <w:color w:val="000000"/>
          <w:sz w:val="24"/>
          <w:szCs w:val="28"/>
          <w:u w:val="none"/>
        </w:rPr>
        <w:t>点击投标按钮，进入详情页，输入投标报价并上传相应的附件。</w:t>
      </w:r>
    </w:p>
    <w:p w14:paraId="10F7F5A2">
      <w:pPr>
        <w:pStyle w:val="14"/>
        <w:rPr>
          <w:b/>
          <w:bCs/>
          <w:highlight w:val="none"/>
        </w:rPr>
      </w:pPr>
      <w:r>
        <w:rPr>
          <w:rFonts w:hint="eastAsia" w:ascii="宋体" w:hAnsi="宋体" w:eastAsia="宋体" w:cs="宋体"/>
          <w:b/>
          <w:bCs/>
          <w:i w:val="0"/>
          <w:strike w:val="0"/>
          <w:color w:val="000000"/>
          <w:sz w:val="24"/>
          <w:szCs w:val="28"/>
          <w:highlight w:val="none"/>
          <w:u w:val="none"/>
          <w:lang w:val="en-US" w:eastAsia="zh-CN"/>
        </w:rPr>
        <w:t>注意：系统内的投标报价单位为“万元”，如开标现场发现填错报价，即直接淘汰</w:t>
      </w:r>
      <w:r>
        <w:rPr>
          <w:rFonts w:hint="eastAsia" w:hAnsi="宋体" w:eastAsia="宋体" w:cs="宋体"/>
          <w:b/>
          <w:bCs/>
          <w:i w:val="0"/>
          <w:strike w:val="0"/>
          <w:color w:val="000000"/>
          <w:sz w:val="24"/>
          <w:szCs w:val="28"/>
          <w:highlight w:val="none"/>
          <w:u w:val="none"/>
          <w:lang w:val="en-US" w:eastAsia="zh-CN"/>
        </w:rPr>
        <w:t>。</w:t>
      </w:r>
    </w:p>
    <w:p w14:paraId="2F560F64">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668905"/>
            <wp:effectExtent l="0" t="0" r="15240" b="17145"/>
            <wp:docPr id="27" name="picture" descr="descript"/>
            <wp:cNvGraphicFramePr/>
            <a:graphic xmlns:a="http://schemas.openxmlformats.org/drawingml/2006/main">
              <a:graphicData uri="http://schemas.openxmlformats.org/drawingml/2006/picture">
                <pic:pic xmlns:pic="http://schemas.openxmlformats.org/drawingml/2006/picture">
                  <pic:nvPicPr>
                    <pic:cNvPr id="27" name="picture" descr="descript"/>
                    <pic:cNvPicPr/>
                  </pic:nvPicPr>
                  <pic:blipFill>
                    <a:blip r:embed="rId17"/>
                    <a:stretch>
                      <a:fillRect/>
                    </a:stretch>
                  </pic:blipFill>
                  <pic:spPr>
                    <a:xfrm>
                      <a:off x="0" y="0"/>
                      <a:ext cx="5490210" cy="2669498"/>
                    </a:xfrm>
                    <a:prstGeom prst="rect">
                      <a:avLst/>
                    </a:prstGeom>
                  </pic:spPr>
                </pic:pic>
              </a:graphicData>
            </a:graphic>
          </wp:inline>
        </w:drawing>
      </w:r>
    </w:p>
    <w:p w14:paraId="48152AB8">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3.供应商技术标澄清函</w:t>
      </w:r>
    </w:p>
    <w:p w14:paraId="7815C65F">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供应商技术标澄清函</w:t>
      </w:r>
    </w:p>
    <w:p w14:paraId="1FBCB23E">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点击编辑按钮进入系统，上传技术标澄清函。</w:t>
      </w:r>
    </w:p>
    <w:p w14:paraId="71C1D9B5">
      <w:pPr>
        <w:spacing w:before="0" w:after="0" w:line="360" w:lineRule="auto"/>
        <w:ind w:left="0"/>
        <w:rPr>
          <w:rFonts w:ascii="Arial" w:hAnsi="Arial" w:eastAsia="Arial" w:cs="Arial"/>
          <w:i w:val="0"/>
          <w:strike w:val="0"/>
          <w:color w:val="000000"/>
          <w:sz w:val="28"/>
          <w:u w:val="none"/>
        </w:rPr>
      </w:pPr>
      <w:r>
        <w:rPr>
          <w:rFonts w:ascii="宋体" w:hAnsi="宋体" w:eastAsia="宋体" w:cs="宋体"/>
          <w:i w:val="0"/>
          <w:strike w:val="0"/>
          <w:color w:val="000000"/>
          <w:sz w:val="24"/>
          <w:szCs w:val="24"/>
          <w:u w:val="none"/>
        </w:rPr>
        <w:t>开标之后所有投标的供应商都可编辑提交，技术标入围之后</w:t>
      </w:r>
      <w:r>
        <w:rPr>
          <w:rFonts w:hint="eastAsia" w:ascii="宋体" w:hAnsi="宋体" w:eastAsia="宋体" w:cs="宋体"/>
          <w:i w:val="0"/>
          <w:strike w:val="0"/>
          <w:color w:val="000000"/>
          <w:sz w:val="24"/>
          <w:szCs w:val="24"/>
          <w:u w:val="none"/>
        </w:rPr>
        <w:t xml:space="preserve"> </w:t>
      </w:r>
      <w:r>
        <w:rPr>
          <w:rFonts w:ascii="宋体" w:hAnsi="宋体" w:eastAsia="宋体" w:cs="宋体"/>
          <w:i w:val="0"/>
          <w:strike w:val="0"/>
          <w:color w:val="000000"/>
          <w:sz w:val="24"/>
          <w:szCs w:val="24"/>
          <w:u w:val="none"/>
        </w:rPr>
        <w:t>都不可编辑</w:t>
      </w:r>
      <w:r>
        <w:rPr>
          <w:rFonts w:ascii="Arial" w:hAnsi="Arial" w:eastAsia="Arial" w:cs="Arial"/>
          <w:i w:val="0"/>
          <w:strike w:val="0"/>
          <w:color w:val="000000"/>
          <w:sz w:val="28"/>
          <w:u w:val="none"/>
        </w:rPr>
        <w:drawing>
          <wp:inline distT="0" distB="0" distL="0" distR="0">
            <wp:extent cx="5490210" cy="1992630"/>
            <wp:effectExtent l="0" t="0" r="15240" b="7620"/>
            <wp:docPr id="28" name="picture" descr="descript"/>
            <wp:cNvGraphicFramePr/>
            <a:graphic xmlns:a="http://schemas.openxmlformats.org/drawingml/2006/main">
              <a:graphicData uri="http://schemas.openxmlformats.org/drawingml/2006/picture">
                <pic:pic xmlns:pic="http://schemas.openxmlformats.org/drawingml/2006/picture">
                  <pic:nvPicPr>
                    <pic:cNvPr id="28" name="picture" descr="descript"/>
                    <pic:cNvPicPr/>
                  </pic:nvPicPr>
                  <pic:blipFill>
                    <a:blip r:embed="rId18"/>
                    <a:stretch>
                      <a:fillRect/>
                    </a:stretch>
                  </pic:blipFill>
                  <pic:spPr>
                    <a:xfrm>
                      <a:off x="0" y="0"/>
                      <a:ext cx="5490210" cy="1992743"/>
                    </a:xfrm>
                    <a:prstGeom prst="rect">
                      <a:avLst/>
                    </a:prstGeom>
                  </pic:spPr>
                </pic:pic>
              </a:graphicData>
            </a:graphic>
          </wp:inline>
        </w:drawing>
      </w:r>
    </w:p>
    <w:p w14:paraId="4C91FF3D">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4.供应商报价</w:t>
      </w:r>
    </w:p>
    <w:p w14:paraId="5CF48ACB">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供应商报价</w:t>
      </w:r>
    </w:p>
    <w:p w14:paraId="01DC02F3">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点击报价按钮进入报价详情界面，请在此轮报价起止时间内报价，否则无法报价。</w:t>
      </w:r>
    </w:p>
    <w:p w14:paraId="5B64BE78">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5.供应商澄清报价</w:t>
      </w:r>
    </w:p>
    <w:p w14:paraId="32910032">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供应商澄清报价</w:t>
      </w:r>
    </w:p>
    <w:p w14:paraId="0932D309">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招标发起人接收建议价的同时会给供应商发送澄清报价，供应商在此界面进行澄清报价，点击编辑按钮进入澄清报价详细界面，输入价格并上传澄清函，之后点击提交。</w:t>
      </w:r>
    </w:p>
    <w:p w14:paraId="16B41B2F">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544445"/>
            <wp:effectExtent l="0" t="0" r="15240" b="8255"/>
            <wp:docPr id="29" name="picture" descr="descript"/>
            <wp:cNvGraphicFramePr/>
            <a:graphic xmlns:a="http://schemas.openxmlformats.org/drawingml/2006/main">
              <a:graphicData uri="http://schemas.openxmlformats.org/drawingml/2006/picture">
                <pic:pic xmlns:pic="http://schemas.openxmlformats.org/drawingml/2006/picture">
                  <pic:nvPicPr>
                    <pic:cNvPr id="29" name="picture" descr="descript"/>
                    <pic:cNvPicPr/>
                  </pic:nvPicPr>
                  <pic:blipFill>
                    <a:blip r:embed="rId19"/>
                    <a:stretch>
                      <a:fillRect/>
                    </a:stretch>
                  </pic:blipFill>
                  <pic:spPr>
                    <a:xfrm>
                      <a:off x="0" y="0"/>
                      <a:ext cx="5490210" cy="2544669"/>
                    </a:xfrm>
                    <a:prstGeom prst="rect">
                      <a:avLst/>
                    </a:prstGeom>
                  </pic:spPr>
                </pic:pic>
              </a:graphicData>
            </a:graphic>
          </wp:inline>
        </w:drawing>
      </w:r>
    </w:p>
    <w:p w14:paraId="5C791DA9">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6.供应商查看中标通知</w:t>
      </w:r>
    </w:p>
    <w:p w14:paraId="0DEC3D3B">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中标项目</w:t>
      </w:r>
    </w:p>
    <w:p w14:paraId="0776F399">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点击查看进入查看中标项目详情</w:t>
      </w:r>
    </w:p>
    <w:p w14:paraId="39284981">
      <w:pPr>
        <w:snapToGrid/>
        <w:spacing w:before="0" w:after="0" w:line="240" w:lineRule="auto"/>
        <w:ind w:left="0" w:right="0"/>
        <w:jc w:val="both"/>
      </w:pPr>
      <w:r>
        <w:drawing>
          <wp:inline distT="0" distB="0" distL="0" distR="0">
            <wp:extent cx="5760085" cy="1956435"/>
            <wp:effectExtent l="0" t="0" r="12065" b="5715"/>
            <wp:docPr id="30" name="picture" descr="descript"/>
            <wp:cNvGraphicFramePr/>
            <a:graphic xmlns:a="http://schemas.openxmlformats.org/drawingml/2006/main">
              <a:graphicData uri="http://schemas.openxmlformats.org/drawingml/2006/picture">
                <pic:pic xmlns:pic="http://schemas.openxmlformats.org/drawingml/2006/picture">
                  <pic:nvPicPr>
                    <pic:cNvPr id="30" name="picture" descr="descript"/>
                    <pic:cNvPicPr/>
                  </pic:nvPicPr>
                  <pic:blipFill>
                    <a:blip r:embed="rId20"/>
                    <a:stretch>
                      <a:fillRect/>
                    </a:stretch>
                  </pic:blipFill>
                  <pic:spPr>
                    <a:xfrm>
                      <a:off x="0" y="0"/>
                      <a:ext cx="5760085" cy="1956600"/>
                    </a:xfrm>
                    <a:prstGeom prst="rect">
                      <a:avLst/>
                    </a:prstGeom>
                  </pic:spPr>
                </pic:pic>
              </a:graphicData>
            </a:graphic>
          </wp:inline>
        </w:drawing>
      </w:r>
    </w:p>
    <w:p w14:paraId="4AE3B36C">
      <w:pPr>
        <w:rPr>
          <w:rFonts w:hint="default" w:hAnsi="宋体"/>
          <w:sz w:val="24"/>
          <w:lang w:val="en-US"/>
        </w:rPr>
      </w:pPr>
      <w:r>
        <w:rPr>
          <w:rFonts w:hint="default" w:hAnsi="宋体"/>
          <w:sz w:val="24"/>
          <w:lang w:val="en-US"/>
        </w:rPr>
        <w:br w:type="page"/>
      </w:r>
    </w:p>
    <w:p w14:paraId="47CBAAA9">
      <w:pPr>
        <w:outlineLvl w:val="1"/>
        <w:rPr>
          <w:rFonts w:ascii="Calibri" w:hAnsi="Calibri" w:eastAsia="宋体" w:cs="Times New Roman"/>
          <w:szCs w:val="20"/>
        </w:rPr>
      </w:pPr>
      <w:r>
        <w:rPr>
          <w:rFonts w:hint="eastAsia" w:ascii="Times New Roman" w:hAnsi="Times New Roman" w:eastAsia="宋体" w:cs="Times New Roman"/>
          <w:b/>
          <w:bCs/>
          <w:color w:val="000000"/>
          <w:sz w:val="24"/>
          <w:szCs w:val="24"/>
        </w:rPr>
        <w:t>附件</w:t>
      </w:r>
      <w:r>
        <w:rPr>
          <w:rFonts w:hint="eastAsia" w:cs="Times New Roman"/>
          <w:b/>
          <w:bCs/>
          <w:color w:val="000000"/>
          <w:sz w:val="24"/>
          <w:szCs w:val="24"/>
          <w:lang w:val="en-US" w:eastAsia="zh-CN"/>
        </w:rPr>
        <w:t>10</w:t>
      </w:r>
      <w:r>
        <w:rPr>
          <w:rFonts w:hint="eastAsia" w:ascii="Times New Roman" w:hAnsi="Times New Roman" w:eastAsia="宋体" w:cs="Times New Roman"/>
          <w:b/>
          <w:bCs/>
          <w:color w:val="000000"/>
          <w:sz w:val="24"/>
          <w:szCs w:val="24"/>
        </w:rPr>
        <w:t xml:space="preserve"> 投标文件封面及封口格式</w:t>
      </w:r>
    </w:p>
    <w:p w14:paraId="1B02C77F">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0"/>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2F088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76BB10D2">
            <w:pPr>
              <w:jc w:val="center"/>
              <w:rPr>
                <w:rFonts w:ascii="Times New Roman" w:hAnsi="Times New Roman" w:eastAsia="宋体" w:cs="Times New Roman"/>
                <w:b/>
                <w:szCs w:val="20"/>
              </w:rPr>
            </w:pPr>
          </w:p>
          <w:p w14:paraId="0B551F98">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6BBEB6EE">
            <w:pPr>
              <w:rPr>
                <w:rFonts w:ascii="Times New Roman" w:hAnsi="Times New Roman" w:eastAsia="等线" w:cs="Times New Roman"/>
                <w:b/>
                <w:sz w:val="30"/>
                <w:szCs w:val="30"/>
              </w:rPr>
            </w:pPr>
          </w:p>
          <w:p w14:paraId="16FEA21E">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ascii="等线" w:hAnsi="等线" w:eastAsia="等线" w:cs="Times New Roman"/>
                <w:b/>
                <w:sz w:val="30"/>
                <w:szCs w:val="30"/>
                <w:u w:val="single"/>
              </w:rPr>
              <w:t xml:space="preserve"> </w:t>
            </w:r>
            <w:r>
              <w:rPr>
                <w:rFonts w:hint="eastAsia" w:ascii="等线" w:hAnsi="等线" w:eastAsia="等线" w:cs="Times New Roman"/>
                <w:b/>
                <w:sz w:val="30"/>
                <w:szCs w:val="30"/>
                <w:u w:val="single"/>
                <w:lang w:val="en-US" w:eastAsia="zh-CN"/>
              </w:rPr>
              <w:t>2</w:t>
            </w:r>
            <w:r>
              <w:rPr>
                <w:rFonts w:ascii="等线" w:hAnsi="等线" w:eastAsia="等线" w:cs="Times New Roman"/>
                <w:b/>
                <w:sz w:val="30"/>
                <w:szCs w:val="30"/>
                <w:u w:val="single"/>
              </w:rPr>
              <w:t xml:space="preserve"> </w:t>
            </w:r>
            <w:r>
              <w:rPr>
                <w:rFonts w:hint="eastAsia" w:ascii="宋体" w:hAnsi="宋体" w:eastAsia="宋体" w:cs="宋体"/>
                <w:b/>
                <w:sz w:val="30"/>
                <w:szCs w:val="30"/>
              </w:rPr>
              <w:t>副本）</w:t>
            </w:r>
          </w:p>
          <w:p w14:paraId="4C52C042">
            <w:pPr>
              <w:jc w:val="center"/>
              <w:rPr>
                <w:rFonts w:ascii="Times New Roman" w:hAnsi="Times New Roman" w:eastAsia="宋体" w:cs="Times New Roman"/>
                <w:b/>
                <w:szCs w:val="20"/>
              </w:rPr>
            </w:pPr>
          </w:p>
          <w:p w14:paraId="05389DF4">
            <w:pPr>
              <w:jc w:val="center"/>
              <w:rPr>
                <w:rFonts w:ascii="Times New Roman" w:hAnsi="Times New Roman" w:eastAsia="宋体" w:cs="Times New Roman"/>
                <w:b/>
                <w:szCs w:val="20"/>
              </w:rPr>
            </w:pPr>
          </w:p>
          <w:p w14:paraId="2D664E66">
            <w:pPr>
              <w:jc w:val="center"/>
              <w:rPr>
                <w:rFonts w:hint="eastAsia" w:ascii="宋体" w:hAnsi="宋体" w:eastAsia="宋体" w:cs="宋体"/>
                <w:b/>
                <w:szCs w:val="20"/>
              </w:rPr>
            </w:pPr>
            <w:r>
              <w:rPr>
                <w:rFonts w:hint="eastAsia" w:ascii="宋体" w:hAnsi="宋体" w:eastAsia="宋体" w:cs="宋体"/>
                <w:b/>
                <w:szCs w:val="20"/>
              </w:rPr>
              <w:t>项目名称：</w:t>
            </w:r>
            <w:r>
              <w:rPr>
                <w:rFonts w:hint="eastAsia" w:ascii="宋体" w:hAnsi="宋体" w:eastAsia="宋体" w:cs="Times New Roman"/>
                <w:b/>
                <w:bCs/>
                <w:color w:val="000000"/>
                <w:sz w:val="24"/>
                <w:szCs w:val="24"/>
                <w:u w:val="single"/>
              </w:rPr>
              <w:t>特种车公司</w:t>
            </w:r>
            <w:r>
              <w:rPr>
                <w:rFonts w:hint="eastAsia" w:ascii="宋体" w:hAnsi="宋体" w:cs="Times New Roman"/>
                <w:b/>
                <w:bCs/>
                <w:color w:val="000000"/>
                <w:sz w:val="24"/>
                <w:szCs w:val="24"/>
                <w:u w:val="single"/>
                <w:lang w:val="en-US" w:eastAsia="zh-CN"/>
              </w:rPr>
              <w:t>新建危废库技改</w:t>
            </w:r>
            <w:r>
              <w:rPr>
                <w:rFonts w:hint="eastAsia" w:ascii="宋体" w:hAnsi="宋体" w:eastAsia="宋体" w:cs="Times New Roman"/>
                <w:b/>
                <w:bCs/>
                <w:color w:val="000000"/>
                <w:sz w:val="24"/>
                <w:szCs w:val="24"/>
                <w:u w:val="single"/>
              </w:rPr>
              <w:t>项目</w:t>
            </w:r>
          </w:p>
          <w:p w14:paraId="3A073926">
            <w:pPr>
              <w:jc w:val="center"/>
              <w:rPr>
                <w:rFonts w:ascii="Times New Roman" w:hAnsi="Times New Roman" w:eastAsia="宋体" w:cs="Times New Roman"/>
                <w:b/>
                <w:szCs w:val="20"/>
              </w:rPr>
            </w:pPr>
            <w:r>
              <w:rPr>
                <w:rFonts w:hint="eastAsia" w:ascii="宋体" w:hAnsi="宋体" w:eastAsia="宋体" w:cs="宋体"/>
                <w:b/>
                <w:szCs w:val="20"/>
              </w:rPr>
              <w:t>投标人名称（公章）：</w:t>
            </w:r>
          </w:p>
          <w:p w14:paraId="3952CF78">
            <w:pPr>
              <w:jc w:val="center"/>
              <w:rPr>
                <w:rFonts w:ascii="Times New Roman" w:hAnsi="Times New Roman" w:eastAsia="宋体" w:cs="Times New Roman"/>
                <w:b/>
                <w:szCs w:val="20"/>
              </w:rPr>
            </w:pPr>
            <w:r>
              <w:rPr>
                <w:rFonts w:hint="eastAsia" w:ascii="宋体" w:hAnsi="宋体" w:eastAsia="宋体" w:cs="宋体"/>
                <w:b/>
                <w:szCs w:val="20"/>
              </w:rPr>
              <w:t>地址：</w:t>
            </w:r>
          </w:p>
          <w:p w14:paraId="47260128">
            <w:pPr>
              <w:jc w:val="center"/>
              <w:rPr>
                <w:rFonts w:ascii="Times New Roman" w:hAnsi="Times New Roman" w:eastAsia="宋体" w:cs="Times New Roman"/>
                <w:b/>
                <w:szCs w:val="20"/>
              </w:rPr>
            </w:pPr>
            <w:r>
              <w:rPr>
                <w:rFonts w:hint="eastAsia" w:ascii="宋体" w:hAnsi="宋体" w:eastAsia="宋体" w:cs="宋体"/>
                <w:b/>
                <w:szCs w:val="20"/>
              </w:rPr>
              <w:t>授权代表电话：</w:t>
            </w:r>
          </w:p>
          <w:p w14:paraId="5E28C2C6">
            <w:pPr>
              <w:jc w:val="center"/>
              <w:rPr>
                <w:rFonts w:ascii="Times New Roman" w:hAnsi="Times New Roman" w:eastAsia="宋体" w:cs="Times New Roman"/>
                <w:b/>
                <w:szCs w:val="20"/>
              </w:rPr>
            </w:pPr>
            <w:r>
              <w:rPr>
                <w:rFonts w:hint="eastAsia" w:ascii="宋体" w:hAnsi="宋体" w:eastAsia="宋体" w:cs="宋体"/>
                <w:b/>
                <w:szCs w:val="20"/>
              </w:rPr>
              <w:t>传真：</w:t>
            </w:r>
          </w:p>
          <w:p w14:paraId="1E8D1792">
            <w:pPr>
              <w:jc w:val="center"/>
              <w:rPr>
                <w:rFonts w:ascii="Times New Roman" w:hAnsi="Times New Roman" w:eastAsia="宋体" w:cs="Times New Roman"/>
                <w:b/>
                <w:szCs w:val="20"/>
              </w:rPr>
            </w:pPr>
          </w:p>
          <w:p w14:paraId="2189FAC8">
            <w:pPr>
              <w:jc w:val="center"/>
              <w:rPr>
                <w:rFonts w:ascii="Times New Roman" w:hAnsi="Times New Roman" w:eastAsia="宋体" w:cs="Times New Roman"/>
                <w:b/>
                <w:szCs w:val="20"/>
              </w:rPr>
            </w:pPr>
          </w:p>
        </w:tc>
      </w:tr>
    </w:tbl>
    <w:p w14:paraId="506AEAC3">
      <w:pPr>
        <w:pStyle w:val="76"/>
        <w:rPr>
          <w:rFonts w:hint="default" w:hAnsi="宋体"/>
          <w:sz w:val="24"/>
          <w:lang w:val="en-US"/>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sectPr>
      <w:headerReference r:id="rId10" w:type="first"/>
      <w:footerReference r:id="rId12" w:type="first"/>
      <w:footerReference r:id="rId11"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62E2B">
    <w:pPr>
      <w:pStyle w:val="18"/>
      <w:framePr w:wrap="around" w:vAnchor="text" w:hAnchor="margin" w:xAlign="center" w:y="1"/>
      <w:rPr>
        <w:rStyle w:val="34"/>
      </w:rPr>
    </w:pPr>
    <w:r>
      <w:fldChar w:fldCharType="begin"/>
    </w:r>
    <w:r>
      <w:rPr>
        <w:rStyle w:val="34"/>
      </w:rPr>
      <w:instrText xml:space="preserve">PAGE  </w:instrText>
    </w:r>
    <w:r>
      <w:fldChar w:fldCharType="end"/>
    </w:r>
  </w:p>
  <w:p w14:paraId="491E2D54">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E37F9">
    <w:pPr>
      <w:pStyle w:val="1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322CC">
    <w:pPr>
      <w:pStyle w:val="18"/>
      <w:jc w:val="right"/>
      <w:rPr>
        <w:rFonts w:hint="eastAsia"/>
      </w:rP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2D2452E">
                          <w:pPr>
                            <w:pStyle w:val="18"/>
                            <w:jc w:val="right"/>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 共 28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fill on="f" focussize="0,0"/>
              <v:stroke on="f" weight="1.25pt"/>
              <v:imagedata o:title=""/>
              <o:lock v:ext="edit" aspectratio="f"/>
              <v:textbox inset="0mm,0mm,0mm,0mm" style="mso-fit-shape-to-text:t;">
                <w:txbxContent>
                  <w:p w14:paraId="12D2452E">
                    <w:pPr>
                      <w:pStyle w:val="18"/>
                      <w:jc w:val="right"/>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 共 28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2CD3C">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8FD98">
    <w:pPr>
      <w:pStyle w:val="18"/>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6DDDB">
    <w:pPr>
      <w:spacing w:line="179" w:lineRule="auto"/>
      <w:ind w:left="6868"/>
      <w:rPr>
        <w:rFonts w:ascii="宋体" w:hAnsi="宋体" w:eastAsia="宋体" w:cs="宋体"/>
        <w:sz w:val="17"/>
        <w:szCs w:val="17"/>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46B40">
    <w:pPr>
      <w:pStyle w:val="18"/>
      <w:jc w:val="center"/>
    </w:pPr>
  </w:p>
  <w:p w14:paraId="79D10F47"/>
  <w:p w14:paraId="6A798E58"/>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C93E3">
    <w:pPr>
      <w:pStyle w:val="19"/>
      <w:ind w:firstLine="36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18672">
    <w:pPr>
      <w:pStyle w:val="1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A39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23EC5"/>
    <w:multiLevelType w:val="multilevel"/>
    <w:tmpl w:val="86323EC5"/>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B20830A4"/>
    <w:multiLevelType w:val="multilevel"/>
    <w:tmpl w:val="B20830A4"/>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
    <w:nsid w:val="B862383A"/>
    <w:multiLevelType w:val="multilevel"/>
    <w:tmpl w:val="B862383A"/>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
    <w:nsid w:val="B9F08EBE"/>
    <w:multiLevelType w:val="multilevel"/>
    <w:tmpl w:val="B9F08EBE"/>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highlight w:val="none"/>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C5914085"/>
    <w:multiLevelType w:val="singleLevel"/>
    <w:tmpl w:val="C5914085"/>
    <w:lvl w:ilvl="0" w:tentative="0">
      <w:start w:val="1"/>
      <w:numFmt w:val="decimal"/>
      <w:suff w:val="nothing"/>
      <w:lvlText w:val="%1、"/>
      <w:lvlJc w:val="left"/>
    </w:lvl>
  </w:abstractNum>
  <w:abstractNum w:abstractNumId="5">
    <w:nsid w:val="CA6467C6"/>
    <w:multiLevelType w:val="multilevel"/>
    <w:tmpl w:val="CA6467C6"/>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6">
    <w:nsid w:val="D05F1A21"/>
    <w:multiLevelType w:val="multilevel"/>
    <w:tmpl w:val="D05F1A21"/>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b w:val="0"/>
        <w:bCs w:val="0"/>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7">
    <w:nsid w:val="D87ECBDD"/>
    <w:multiLevelType w:val="multilevel"/>
    <w:tmpl w:val="D87ECBDD"/>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8">
    <w:nsid w:val="F40E5138"/>
    <w:multiLevelType w:val="singleLevel"/>
    <w:tmpl w:val="F40E5138"/>
    <w:lvl w:ilvl="0" w:tentative="0">
      <w:start w:val="1"/>
      <w:numFmt w:val="bullet"/>
      <w:suff w:val="nothing"/>
      <w:lvlText w:val=""/>
      <w:lvlJc w:val="left"/>
      <w:pPr>
        <w:ind w:left="0" w:leftChars="0" w:firstLine="0" w:firstLineChars="0"/>
      </w:pPr>
      <w:rPr>
        <w:rFonts w:hint="default" w:ascii="Wingdings" w:hAnsi="Wingdings"/>
      </w:rPr>
    </w:lvl>
  </w:abstractNum>
  <w:abstractNum w:abstractNumId="9">
    <w:nsid w:val="06882CE3"/>
    <w:multiLevelType w:val="multilevel"/>
    <w:tmpl w:val="06882CE3"/>
    <w:lvl w:ilvl="0" w:tentative="0">
      <w:start w:val="1"/>
      <w:numFmt w:val="decimal"/>
      <w:pStyle w:val="75"/>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0">
    <w:nsid w:val="080D2180"/>
    <w:multiLevelType w:val="singleLevel"/>
    <w:tmpl w:val="080D2180"/>
    <w:lvl w:ilvl="0" w:tentative="0">
      <w:start w:val="1"/>
      <w:numFmt w:val="bullet"/>
      <w:lvlText w:val=""/>
      <w:lvlJc w:val="left"/>
      <w:pPr>
        <w:ind w:left="420" w:hanging="420"/>
      </w:pPr>
      <w:rPr>
        <w:rFonts w:hint="default" w:ascii="Wingdings" w:hAnsi="Wingdings"/>
      </w:rPr>
    </w:lvl>
  </w:abstractNum>
  <w:abstractNum w:abstractNumId="11">
    <w:nsid w:val="11906048"/>
    <w:multiLevelType w:val="multilevel"/>
    <w:tmpl w:val="11906048"/>
    <w:lvl w:ilvl="0" w:tentative="0">
      <w:start w:val="1"/>
      <w:numFmt w:val="decimal"/>
      <w:suff w:val="nothing"/>
      <w:lvlText w:val="%1."/>
      <w:lvlJc w:val="left"/>
      <w:pPr>
        <w:ind w:left="0" w:leftChars="0" w:firstLine="0" w:firstLineChars="0"/>
      </w:pPr>
      <w:rPr>
        <w:rFonts w:hint="default"/>
      </w:rPr>
    </w:lvl>
    <w:lvl w:ilvl="1" w:tentative="0">
      <w:start w:val="1"/>
      <w:numFmt w:val="decimal"/>
      <w:suff w:val="space"/>
      <w:lvlText w:val="(%2)"/>
      <w:lvlJc w:val="left"/>
      <w:pPr>
        <w:ind w:left="0" w:leftChars="0" w:firstLine="420" w:firstLineChars="0"/>
      </w:pPr>
      <w:rPr>
        <w:rFonts w:hint="default"/>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2">
    <w:nsid w:val="12D9A626"/>
    <w:multiLevelType w:val="singleLevel"/>
    <w:tmpl w:val="12D9A626"/>
    <w:lvl w:ilvl="0" w:tentative="0">
      <w:start w:val="3"/>
      <w:numFmt w:val="chineseCounting"/>
      <w:suff w:val="nothing"/>
      <w:lvlText w:val="第%1部分　"/>
      <w:lvlJc w:val="left"/>
      <w:rPr>
        <w:rFonts w:hint="eastAsia"/>
      </w:rPr>
    </w:lvl>
  </w:abstractNum>
  <w:abstractNum w:abstractNumId="13">
    <w:nsid w:val="13C67257"/>
    <w:multiLevelType w:val="multilevel"/>
    <w:tmpl w:val="13C67257"/>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840" w:leftChars="0" w:hanging="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4">
    <w:nsid w:val="178D3D0E"/>
    <w:multiLevelType w:val="multilevel"/>
    <w:tmpl w:val="178D3D0E"/>
    <w:lvl w:ilvl="0" w:tentative="0">
      <w:start w:val="1"/>
      <w:numFmt w:val="bullet"/>
      <w:pStyle w:val="91"/>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5">
    <w:nsid w:val="199F58C0"/>
    <w:multiLevelType w:val="multilevel"/>
    <w:tmpl w:val="199F58C0"/>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6">
    <w:nsid w:val="1DECDA7B"/>
    <w:multiLevelType w:val="singleLevel"/>
    <w:tmpl w:val="1DECDA7B"/>
    <w:lvl w:ilvl="0" w:tentative="0">
      <w:start w:val="3"/>
      <w:numFmt w:val="chineseCounting"/>
      <w:suff w:val="nothing"/>
      <w:lvlText w:val="%1、"/>
      <w:lvlJc w:val="left"/>
      <w:rPr>
        <w:rFonts w:hint="eastAsia"/>
      </w:rPr>
    </w:lvl>
  </w:abstractNum>
  <w:abstractNum w:abstractNumId="17">
    <w:nsid w:val="1E7B065C"/>
    <w:multiLevelType w:val="multilevel"/>
    <w:tmpl w:val="1E7B065C"/>
    <w:lvl w:ilvl="0" w:tentative="0">
      <w:start w:val="1"/>
      <w:numFmt w:val="decimal"/>
      <w:pStyle w:val="96"/>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8">
    <w:nsid w:val="2B8672BE"/>
    <w:multiLevelType w:val="singleLevel"/>
    <w:tmpl w:val="2B8672BE"/>
    <w:lvl w:ilvl="0" w:tentative="0">
      <w:start w:val="1"/>
      <w:numFmt w:val="decimal"/>
      <w:lvlText w:val="%1."/>
      <w:lvlJc w:val="left"/>
      <w:pPr>
        <w:ind w:left="425" w:hanging="425"/>
      </w:pPr>
      <w:rPr>
        <w:rFonts w:hint="default"/>
      </w:rPr>
    </w:lvl>
  </w:abstractNum>
  <w:abstractNum w:abstractNumId="19">
    <w:nsid w:val="3DA58DF5"/>
    <w:multiLevelType w:val="multilevel"/>
    <w:tmpl w:val="3DA58DF5"/>
    <w:lvl w:ilvl="0" w:tentative="0">
      <w:start w:val="1"/>
      <w:numFmt w:val="decimal"/>
      <w:lvlText w:val="%1."/>
      <w:lvlJc w:val="left"/>
      <w:pPr>
        <w:ind w:left="425" w:hanging="425"/>
      </w:pPr>
      <w:rPr>
        <w:rFonts w:hint="default"/>
        <w:b w:val="0"/>
        <w:bCs w:val="0"/>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0">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520018B0"/>
    <w:multiLevelType w:val="multilevel"/>
    <w:tmpl w:val="520018B0"/>
    <w:lvl w:ilvl="0" w:tentative="0">
      <w:start w:val="1"/>
      <w:numFmt w:val="decimal"/>
      <w:pStyle w:val="74"/>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2">
    <w:nsid w:val="560F40FB"/>
    <w:multiLevelType w:val="multilevel"/>
    <w:tmpl w:val="560F40FB"/>
    <w:lvl w:ilvl="0" w:tentative="0">
      <w:start w:val="1"/>
      <w:numFmt w:val="lowerLetter"/>
      <w:pStyle w:val="101"/>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3">
    <w:nsid w:val="56D20133"/>
    <w:multiLevelType w:val="multilevel"/>
    <w:tmpl w:val="56D20133"/>
    <w:lvl w:ilvl="0" w:tentative="0">
      <w:start w:val="1"/>
      <w:numFmt w:val="chineseCountingThousand"/>
      <w:pStyle w:val="73"/>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4">
    <w:nsid w:val="58A803A7"/>
    <w:multiLevelType w:val="singleLevel"/>
    <w:tmpl w:val="58A803A7"/>
    <w:lvl w:ilvl="0" w:tentative="0">
      <w:start w:val="1"/>
      <w:numFmt w:val="decimal"/>
      <w:suff w:val="nothing"/>
      <w:lvlText w:val="%1."/>
      <w:lvlJc w:val="left"/>
      <w:pPr>
        <w:ind w:left="454" w:leftChars="0" w:hanging="454" w:firstLineChars="0"/>
      </w:pPr>
      <w:rPr>
        <w:rFonts w:hint="default"/>
      </w:rPr>
    </w:lvl>
  </w:abstractNum>
  <w:abstractNum w:abstractNumId="25">
    <w:nsid w:val="5A6836EF"/>
    <w:multiLevelType w:val="singleLevel"/>
    <w:tmpl w:val="5A6836EF"/>
    <w:lvl w:ilvl="0" w:tentative="0">
      <w:start w:val="1"/>
      <w:numFmt w:val="decimal"/>
      <w:suff w:val="nothing"/>
      <w:lvlText w:val="%1."/>
      <w:lvlJc w:val="left"/>
      <w:pPr>
        <w:ind w:left="0" w:firstLine="0"/>
      </w:pPr>
    </w:lvl>
  </w:abstractNum>
  <w:abstractNum w:abstractNumId="26">
    <w:nsid w:val="5B6F7349"/>
    <w:multiLevelType w:val="multilevel"/>
    <w:tmpl w:val="5B6F7349"/>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7">
    <w:nsid w:val="5EEE3A7E"/>
    <w:multiLevelType w:val="multilevel"/>
    <w:tmpl w:val="5EEE3A7E"/>
    <w:lvl w:ilvl="0" w:tentative="0">
      <w:start w:val="1"/>
      <w:numFmt w:val="bullet"/>
      <w:suff w:val="nothing"/>
      <w:lvlText w:val=""/>
      <w:lvlJc w:val="left"/>
      <w:pPr>
        <w:ind w:left="0" w:leftChars="0" w:firstLine="0" w:firstLineChars="0"/>
      </w:pPr>
      <w:rPr>
        <w:rFonts w:hint="default" w:ascii="Wingdings" w:hAnsi="Wingdings"/>
        <w:color w:val="auto"/>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28">
    <w:nsid w:val="656A6EAE"/>
    <w:multiLevelType w:val="multilevel"/>
    <w:tmpl w:val="656A6EAE"/>
    <w:lvl w:ilvl="0" w:tentative="0">
      <w:start w:val="1"/>
      <w:numFmt w:val="chineseCountingThousand"/>
      <w:pStyle w:val="72"/>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9">
    <w:nsid w:val="68D339DE"/>
    <w:multiLevelType w:val="multilevel"/>
    <w:tmpl w:val="68D339DE"/>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20"/>
  </w:num>
  <w:num w:numId="2">
    <w:abstractNumId w:val="28"/>
  </w:num>
  <w:num w:numId="3">
    <w:abstractNumId w:val="23"/>
  </w:num>
  <w:num w:numId="4">
    <w:abstractNumId w:val="21"/>
  </w:num>
  <w:num w:numId="5">
    <w:abstractNumId w:val="9"/>
  </w:num>
  <w:num w:numId="6">
    <w:abstractNumId w:val="14"/>
  </w:num>
  <w:num w:numId="7">
    <w:abstractNumId w:val="17"/>
  </w:num>
  <w:num w:numId="8">
    <w:abstractNumId w:val="22"/>
  </w:num>
  <w:num w:numId="9">
    <w:abstractNumId w:val="24"/>
  </w:num>
  <w:num w:numId="10">
    <w:abstractNumId w:val="13"/>
  </w:num>
  <w:num w:numId="11">
    <w:abstractNumId w:val="11"/>
  </w:num>
  <w:num w:numId="12">
    <w:abstractNumId w:val="29"/>
  </w:num>
  <w:num w:numId="13">
    <w:abstractNumId w:val="0"/>
  </w:num>
  <w:num w:numId="14">
    <w:abstractNumId w:val="5"/>
  </w:num>
  <w:num w:numId="15">
    <w:abstractNumId w:val="6"/>
  </w:num>
  <w:num w:numId="16">
    <w:abstractNumId w:val="3"/>
  </w:num>
  <w:num w:numId="17">
    <w:abstractNumId w:val="10"/>
  </w:num>
  <w:num w:numId="18">
    <w:abstractNumId w:val="15"/>
  </w:num>
  <w:num w:numId="19">
    <w:abstractNumId w:val="2"/>
  </w:num>
  <w:num w:numId="20">
    <w:abstractNumId w:val="27"/>
  </w:num>
  <w:num w:numId="21">
    <w:abstractNumId w:val="7"/>
  </w:num>
  <w:num w:numId="22">
    <w:abstractNumId w:val="26"/>
  </w:num>
  <w:num w:numId="23">
    <w:abstractNumId w:val="8"/>
  </w:num>
  <w:num w:numId="24">
    <w:abstractNumId w:val="1"/>
  </w:num>
  <w:num w:numId="25">
    <w:abstractNumId w:val="19"/>
  </w:num>
  <w:num w:numId="26">
    <w:abstractNumId w:val="25"/>
  </w:num>
  <w:num w:numId="27">
    <w:abstractNumId w:val="18"/>
  </w:num>
  <w:num w:numId="28">
    <w:abstractNumId w:val="16"/>
  </w:num>
  <w:num w:numId="29">
    <w:abstractNumId w:val="4"/>
  </w:num>
  <w:num w:numId="30">
    <w:abstractNumId w:val="1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2CDB"/>
    <w:rsid w:val="007C32E0"/>
    <w:rsid w:val="007C54A3"/>
    <w:rsid w:val="007C60C1"/>
    <w:rsid w:val="007C76C4"/>
    <w:rsid w:val="007C7FA8"/>
    <w:rsid w:val="007D09D1"/>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1B40D3"/>
    <w:rsid w:val="01563B79"/>
    <w:rsid w:val="02173A21"/>
    <w:rsid w:val="02CC3DCA"/>
    <w:rsid w:val="02FE76EF"/>
    <w:rsid w:val="034E1239"/>
    <w:rsid w:val="036848C6"/>
    <w:rsid w:val="03F033B0"/>
    <w:rsid w:val="04472DF8"/>
    <w:rsid w:val="05612989"/>
    <w:rsid w:val="057C1D39"/>
    <w:rsid w:val="05891259"/>
    <w:rsid w:val="05D554DB"/>
    <w:rsid w:val="05F572F9"/>
    <w:rsid w:val="0654565B"/>
    <w:rsid w:val="07253DF6"/>
    <w:rsid w:val="07613623"/>
    <w:rsid w:val="08633479"/>
    <w:rsid w:val="08940DDD"/>
    <w:rsid w:val="09630A6C"/>
    <w:rsid w:val="09842693"/>
    <w:rsid w:val="0A63147A"/>
    <w:rsid w:val="0ADB2EF0"/>
    <w:rsid w:val="0ADD4CBE"/>
    <w:rsid w:val="0B415BB4"/>
    <w:rsid w:val="0C83309C"/>
    <w:rsid w:val="0CB51572"/>
    <w:rsid w:val="0D01045C"/>
    <w:rsid w:val="0DE73E36"/>
    <w:rsid w:val="0E4D31E3"/>
    <w:rsid w:val="0E530E38"/>
    <w:rsid w:val="108509A1"/>
    <w:rsid w:val="10A9056C"/>
    <w:rsid w:val="10DC2AA3"/>
    <w:rsid w:val="10FA7C8C"/>
    <w:rsid w:val="12174CE2"/>
    <w:rsid w:val="121D1E44"/>
    <w:rsid w:val="12F64B6E"/>
    <w:rsid w:val="130B198F"/>
    <w:rsid w:val="13FA68E0"/>
    <w:rsid w:val="156A5C11"/>
    <w:rsid w:val="15BB1367"/>
    <w:rsid w:val="16501FE8"/>
    <w:rsid w:val="16A918E4"/>
    <w:rsid w:val="17D966D6"/>
    <w:rsid w:val="17EA3B31"/>
    <w:rsid w:val="18146E94"/>
    <w:rsid w:val="18945E62"/>
    <w:rsid w:val="19517BDA"/>
    <w:rsid w:val="19581095"/>
    <w:rsid w:val="19AE68D1"/>
    <w:rsid w:val="19E33213"/>
    <w:rsid w:val="1A273FCA"/>
    <w:rsid w:val="1A463A67"/>
    <w:rsid w:val="1A4856D7"/>
    <w:rsid w:val="1A9829AF"/>
    <w:rsid w:val="1B481CDF"/>
    <w:rsid w:val="1B9B4505"/>
    <w:rsid w:val="1BA3160C"/>
    <w:rsid w:val="1BC71D3B"/>
    <w:rsid w:val="1C59115B"/>
    <w:rsid w:val="1D596BD7"/>
    <w:rsid w:val="1DFE17D9"/>
    <w:rsid w:val="1E296445"/>
    <w:rsid w:val="1EFD1680"/>
    <w:rsid w:val="1F6C766B"/>
    <w:rsid w:val="1F6D42D7"/>
    <w:rsid w:val="1FB23E60"/>
    <w:rsid w:val="1FBA79B4"/>
    <w:rsid w:val="20735A50"/>
    <w:rsid w:val="21183ED7"/>
    <w:rsid w:val="212F23EA"/>
    <w:rsid w:val="21F50ADF"/>
    <w:rsid w:val="2225345A"/>
    <w:rsid w:val="226A2E83"/>
    <w:rsid w:val="227640E7"/>
    <w:rsid w:val="227F2CA6"/>
    <w:rsid w:val="22C5630B"/>
    <w:rsid w:val="23EC0BA6"/>
    <w:rsid w:val="24701A48"/>
    <w:rsid w:val="247E07FE"/>
    <w:rsid w:val="24AB04CD"/>
    <w:rsid w:val="25113A8A"/>
    <w:rsid w:val="25EC6AF8"/>
    <w:rsid w:val="268B0052"/>
    <w:rsid w:val="26CF6817"/>
    <w:rsid w:val="272A6A1B"/>
    <w:rsid w:val="27743C90"/>
    <w:rsid w:val="27B358EA"/>
    <w:rsid w:val="283931F7"/>
    <w:rsid w:val="284A307C"/>
    <w:rsid w:val="28B55739"/>
    <w:rsid w:val="28D107DA"/>
    <w:rsid w:val="29CA2459"/>
    <w:rsid w:val="2A5440C4"/>
    <w:rsid w:val="2B271A58"/>
    <w:rsid w:val="2B4D164C"/>
    <w:rsid w:val="2B6304A7"/>
    <w:rsid w:val="2C642D3E"/>
    <w:rsid w:val="2CF6734C"/>
    <w:rsid w:val="2D4D284A"/>
    <w:rsid w:val="2D663463"/>
    <w:rsid w:val="2E112A52"/>
    <w:rsid w:val="2EDD38C8"/>
    <w:rsid w:val="2EF96EE4"/>
    <w:rsid w:val="2EFB779B"/>
    <w:rsid w:val="2FF10008"/>
    <w:rsid w:val="309126EA"/>
    <w:rsid w:val="3093401C"/>
    <w:rsid w:val="30C9346B"/>
    <w:rsid w:val="317E4255"/>
    <w:rsid w:val="31B936ED"/>
    <w:rsid w:val="31E37A09"/>
    <w:rsid w:val="32C207BF"/>
    <w:rsid w:val="333268C2"/>
    <w:rsid w:val="33527747"/>
    <w:rsid w:val="3380787D"/>
    <w:rsid w:val="33822A0F"/>
    <w:rsid w:val="346778D0"/>
    <w:rsid w:val="34F565DC"/>
    <w:rsid w:val="352E7115"/>
    <w:rsid w:val="359705C1"/>
    <w:rsid w:val="35D271A0"/>
    <w:rsid w:val="36254FE4"/>
    <w:rsid w:val="36AA39B8"/>
    <w:rsid w:val="372F61E0"/>
    <w:rsid w:val="38945F67"/>
    <w:rsid w:val="39322FCA"/>
    <w:rsid w:val="3A503E1E"/>
    <w:rsid w:val="3AB90991"/>
    <w:rsid w:val="3B706131"/>
    <w:rsid w:val="3BF833EC"/>
    <w:rsid w:val="3C8E02FC"/>
    <w:rsid w:val="3C931866"/>
    <w:rsid w:val="3CEA4335"/>
    <w:rsid w:val="3D3346FD"/>
    <w:rsid w:val="3D9B7F3D"/>
    <w:rsid w:val="3DE11DF4"/>
    <w:rsid w:val="3E6F041E"/>
    <w:rsid w:val="3E846635"/>
    <w:rsid w:val="3EC02A3D"/>
    <w:rsid w:val="3F091E25"/>
    <w:rsid w:val="3F2F74FF"/>
    <w:rsid w:val="3F9D2397"/>
    <w:rsid w:val="4020131E"/>
    <w:rsid w:val="40AC20A0"/>
    <w:rsid w:val="41A5482C"/>
    <w:rsid w:val="4275481E"/>
    <w:rsid w:val="428B617A"/>
    <w:rsid w:val="42CE288A"/>
    <w:rsid w:val="433D7BDC"/>
    <w:rsid w:val="437E1813"/>
    <w:rsid w:val="43A427AA"/>
    <w:rsid w:val="43E96A97"/>
    <w:rsid w:val="444E2202"/>
    <w:rsid w:val="45354CBC"/>
    <w:rsid w:val="45BD47FC"/>
    <w:rsid w:val="45CC5FB2"/>
    <w:rsid w:val="46B75BA8"/>
    <w:rsid w:val="46E91D19"/>
    <w:rsid w:val="476E5648"/>
    <w:rsid w:val="47DE0683"/>
    <w:rsid w:val="48C97955"/>
    <w:rsid w:val="48D805C0"/>
    <w:rsid w:val="492E2C7C"/>
    <w:rsid w:val="49880C8F"/>
    <w:rsid w:val="4A0A2E1F"/>
    <w:rsid w:val="4A1A43A3"/>
    <w:rsid w:val="4A1E2A29"/>
    <w:rsid w:val="4A2007F8"/>
    <w:rsid w:val="4A8835F7"/>
    <w:rsid w:val="4AB619BA"/>
    <w:rsid w:val="4B1A4B97"/>
    <w:rsid w:val="4B592E71"/>
    <w:rsid w:val="4BFA7044"/>
    <w:rsid w:val="4C851584"/>
    <w:rsid w:val="4CB314C9"/>
    <w:rsid w:val="4D0238B1"/>
    <w:rsid w:val="4DF75369"/>
    <w:rsid w:val="4E9E572E"/>
    <w:rsid w:val="4EA23B01"/>
    <w:rsid w:val="4EB0217D"/>
    <w:rsid w:val="4F8B220C"/>
    <w:rsid w:val="504F4EAF"/>
    <w:rsid w:val="516C4BAA"/>
    <w:rsid w:val="51BF13F4"/>
    <w:rsid w:val="51D51447"/>
    <w:rsid w:val="528B5CF4"/>
    <w:rsid w:val="52B9239A"/>
    <w:rsid w:val="52D52A7F"/>
    <w:rsid w:val="54287EA1"/>
    <w:rsid w:val="54BD78FD"/>
    <w:rsid w:val="552A3C28"/>
    <w:rsid w:val="555A2DA3"/>
    <w:rsid w:val="555B06B0"/>
    <w:rsid w:val="56901A99"/>
    <w:rsid w:val="571B2939"/>
    <w:rsid w:val="581925FA"/>
    <w:rsid w:val="58A86DDE"/>
    <w:rsid w:val="59154AD7"/>
    <w:rsid w:val="59254E33"/>
    <w:rsid w:val="59EF2843"/>
    <w:rsid w:val="5A1866C9"/>
    <w:rsid w:val="5A3C6E2C"/>
    <w:rsid w:val="5A542AB4"/>
    <w:rsid w:val="5ADF548D"/>
    <w:rsid w:val="5BF95104"/>
    <w:rsid w:val="5C4627AE"/>
    <w:rsid w:val="5C9249CA"/>
    <w:rsid w:val="5D270F32"/>
    <w:rsid w:val="5D5C60B4"/>
    <w:rsid w:val="5DA23E51"/>
    <w:rsid w:val="5DC11A2A"/>
    <w:rsid w:val="5E5B22B9"/>
    <w:rsid w:val="5F9B694B"/>
    <w:rsid w:val="60027C70"/>
    <w:rsid w:val="605E6D10"/>
    <w:rsid w:val="60651FB9"/>
    <w:rsid w:val="614B322B"/>
    <w:rsid w:val="614E12EC"/>
    <w:rsid w:val="616D6769"/>
    <w:rsid w:val="619522AC"/>
    <w:rsid w:val="61A93542"/>
    <w:rsid w:val="62BD60DC"/>
    <w:rsid w:val="63132D1B"/>
    <w:rsid w:val="63F04A69"/>
    <w:rsid w:val="646A3D0C"/>
    <w:rsid w:val="64A82747"/>
    <w:rsid w:val="65336B29"/>
    <w:rsid w:val="65C45128"/>
    <w:rsid w:val="66526AE4"/>
    <w:rsid w:val="66A50B1E"/>
    <w:rsid w:val="67095CF1"/>
    <w:rsid w:val="674E3DF4"/>
    <w:rsid w:val="67B2063C"/>
    <w:rsid w:val="67C97AC3"/>
    <w:rsid w:val="67D5595A"/>
    <w:rsid w:val="67E30EC1"/>
    <w:rsid w:val="695D046C"/>
    <w:rsid w:val="6A4E3B2B"/>
    <w:rsid w:val="6A7B1191"/>
    <w:rsid w:val="6AC838A9"/>
    <w:rsid w:val="6AED682D"/>
    <w:rsid w:val="6B003065"/>
    <w:rsid w:val="6B481C3B"/>
    <w:rsid w:val="6B875383"/>
    <w:rsid w:val="6C1331A3"/>
    <w:rsid w:val="6C765676"/>
    <w:rsid w:val="6CA84BC1"/>
    <w:rsid w:val="6D170ADE"/>
    <w:rsid w:val="6D3E4756"/>
    <w:rsid w:val="6D5D40D0"/>
    <w:rsid w:val="6DFB5D0A"/>
    <w:rsid w:val="6F12155D"/>
    <w:rsid w:val="6FBD643A"/>
    <w:rsid w:val="6FC523EB"/>
    <w:rsid w:val="6FE22646"/>
    <w:rsid w:val="70122115"/>
    <w:rsid w:val="70825D63"/>
    <w:rsid w:val="70BA0E1D"/>
    <w:rsid w:val="71FE41EB"/>
    <w:rsid w:val="72895F2E"/>
    <w:rsid w:val="72C02EBE"/>
    <w:rsid w:val="72C507AD"/>
    <w:rsid w:val="72D028D8"/>
    <w:rsid w:val="73234831"/>
    <w:rsid w:val="745D47C3"/>
    <w:rsid w:val="74FF6E23"/>
    <w:rsid w:val="75341FA7"/>
    <w:rsid w:val="755404B8"/>
    <w:rsid w:val="75C77DAC"/>
    <w:rsid w:val="764F7753"/>
    <w:rsid w:val="76AC3757"/>
    <w:rsid w:val="76DC0C04"/>
    <w:rsid w:val="775939AE"/>
    <w:rsid w:val="77A040EC"/>
    <w:rsid w:val="77D4005C"/>
    <w:rsid w:val="78292927"/>
    <w:rsid w:val="78D35C78"/>
    <w:rsid w:val="78D62583"/>
    <w:rsid w:val="78F33EC6"/>
    <w:rsid w:val="78F37D6B"/>
    <w:rsid w:val="7A6B48EE"/>
    <w:rsid w:val="7B8A3D70"/>
    <w:rsid w:val="7B902651"/>
    <w:rsid w:val="7C6021A7"/>
    <w:rsid w:val="7CAB4D9F"/>
    <w:rsid w:val="7CB93F8E"/>
    <w:rsid w:val="7CED7FF7"/>
    <w:rsid w:val="7CF66B46"/>
    <w:rsid w:val="7D185B2A"/>
    <w:rsid w:val="7D4A0A5C"/>
    <w:rsid w:val="7D97125D"/>
    <w:rsid w:val="7DB618B0"/>
    <w:rsid w:val="7DBD28BA"/>
    <w:rsid w:val="7DF63749"/>
    <w:rsid w:val="7E736B66"/>
    <w:rsid w:val="7EE64005"/>
    <w:rsid w:val="7EEE3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67"/>
    <w:semiHidden/>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81"/>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11"/>
    <w:semiHidden/>
    <w:qFormat/>
    <w:uiPriority w:val="0"/>
    <w:pPr>
      <w:keepNext/>
      <w:keepLines/>
      <w:spacing w:line="416" w:lineRule="auto"/>
      <w:outlineLvl w:val="2"/>
    </w:pPr>
    <w:rPr>
      <w:b/>
      <w:bCs/>
      <w:sz w:val="32"/>
      <w:szCs w:val="32"/>
    </w:rPr>
  </w:style>
  <w:style w:type="paragraph" w:styleId="6">
    <w:name w:val="heading 4"/>
    <w:basedOn w:val="1"/>
    <w:next w:val="1"/>
    <w:link w:val="77"/>
    <w:semiHidden/>
    <w:qFormat/>
    <w:uiPriority w:val="0"/>
    <w:pPr>
      <w:keepNext/>
      <w:keepLines/>
      <w:spacing w:line="360" w:lineRule="auto"/>
      <w:outlineLvl w:val="3"/>
    </w:pPr>
    <w:rPr>
      <w:rFonts w:ascii="Arial" w:hAnsi="Arial"/>
      <w:b/>
      <w:bCs/>
      <w:szCs w:val="28"/>
    </w:rPr>
  </w:style>
  <w:style w:type="paragraph" w:styleId="7">
    <w:name w:val="heading 5"/>
    <w:basedOn w:val="1"/>
    <w:next w:val="1"/>
    <w:link w:val="78"/>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semiHidden/>
    <w:qFormat/>
    <w:uiPriority w:val="39"/>
    <w:pPr>
      <w:adjustRightInd w:val="0"/>
      <w:spacing w:line="312" w:lineRule="atLeast"/>
      <w:ind w:left="840" w:leftChars="400"/>
      <w:textAlignment w:val="baseline"/>
    </w:pPr>
    <w:rPr>
      <w:kern w:val="0"/>
      <w:sz w:val="24"/>
    </w:rPr>
  </w:style>
  <w:style w:type="paragraph" w:styleId="8">
    <w:name w:val="E-mail Signature"/>
    <w:basedOn w:val="1"/>
    <w:link w:val="104"/>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3"/>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6"/>
    <w:qFormat/>
    <w:uiPriority w:val="99"/>
    <w:pPr>
      <w:jc w:val="left"/>
    </w:pPr>
  </w:style>
  <w:style w:type="paragraph" w:styleId="12">
    <w:name w:val="Body Text"/>
    <w:basedOn w:val="1"/>
    <w:next w:val="1"/>
    <w:link w:val="42"/>
    <w:semiHidden/>
    <w:qFormat/>
    <w:uiPriority w:val="98"/>
    <w:rPr>
      <w:rFonts w:ascii="仿宋_GB2312" w:eastAsia="仿宋_GB2312"/>
      <w:sz w:val="32"/>
    </w:r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Plain Text"/>
    <w:basedOn w:val="1"/>
    <w:link w:val="51"/>
    <w:qFormat/>
    <w:uiPriority w:val="0"/>
    <w:rPr>
      <w:rFonts w:ascii="宋体" w:hAnsi="Courier New"/>
    </w:rPr>
  </w:style>
  <w:style w:type="paragraph" w:styleId="15">
    <w:name w:val="Date"/>
    <w:basedOn w:val="1"/>
    <w:next w:val="1"/>
    <w:link w:val="87"/>
    <w:semiHidden/>
    <w:qFormat/>
    <w:uiPriority w:val="0"/>
    <w:pPr>
      <w:adjustRightInd w:val="0"/>
      <w:spacing w:line="312" w:lineRule="atLeast"/>
      <w:ind w:left="100" w:leftChars="2500"/>
      <w:textAlignment w:val="baseline"/>
    </w:pPr>
    <w:rPr>
      <w:kern w:val="0"/>
      <w:sz w:val="24"/>
    </w:rPr>
  </w:style>
  <w:style w:type="paragraph" w:styleId="16">
    <w:name w:val="Body Text Indent 2"/>
    <w:basedOn w:val="1"/>
    <w:link w:val="86"/>
    <w:semiHidden/>
    <w:qFormat/>
    <w:uiPriority w:val="0"/>
    <w:pPr>
      <w:adjustRightInd w:val="0"/>
      <w:spacing w:after="120" w:line="480" w:lineRule="auto"/>
      <w:ind w:left="420" w:leftChars="200"/>
      <w:textAlignment w:val="baseline"/>
    </w:pPr>
    <w:rPr>
      <w:kern w:val="0"/>
      <w:sz w:val="24"/>
    </w:rPr>
  </w:style>
  <w:style w:type="paragraph" w:styleId="17">
    <w:name w:val="Balloon Text"/>
    <w:basedOn w:val="1"/>
    <w:link w:val="48"/>
    <w:semiHidden/>
    <w:qFormat/>
    <w:uiPriority w:val="0"/>
    <w:rPr>
      <w:sz w:val="18"/>
      <w:szCs w:val="18"/>
    </w:rPr>
  </w:style>
  <w:style w:type="paragraph" w:styleId="18">
    <w:name w:val="footer"/>
    <w:basedOn w:val="1"/>
    <w:link w:val="43"/>
    <w:semiHidden/>
    <w:qFormat/>
    <w:uiPriority w:val="0"/>
    <w:pPr>
      <w:tabs>
        <w:tab w:val="center" w:pos="4153"/>
        <w:tab w:val="right" w:pos="8306"/>
      </w:tabs>
      <w:snapToGrid w:val="0"/>
      <w:jc w:val="left"/>
    </w:pPr>
    <w:rPr>
      <w:sz w:val="18"/>
      <w:szCs w:val="18"/>
    </w:rPr>
  </w:style>
  <w:style w:type="paragraph" w:styleId="19">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1">
    <w:name w:val="List"/>
    <w:basedOn w:val="1"/>
    <w:qFormat/>
    <w:uiPriority w:val="0"/>
    <w:pPr>
      <w:ind w:left="200" w:hanging="200" w:hangingChars="200"/>
    </w:pPr>
    <w:rPr>
      <w:szCs w:val="21"/>
    </w:rPr>
  </w:style>
  <w:style w:type="paragraph" w:styleId="22">
    <w:name w:val="Body Text Indent 3"/>
    <w:basedOn w:val="1"/>
    <w:link w:val="83"/>
    <w:semiHidden/>
    <w:qFormat/>
    <w:uiPriority w:val="0"/>
    <w:pPr>
      <w:spacing w:line="360" w:lineRule="auto"/>
      <w:ind w:left="1347" w:leftChars="413" w:hanging="480" w:hangingChars="200"/>
    </w:pPr>
    <w:rPr>
      <w:rFonts w:ascii="宋体" w:hAnsi="宋体"/>
      <w:color w:val="FF0000"/>
      <w:sz w:val="24"/>
      <w:szCs w:val="24"/>
    </w:rPr>
  </w:style>
  <w:style w:type="paragraph" w:styleId="23">
    <w:name w:val="index 9"/>
    <w:basedOn w:val="1"/>
    <w:next w:val="1"/>
    <w:semiHidden/>
    <w:qFormat/>
    <w:uiPriority w:val="98"/>
    <w:pPr>
      <w:ind w:left="1600" w:leftChars="1600"/>
    </w:pPr>
  </w:style>
  <w:style w:type="paragraph" w:styleId="24">
    <w:name w:val="toc 2"/>
    <w:basedOn w:val="1"/>
    <w:next w:val="1"/>
    <w:qFormat/>
    <w:uiPriority w:val="39"/>
    <w:pPr>
      <w:ind w:left="420" w:leftChars="200"/>
    </w:pPr>
  </w:style>
  <w:style w:type="paragraph" w:styleId="25">
    <w:name w:val="Message Header"/>
    <w:basedOn w:val="1"/>
    <w:link w:val="108"/>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6">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7">
    <w:name w:val="Title"/>
    <w:basedOn w:val="1"/>
    <w:next w:val="1"/>
    <w:link w:val="70"/>
    <w:semiHidden/>
    <w:qFormat/>
    <w:uiPriority w:val="0"/>
    <w:pPr>
      <w:spacing w:before="240" w:after="60"/>
      <w:jc w:val="center"/>
      <w:outlineLvl w:val="0"/>
    </w:pPr>
    <w:rPr>
      <w:rFonts w:eastAsia="黑体" w:asciiTheme="majorHAnsi" w:hAnsiTheme="majorHAnsi" w:cstheme="majorBidi"/>
      <w:b/>
      <w:bCs/>
      <w:sz w:val="36"/>
      <w:szCs w:val="32"/>
    </w:rPr>
  </w:style>
  <w:style w:type="paragraph" w:styleId="28">
    <w:name w:val="annotation subject"/>
    <w:basedOn w:val="11"/>
    <w:next w:val="11"/>
    <w:link w:val="54"/>
    <w:semiHidden/>
    <w:qFormat/>
    <w:uiPriority w:val="98"/>
    <w:rPr>
      <w:b/>
      <w:bCs/>
    </w:rPr>
  </w:style>
  <w:style w:type="paragraph" w:styleId="29">
    <w:name w:val="Body Text First Indent 2"/>
    <w:basedOn w:val="13"/>
    <w:next w:val="24"/>
    <w:qFormat/>
    <w:uiPriority w:val="0"/>
    <w:pPr>
      <w:spacing w:line="276" w:lineRule="auto"/>
      <w:ind w:left="200" w:firstLine="200" w:firstLineChars="200"/>
      <w:jc w:val="left"/>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semiHidden/>
    <w:qFormat/>
    <w:uiPriority w:val="98"/>
    <w:rPr>
      <w:b/>
    </w:rPr>
  </w:style>
  <w:style w:type="character" w:styleId="34">
    <w:name w:val="page number"/>
    <w:basedOn w:val="32"/>
    <w:semiHidden/>
    <w:qFormat/>
    <w:uiPriority w:val="0"/>
  </w:style>
  <w:style w:type="character" w:styleId="35">
    <w:name w:val="FollowedHyperlink"/>
    <w:semiHidden/>
    <w:qFormat/>
    <w:uiPriority w:val="98"/>
    <w:rPr>
      <w:color w:val="800080"/>
      <w:u w:val="single"/>
    </w:rPr>
  </w:style>
  <w:style w:type="character" w:styleId="36">
    <w:name w:val="Emphasis"/>
    <w:semiHidden/>
    <w:qFormat/>
    <w:uiPriority w:val="98"/>
    <w:rPr>
      <w:i/>
      <w:iCs/>
    </w:rPr>
  </w:style>
  <w:style w:type="character" w:styleId="37">
    <w:name w:val="Hyperlink"/>
    <w:basedOn w:val="32"/>
    <w:qFormat/>
    <w:uiPriority w:val="99"/>
    <w:rPr>
      <w:rFonts w:cs="Times New Roman"/>
      <w:color w:val="1F4F88"/>
      <w:u w:val="none"/>
    </w:rPr>
  </w:style>
  <w:style w:type="character" w:styleId="38">
    <w:name w:val="annotation reference"/>
    <w:semiHidden/>
    <w:qFormat/>
    <w:uiPriority w:val="98"/>
    <w:rPr>
      <w:sz w:val="21"/>
      <w:szCs w:val="21"/>
    </w:rPr>
  </w:style>
  <w:style w:type="paragraph" w:customStyle="1" w:styleId="39">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2"/>
    <w:semiHidden/>
    <w:qFormat/>
    <w:uiPriority w:val="98"/>
    <w:rPr>
      <w:rFonts w:ascii="仿宋_GB2312" w:eastAsia="仿宋_GB2312"/>
      <w:kern w:val="2"/>
      <w:sz w:val="32"/>
    </w:rPr>
  </w:style>
  <w:style w:type="character" w:customStyle="1" w:styleId="43">
    <w:name w:val="页脚 字符"/>
    <w:link w:val="18"/>
    <w:semiHidden/>
    <w:qFormat/>
    <w:uiPriority w:val="0"/>
    <w:rPr>
      <w:kern w:val="2"/>
      <w:sz w:val="18"/>
      <w:szCs w:val="18"/>
    </w:rPr>
  </w:style>
  <w:style w:type="character" w:customStyle="1" w:styleId="44">
    <w:name w:val="标题 3 字符"/>
    <w:link w:val="5"/>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1"/>
    <w:qFormat/>
    <w:uiPriority w:val="99"/>
    <w:rPr>
      <w:kern w:val="2"/>
      <w:sz w:val="21"/>
    </w:rPr>
  </w:style>
  <w:style w:type="character" w:customStyle="1" w:styleId="47">
    <w:name w:val="apple-converted-space"/>
    <w:basedOn w:val="32"/>
    <w:semiHidden/>
    <w:qFormat/>
    <w:uiPriority w:val="98"/>
  </w:style>
  <w:style w:type="character" w:customStyle="1" w:styleId="48">
    <w:name w:val="批注框文本 字符"/>
    <w:link w:val="17"/>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4"/>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19"/>
    <w:semiHidden/>
    <w:qFormat/>
    <w:uiPriority w:val="0"/>
    <w:rPr>
      <w:kern w:val="2"/>
      <w:sz w:val="18"/>
      <w:szCs w:val="18"/>
    </w:rPr>
  </w:style>
  <w:style w:type="character" w:customStyle="1" w:styleId="54">
    <w:name w:val="批注主题 字符"/>
    <w:link w:val="28"/>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character" w:customStyle="1" w:styleId="66">
    <w:name w:val="style61"/>
    <w:semiHidden/>
    <w:qFormat/>
    <w:uiPriority w:val="98"/>
  </w:style>
  <w:style w:type="character" w:customStyle="1" w:styleId="67">
    <w:name w:val="标题 1 字符"/>
    <w:basedOn w:val="32"/>
    <w:link w:val="2"/>
    <w:semiHidden/>
    <w:qFormat/>
    <w:uiPriority w:val="0"/>
    <w:rPr>
      <w:b/>
      <w:bCs/>
      <w:kern w:val="44"/>
      <w:sz w:val="44"/>
      <w:szCs w:val="44"/>
    </w:rPr>
  </w:style>
  <w:style w:type="paragraph" w:customStyle="1" w:styleId="68">
    <w:name w:val="TOC 标题1"/>
    <w:basedOn w:val="2"/>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69">
    <w:name w:val="标题 2 字符"/>
    <w:basedOn w:val="32"/>
    <w:link w:val="4"/>
    <w:semiHidden/>
    <w:qFormat/>
    <w:uiPriority w:val="0"/>
    <w:rPr>
      <w:rFonts w:asciiTheme="majorHAnsi" w:hAnsiTheme="majorHAnsi" w:eastAsiaTheme="majorEastAsia" w:cstheme="majorBidi"/>
      <w:b/>
      <w:bCs/>
      <w:kern w:val="2"/>
      <w:sz w:val="32"/>
      <w:szCs w:val="32"/>
    </w:rPr>
  </w:style>
  <w:style w:type="character" w:customStyle="1" w:styleId="70">
    <w:name w:val="标题 字符"/>
    <w:basedOn w:val="32"/>
    <w:link w:val="27"/>
    <w:semiHidden/>
    <w:qFormat/>
    <w:uiPriority w:val="0"/>
    <w:rPr>
      <w:rFonts w:eastAsia="黑体" w:asciiTheme="majorHAnsi" w:hAnsiTheme="majorHAnsi" w:cstheme="majorBidi"/>
      <w:b/>
      <w:bCs/>
      <w:kern w:val="2"/>
      <w:sz w:val="36"/>
      <w:szCs w:val="32"/>
    </w:rPr>
  </w:style>
  <w:style w:type="paragraph" w:customStyle="1" w:styleId="71">
    <w:name w:val="章节"/>
    <w:basedOn w:val="14"/>
    <w:qFormat/>
    <w:uiPriority w:val="0"/>
    <w:pPr>
      <w:spacing w:line="360" w:lineRule="auto"/>
      <w:jc w:val="center"/>
      <w:outlineLvl w:val="0"/>
    </w:pPr>
    <w:rPr>
      <w:rFonts w:ascii="黑体" w:eastAsia="黑体"/>
      <w:b/>
      <w:bCs/>
      <w:sz w:val="36"/>
      <w:szCs w:val="36"/>
    </w:rPr>
  </w:style>
  <w:style w:type="paragraph" w:customStyle="1" w:styleId="72">
    <w:name w:val="一级标题"/>
    <w:basedOn w:val="14"/>
    <w:qFormat/>
    <w:uiPriority w:val="1"/>
    <w:pPr>
      <w:numPr>
        <w:ilvl w:val="0"/>
        <w:numId w:val="2"/>
      </w:numPr>
      <w:spacing w:line="360" w:lineRule="auto"/>
      <w:ind w:left="420"/>
      <w:outlineLvl w:val="1"/>
    </w:pPr>
    <w:rPr>
      <w:rFonts w:ascii="黑体" w:eastAsia="黑体"/>
      <w:b/>
      <w:bCs/>
      <w:sz w:val="28"/>
    </w:rPr>
  </w:style>
  <w:style w:type="paragraph" w:customStyle="1" w:styleId="73">
    <w:name w:val="（二）级标题"/>
    <w:basedOn w:val="14"/>
    <w:qFormat/>
    <w:uiPriority w:val="2"/>
    <w:pPr>
      <w:numPr>
        <w:ilvl w:val="0"/>
        <w:numId w:val="3"/>
      </w:numPr>
      <w:spacing w:line="360" w:lineRule="auto"/>
      <w:outlineLvl w:val="2"/>
    </w:pPr>
    <w:rPr>
      <w:b/>
    </w:rPr>
  </w:style>
  <w:style w:type="paragraph" w:customStyle="1" w:styleId="74">
    <w:name w:val="3级标题"/>
    <w:basedOn w:val="14"/>
    <w:link w:val="102"/>
    <w:qFormat/>
    <w:uiPriority w:val="3"/>
    <w:pPr>
      <w:numPr>
        <w:ilvl w:val="0"/>
        <w:numId w:val="4"/>
      </w:numPr>
      <w:spacing w:line="360" w:lineRule="auto"/>
      <w:outlineLvl w:val="3"/>
    </w:pPr>
    <w:rPr>
      <w:b/>
    </w:rPr>
  </w:style>
  <w:style w:type="paragraph" w:customStyle="1" w:styleId="75">
    <w:name w:val="（4）级标题"/>
    <w:basedOn w:val="14"/>
    <w:qFormat/>
    <w:uiPriority w:val="8"/>
    <w:pPr>
      <w:numPr>
        <w:ilvl w:val="0"/>
        <w:numId w:val="5"/>
      </w:numPr>
      <w:spacing w:line="360" w:lineRule="auto"/>
      <w:outlineLvl w:val="4"/>
    </w:pPr>
  </w:style>
  <w:style w:type="paragraph" w:customStyle="1" w:styleId="76">
    <w:name w:val="标书正文"/>
    <w:basedOn w:val="14"/>
    <w:link w:val="97"/>
    <w:qFormat/>
    <w:uiPriority w:val="9"/>
    <w:pPr>
      <w:spacing w:line="360" w:lineRule="auto"/>
      <w:jc w:val="left"/>
    </w:pPr>
  </w:style>
  <w:style w:type="character" w:customStyle="1" w:styleId="77">
    <w:name w:val="标题 4 字符"/>
    <w:basedOn w:val="32"/>
    <w:link w:val="6"/>
    <w:semiHidden/>
    <w:qFormat/>
    <w:uiPriority w:val="0"/>
    <w:rPr>
      <w:rFonts w:ascii="Arial" w:hAnsi="Arial"/>
      <w:b/>
      <w:bCs/>
      <w:kern w:val="2"/>
      <w:sz w:val="21"/>
      <w:szCs w:val="28"/>
    </w:rPr>
  </w:style>
  <w:style w:type="character" w:customStyle="1" w:styleId="78">
    <w:name w:val="标题 5 字符"/>
    <w:basedOn w:val="32"/>
    <w:link w:val="7"/>
    <w:semiHidden/>
    <w:qFormat/>
    <w:uiPriority w:val="0"/>
    <w:rPr>
      <w:rFonts w:ascii="宋体" w:hAnsi="宋体"/>
      <w:bCs/>
      <w:iCs/>
      <w:color w:val="000000"/>
      <w:sz w:val="28"/>
      <w:szCs w:val="28"/>
    </w:rPr>
  </w:style>
  <w:style w:type="paragraph" w:customStyle="1" w:styleId="79">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0">
    <w:name w:val="case31"/>
    <w:qFormat/>
    <w:uiPriority w:val="0"/>
    <w:rPr>
      <w:rFonts w:hint="default" w:ascii="ˎ̥" w:hAnsi="ˎ̥"/>
      <w:sz w:val="21"/>
      <w:szCs w:val="21"/>
    </w:rPr>
  </w:style>
  <w:style w:type="character" w:customStyle="1" w:styleId="81">
    <w:name w:val="标题 2 Char"/>
    <w:link w:val="4"/>
    <w:qFormat/>
    <w:uiPriority w:val="0"/>
    <w:rPr>
      <w:rFonts w:ascii="宋体" w:hAnsi="宋体"/>
      <w:bCs/>
      <w:sz w:val="24"/>
      <w:szCs w:val="32"/>
    </w:rPr>
  </w:style>
  <w:style w:type="character" w:customStyle="1" w:styleId="82">
    <w:name w:val="标题 Char"/>
    <w:qFormat/>
    <w:uiPriority w:val="0"/>
    <w:rPr>
      <w:rFonts w:ascii="宋体" w:hAnsi="宋体" w:cs="Times New Roman"/>
      <w:b/>
      <w:bCs/>
      <w:sz w:val="24"/>
      <w:szCs w:val="32"/>
    </w:rPr>
  </w:style>
  <w:style w:type="character" w:customStyle="1" w:styleId="83">
    <w:name w:val="正文文本缩进 3 字符"/>
    <w:basedOn w:val="32"/>
    <w:link w:val="22"/>
    <w:semiHidden/>
    <w:qFormat/>
    <w:uiPriority w:val="0"/>
    <w:rPr>
      <w:rFonts w:ascii="宋体" w:hAnsi="宋体"/>
      <w:color w:val="FF0000"/>
      <w:kern w:val="2"/>
      <w:sz w:val="24"/>
      <w:szCs w:val="24"/>
    </w:rPr>
  </w:style>
  <w:style w:type="paragraph" w:customStyle="1" w:styleId="84">
    <w:name w:val="_Style 4"/>
    <w:basedOn w:val="2"/>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5">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6">
    <w:name w:val="正文文本缩进 2 字符"/>
    <w:basedOn w:val="32"/>
    <w:link w:val="16"/>
    <w:semiHidden/>
    <w:qFormat/>
    <w:uiPriority w:val="0"/>
    <w:rPr>
      <w:sz w:val="24"/>
    </w:rPr>
  </w:style>
  <w:style w:type="character" w:customStyle="1" w:styleId="87">
    <w:name w:val="日期 字符"/>
    <w:basedOn w:val="32"/>
    <w:link w:val="15"/>
    <w:semiHidden/>
    <w:qFormat/>
    <w:uiPriority w:val="0"/>
    <w:rPr>
      <w:sz w:val="24"/>
    </w:rPr>
  </w:style>
  <w:style w:type="paragraph" w:customStyle="1" w:styleId="88">
    <w:name w:val="Char1 Char Char Char Char Char Char"/>
    <w:basedOn w:val="1"/>
    <w:qFormat/>
    <w:uiPriority w:val="0"/>
    <w:rPr>
      <w:rFonts w:ascii="Tahoma" w:hAnsi="Tahoma"/>
      <w:sz w:val="24"/>
    </w:rPr>
  </w:style>
  <w:style w:type="paragraph" w:customStyle="1" w:styleId="89">
    <w:name w:val="样式1"/>
    <w:basedOn w:val="1"/>
    <w:qFormat/>
    <w:uiPriority w:val="0"/>
    <w:pPr>
      <w:adjustRightInd w:val="0"/>
      <w:spacing w:line="420" w:lineRule="auto"/>
      <w:jc w:val="center"/>
      <w:textAlignment w:val="baseline"/>
    </w:pPr>
    <w:rPr>
      <w:rFonts w:ascii="宋体"/>
      <w:kern w:val="0"/>
      <w:sz w:val="24"/>
    </w:rPr>
  </w:style>
  <w:style w:type="paragraph" w:customStyle="1" w:styleId="90">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1">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2">
    <w:name w:val="文档结构图 字符"/>
    <w:basedOn w:val="32"/>
    <w:semiHidden/>
    <w:qFormat/>
    <w:uiPriority w:val="98"/>
    <w:rPr>
      <w:rFonts w:ascii="Microsoft YaHei UI" w:eastAsia="Microsoft YaHei UI"/>
      <w:kern w:val="2"/>
      <w:sz w:val="18"/>
      <w:szCs w:val="18"/>
    </w:rPr>
  </w:style>
  <w:style w:type="character" w:customStyle="1" w:styleId="93">
    <w:name w:val="文档结构图 字符1"/>
    <w:basedOn w:val="32"/>
    <w:link w:val="10"/>
    <w:semiHidden/>
    <w:qFormat/>
    <w:uiPriority w:val="0"/>
    <w:rPr>
      <w:rFonts w:ascii="宋体"/>
      <w:sz w:val="18"/>
      <w:szCs w:val="18"/>
    </w:rPr>
  </w:style>
  <w:style w:type="paragraph" w:customStyle="1" w:styleId="94">
    <w:name w:val="表格"/>
    <w:basedOn w:val="1"/>
    <w:link w:val="95"/>
    <w:qFormat/>
    <w:uiPriority w:val="10"/>
    <w:rPr>
      <w:rFonts w:ascii="宋体" w:hAnsi="宋体"/>
      <w:szCs w:val="30"/>
    </w:rPr>
  </w:style>
  <w:style w:type="character" w:customStyle="1" w:styleId="95">
    <w:name w:val="表格 字符"/>
    <w:basedOn w:val="32"/>
    <w:link w:val="94"/>
    <w:qFormat/>
    <w:uiPriority w:val="10"/>
    <w:rPr>
      <w:rFonts w:ascii="宋体" w:hAnsi="宋体"/>
      <w:kern w:val="2"/>
      <w:sz w:val="21"/>
      <w:szCs w:val="30"/>
    </w:rPr>
  </w:style>
  <w:style w:type="paragraph" w:customStyle="1" w:styleId="96">
    <w:name w:val="5）级标题"/>
    <w:basedOn w:val="76"/>
    <w:link w:val="98"/>
    <w:qFormat/>
    <w:uiPriority w:val="11"/>
    <w:pPr>
      <w:numPr>
        <w:ilvl w:val="0"/>
        <w:numId w:val="7"/>
      </w:numPr>
      <w:ind w:firstLine="0"/>
    </w:pPr>
  </w:style>
  <w:style w:type="character" w:customStyle="1" w:styleId="97">
    <w:name w:val="标书正文 字符"/>
    <w:basedOn w:val="51"/>
    <w:link w:val="76"/>
    <w:qFormat/>
    <w:uiPriority w:val="9"/>
    <w:rPr>
      <w:rFonts w:ascii="宋体" w:hAnsi="Courier New"/>
      <w:kern w:val="2"/>
      <w:sz w:val="21"/>
    </w:rPr>
  </w:style>
  <w:style w:type="character" w:customStyle="1" w:styleId="98">
    <w:name w:val="5）级标题 字符"/>
    <w:basedOn w:val="97"/>
    <w:link w:val="96"/>
    <w:qFormat/>
    <w:uiPriority w:val="11"/>
    <w:rPr>
      <w:rFonts w:ascii="宋体" w:hAnsi="Courier New"/>
      <w:kern w:val="2"/>
      <w:sz w:val="21"/>
    </w:rPr>
  </w:style>
  <w:style w:type="paragraph" w:customStyle="1" w:styleId="99">
    <w:name w:val="样式 标题 4 + 段前: 5 磅 段后: 5 磅 行距: 单倍行距"/>
    <w:next w:val="23"/>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0">
    <w:name w:val="Subtle Emphasis"/>
    <w:basedOn w:val="32"/>
    <w:qFormat/>
    <w:uiPriority w:val="19"/>
    <w:rPr>
      <w:rFonts w:eastAsia="宋体"/>
      <w:i/>
      <w:iCs/>
      <w:color w:val="auto"/>
      <w:sz w:val="21"/>
    </w:rPr>
  </w:style>
  <w:style w:type="paragraph" w:customStyle="1" w:styleId="101">
    <w:name w:val="⑥级标题"/>
    <w:basedOn w:val="74"/>
    <w:link w:val="103"/>
    <w:qFormat/>
    <w:uiPriority w:val="12"/>
    <w:pPr>
      <w:numPr>
        <w:numId w:val="8"/>
      </w:numPr>
    </w:pPr>
  </w:style>
  <w:style w:type="character" w:customStyle="1" w:styleId="102">
    <w:name w:val="3级标题 字符"/>
    <w:basedOn w:val="51"/>
    <w:link w:val="74"/>
    <w:qFormat/>
    <w:uiPriority w:val="3"/>
    <w:rPr>
      <w:rFonts w:ascii="宋体" w:hAnsi="Courier New"/>
      <w:b/>
      <w:kern w:val="2"/>
      <w:sz w:val="21"/>
    </w:rPr>
  </w:style>
  <w:style w:type="character" w:customStyle="1" w:styleId="103">
    <w:name w:val="⑥级标题 字符"/>
    <w:basedOn w:val="102"/>
    <w:link w:val="101"/>
    <w:qFormat/>
    <w:uiPriority w:val="12"/>
    <w:rPr>
      <w:rFonts w:ascii="宋体" w:hAnsi="Courier New"/>
      <w:kern w:val="2"/>
      <w:sz w:val="21"/>
    </w:rPr>
  </w:style>
  <w:style w:type="character" w:customStyle="1" w:styleId="104">
    <w:name w:val="电子邮件签名 字符"/>
    <w:link w:val="8"/>
    <w:semiHidden/>
    <w:qFormat/>
    <w:locked/>
    <w:uiPriority w:val="99"/>
    <w:rPr>
      <w:sz w:val="21"/>
      <w:szCs w:val="21"/>
    </w:rPr>
  </w:style>
  <w:style w:type="character" w:customStyle="1" w:styleId="105">
    <w:name w:val="电子邮件签名 字符1"/>
    <w:basedOn w:val="32"/>
    <w:semiHidden/>
    <w:qFormat/>
    <w:uiPriority w:val="98"/>
    <w:rPr>
      <w:rFonts w:ascii="Times New Roman" w:hAnsi="Times New Roman"/>
      <w:kern w:val="2"/>
      <w:sz w:val="21"/>
    </w:rPr>
  </w:style>
  <w:style w:type="character" w:customStyle="1" w:styleId="106">
    <w:name w:val="HR正文 Char"/>
    <w:link w:val="107"/>
    <w:qFormat/>
    <w:uiPriority w:val="0"/>
    <w:rPr>
      <w:kern w:val="2"/>
      <w:sz w:val="24"/>
      <w:szCs w:val="24"/>
    </w:rPr>
  </w:style>
  <w:style w:type="paragraph" w:customStyle="1" w:styleId="107">
    <w:name w:val="HR正文"/>
    <w:basedOn w:val="1"/>
    <w:link w:val="106"/>
    <w:qFormat/>
    <w:uiPriority w:val="0"/>
    <w:pPr>
      <w:spacing w:line="300" w:lineRule="auto"/>
      <w:ind w:firstLine="200" w:firstLineChars="200"/>
    </w:pPr>
    <w:rPr>
      <w:rFonts w:ascii="Calibri" w:hAnsi="Calibri"/>
      <w:sz w:val="24"/>
      <w:szCs w:val="24"/>
    </w:rPr>
  </w:style>
  <w:style w:type="character" w:customStyle="1" w:styleId="108">
    <w:name w:val="信息标题 字符"/>
    <w:link w:val="25"/>
    <w:semiHidden/>
    <w:qFormat/>
    <w:locked/>
    <w:uiPriority w:val="99"/>
    <w:rPr>
      <w:rFonts w:ascii="Cambria" w:hAnsi="Cambria" w:cs="Cambria"/>
      <w:sz w:val="24"/>
      <w:szCs w:val="24"/>
      <w:shd w:val="pct20" w:color="auto" w:fill="auto"/>
    </w:rPr>
  </w:style>
  <w:style w:type="character" w:customStyle="1" w:styleId="109">
    <w:name w:val="信息标题 字符1"/>
    <w:basedOn w:val="32"/>
    <w:semiHidden/>
    <w:qFormat/>
    <w:uiPriority w:val="98"/>
    <w:rPr>
      <w:rFonts w:asciiTheme="majorHAnsi" w:hAnsiTheme="majorHAnsi" w:eastAsiaTheme="majorEastAsia" w:cstheme="majorBidi"/>
      <w:kern w:val="2"/>
      <w:sz w:val="24"/>
      <w:szCs w:val="24"/>
      <w:shd w:val="pct20" w:color="auto" w:fill="auto"/>
    </w:rPr>
  </w:style>
  <w:style w:type="character" w:customStyle="1" w:styleId="110">
    <w:name w:val="页眉 Char1"/>
    <w:semiHidden/>
    <w:qFormat/>
    <w:locked/>
    <w:uiPriority w:val="0"/>
    <w:rPr>
      <w:rFonts w:ascii="Calibri" w:hAnsi="Calibri"/>
      <w:sz w:val="18"/>
      <w:szCs w:val="18"/>
    </w:rPr>
  </w:style>
  <w:style w:type="character" w:customStyle="1" w:styleId="111">
    <w:name w:val="标题 3 Char"/>
    <w:link w:val="5"/>
    <w:qFormat/>
    <w:uiPriority w:val="0"/>
    <w:rPr>
      <w:b/>
      <w:sz w:val="32"/>
    </w:rPr>
  </w:style>
  <w:style w:type="paragraph" w:customStyle="1" w:styleId="112">
    <w:name w:val="Table Paragraph"/>
    <w:basedOn w:val="1"/>
    <w:qFormat/>
    <w:uiPriority w:val="1"/>
    <w:rPr>
      <w:rFonts w:ascii="宋体" w:hAnsi="宋体" w:eastAsia="宋体" w:cs="宋体"/>
    </w:rPr>
  </w:style>
  <w:style w:type="table" w:customStyle="1" w:styleId="113">
    <w:name w:val="Table Normal"/>
    <w:qFormat/>
    <w:uiPriority w:val="0"/>
    <w:tblPr>
      <w:tblCellMar>
        <w:top w:w="0" w:type="dxa"/>
        <w:left w:w="0" w:type="dxa"/>
        <w:bottom w:w="0" w:type="dxa"/>
        <w:right w:w="0" w:type="dxa"/>
      </w:tblCellMar>
    </w:tblPr>
  </w:style>
  <w:style w:type="paragraph" w:customStyle="1" w:styleId="114">
    <w:name w:val="1正文段落"/>
    <w:basedOn w:val="1"/>
    <w:qFormat/>
    <w:uiPriority w:val="0"/>
    <w:pPr>
      <w:spacing w:line="360" w:lineRule="auto"/>
      <w:ind w:firstLine="480" w:firstLineChars="200"/>
      <w:jc w:val="left"/>
    </w:pPr>
    <w:rPr>
      <w:snapToGrid w:val="0"/>
      <w:kern w:val="0"/>
      <w:sz w:val="24"/>
      <w:szCs w:val="24"/>
    </w:rPr>
  </w:style>
  <w:style w:type="paragraph" w:customStyle="1" w:styleId="115">
    <w:name w:val="日期1"/>
    <w:basedOn w:val="1"/>
    <w:next w:val="1"/>
    <w:qFormat/>
    <w:uiPriority w:val="0"/>
    <w:pPr>
      <w:adjustRightInd w:val="0"/>
      <w:textAlignment w:val="baseline"/>
    </w:pPr>
    <w:rPr>
      <w:sz w:val="28"/>
      <w:szCs w:val="20"/>
    </w:rPr>
  </w:style>
  <w:style w:type="paragraph" w:customStyle="1" w:styleId="116">
    <w:name w:val="首行缩进"/>
    <w:basedOn w:val="1"/>
    <w:qFormat/>
    <w:uiPriority w:val="0"/>
    <w:pPr>
      <w:spacing w:line="360" w:lineRule="auto"/>
      <w:ind w:firstLine="480" w:firstLineChars="200"/>
    </w:pPr>
    <w:rPr>
      <w:rFonts w:ascii="宋体" w:hAnsi="宋体" w:cs="宋体"/>
      <w:kern w:val="0"/>
      <w:sz w:val="24"/>
    </w:rPr>
  </w:style>
  <w:style w:type="paragraph" w:customStyle="1" w:styleId="117">
    <w:name w:val="标书正文格式"/>
    <w:basedOn w:val="14"/>
    <w:qFormat/>
    <w:uiPriority w:val="0"/>
    <w:pPr>
      <w:spacing w:line="360" w:lineRule="auto"/>
      <w:ind w:firstLine="200" w:firstLineChars="200"/>
    </w:pPr>
    <w:rPr>
      <w:rFonts w:hAnsi="宋体" w:eastAsia="宋体" w:cs="Times New Roman"/>
      <w:color w:val="00000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36</Pages>
  <Words>7663</Words>
  <Characters>8004</Characters>
  <Lines>127</Lines>
  <Paragraphs>35</Paragraphs>
  <TotalTime>136</TotalTime>
  <ScaleCrop>false</ScaleCrop>
  <LinksUpToDate>false</LinksUpToDate>
  <CharactersWithSpaces>8069</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李苗</cp:lastModifiedBy>
  <cp:lastPrinted>2020-06-28T02:28:00Z</cp:lastPrinted>
  <dcterms:modified xsi:type="dcterms:W3CDTF">2026-09-07T08:51:33Z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601B26793BCA4CB693BEEF5E7AE0A0EE_13</vt:lpwstr>
  </property>
  <property fmtid="{D5CDD505-2E9C-101B-9397-08002B2CF9AE}" pid="4" name="KSOTemplateDocerSaveRecord">
    <vt:lpwstr>eyJoZGlkIjoiN2YwOWM0YjY3OWY0MGEyNDM3ZWYyMjNhOTc0MmZhNjEiLCJ1c2VySWQiOiIxNzY1MTA3MDY1In0=</vt:lpwstr>
  </property>
</Properties>
</file>